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CellMar>
          <w:left w:w="0" w:type="dxa"/>
          <w:right w:w="0" w:type="dxa"/>
        </w:tblCellMar>
        <w:tblLook w:val="04A0" w:firstRow="1" w:lastRow="0" w:firstColumn="1" w:lastColumn="0" w:noHBand="0" w:noVBand="1"/>
      </w:tblPr>
      <w:tblGrid>
        <w:gridCol w:w="7234"/>
        <w:gridCol w:w="1780"/>
        <w:gridCol w:w="4"/>
        <w:gridCol w:w="8"/>
      </w:tblGrid>
      <w:tr w:rsidR="00225799" w:rsidRPr="00225799" w:rsidTr="00225799">
        <w:trPr>
          <w:trHeight w:val="240"/>
        </w:trPr>
        <w:tc>
          <w:tcPr>
            <w:tcW w:w="10989" w:type="dxa"/>
            <w:noWrap/>
            <w:tcMar>
              <w:top w:w="0" w:type="dxa"/>
              <w:left w:w="0" w:type="dxa"/>
              <w:bottom w:w="0" w:type="dxa"/>
              <w:right w:w="120" w:type="dxa"/>
            </w:tcMar>
            <w:hideMark/>
          </w:tcPr>
          <w:tbl>
            <w:tblPr>
              <w:tblW w:w="10989" w:type="dxa"/>
              <w:tblCellMar>
                <w:left w:w="0" w:type="dxa"/>
                <w:right w:w="0" w:type="dxa"/>
              </w:tblCellMar>
              <w:tblLook w:val="04A0" w:firstRow="1" w:lastRow="0" w:firstColumn="1" w:lastColumn="0" w:noHBand="0" w:noVBand="1"/>
            </w:tblPr>
            <w:tblGrid>
              <w:gridCol w:w="10989"/>
            </w:tblGrid>
            <w:tr w:rsidR="00225799" w:rsidRPr="00225799">
              <w:tc>
                <w:tcPr>
                  <w:tcW w:w="0" w:type="auto"/>
                  <w:vAlign w:val="center"/>
                  <w:hideMark/>
                </w:tcPr>
                <w:p w:rsidR="00225799" w:rsidRPr="00225799" w:rsidRDefault="00225799" w:rsidP="00225799">
                  <w:pPr>
                    <w:spacing w:before="100" w:beforeAutospacing="1" w:after="100" w:afterAutospacing="1" w:line="240" w:lineRule="auto"/>
                    <w:outlineLvl w:val="2"/>
                    <w:rPr>
                      <w:rFonts w:ascii="Arial" w:eastAsia="Times New Roman" w:hAnsi="Arial" w:cs="Arial"/>
                      <w:b/>
                      <w:bCs/>
                      <w:sz w:val="27"/>
                      <w:szCs w:val="27"/>
                      <w:lang w:eastAsia="en-NZ"/>
                    </w:rPr>
                  </w:pPr>
                  <w:r w:rsidRPr="00225799">
                    <w:rPr>
                      <w:rFonts w:ascii="Arial" w:eastAsia="Times New Roman" w:hAnsi="Arial" w:cs="Arial"/>
                      <w:b/>
                      <w:bCs/>
                      <w:color w:val="222222"/>
                      <w:sz w:val="19"/>
                      <w:szCs w:val="19"/>
                      <w:lang w:eastAsia="en-NZ"/>
                    </w:rPr>
                    <w:t>External Relations</w:t>
                  </w:r>
                </w:p>
              </w:tc>
            </w:tr>
          </w:tbl>
          <w:p w:rsidR="00225799" w:rsidRPr="00225799" w:rsidRDefault="00225799" w:rsidP="00225799">
            <w:pPr>
              <w:spacing w:after="0" w:line="240" w:lineRule="auto"/>
              <w:rPr>
                <w:rFonts w:ascii="Arial" w:eastAsia="Times New Roman" w:hAnsi="Arial" w:cs="Arial"/>
                <w:sz w:val="24"/>
                <w:szCs w:val="24"/>
                <w:lang w:eastAsia="en-NZ"/>
              </w:rPr>
            </w:pPr>
          </w:p>
        </w:tc>
        <w:tc>
          <w:tcPr>
            <w:tcW w:w="0" w:type="auto"/>
            <w:noWrap/>
            <w:hideMark/>
          </w:tcPr>
          <w:p w:rsidR="00225799" w:rsidRPr="00225799" w:rsidRDefault="00225799" w:rsidP="00225799">
            <w:pPr>
              <w:spacing w:after="0" w:line="240" w:lineRule="auto"/>
              <w:jc w:val="right"/>
              <w:rPr>
                <w:rFonts w:ascii="Arial" w:eastAsia="Times New Roman" w:hAnsi="Arial" w:cs="Arial"/>
                <w:color w:val="222222"/>
                <w:sz w:val="24"/>
                <w:szCs w:val="24"/>
                <w:lang w:eastAsia="en-NZ"/>
              </w:rPr>
            </w:pPr>
            <w:r w:rsidRPr="00225799">
              <w:rPr>
                <w:rFonts w:ascii="Arial" w:eastAsia="Times New Roman" w:hAnsi="Arial" w:cs="Arial"/>
                <w:color w:val="222222"/>
                <w:sz w:val="24"/>
                <w:szCs w:val="24"/>
                <w:lang w:eastAsia="en-NZ"/>
              </w:rPr>
              <w:t>10:16 AM (2 minutes ago)</w:t>
            </w:r>
          </w:p>
          <w:p w:rsidR="00225799" w:rsidRPr="00225799" w:rsidRDefault="00225799" w:rsidP="00225799">
            <w:pPr>
              <w:spacing w:after="0" w:line="240" w:lineRule="auto"/>
              <w:jc w:val="right"/>
              <w:rPr>
                <w:rFonts w:ascii="Arial" w:eastAsia="Times New Roman" w:hAnsi="Arial" w:cs="Arial"/>
                <w:color w:val="222222"/>
                <w:sz w:val="24"/>
                <w:szCs w:val="24"/>
                <w:lang w:eastAsia="en-NZ"/>
              </w:rPr>
            </w:pPr>
            <w:r w:rsidRPr="00225799">
              <w:rPr>
                <w:rFonts w:ascii="Arial" w:eastAsia="Times New Roman" w:hAnsi="Arial" w:cs="Arial"/>
                <w:noProof/>
                <w:color w:val="222222"/>
                <w:sz w:val="24"/>
                <w:szCs w:val="24"/>
                <w:lang w:eastAsia="en-NZ"/>
              </w:rPr>
              <w:drawing>
                <wp:inline distT="0" distB="0" distL="0" distR="0">
                  <wp:extent cx="8255" cy="825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noWrap/>
            <w:hideMark/>
          </w:tcPr>
          <w:p w:rsidR="00225799" w:rsidRPr="00225799" w:rsidRDefault="00225799" w:rsidP="00225799">
            <w:pPr>
              <w:spacing w:after="0" w:line="240" w:lineRule="auto"/>
              <w:jc w:val="right"/>
              <w:rPr>
                <w:rFonts w:ascii="Arial" w:eastAsia="Times New Roman" w:hAnsi="Arial" w:cs="Arial"/>
                <w:color w:val="222222"/>
                <w:sz w:val="24"/>
                <w:szCs w:val="24"/>
                <w:lang w:eastAsia="en-NZ"/>
              </w:rPr>
            </w:pPr>
          </w:p>
        </w:tc>
        <w:tc>
          <w:tcPr>
            <w:tcW w:w="0" w:type="auto"/>
            <w:vMerge w:val="restart"/>
            <w:noWrap/>
            <w:hideMark/>
          </w:tcPr>
          <w:p w:rsidR="00225799" w:rsidRPr="00225799" w:rsidRDefault="00225799" w:rsidP="00225799">
            <w:pPr>
              <w:shd w:val="clear" w:color="auto" w:fill="F5F5F5"/>
              <w:spacing w:after="0" w:line="405" w:lineRule="atLeast"/>
              <w:jc w:val="center"/>
              <w:rPr>
                <w:rFonts w:ascii="Arial" w:eastAsia="Times New Roman" w:hAnsi="Arial" w:cs="Arial"/>
                <w:b/>
                <w:bCs/>
                <w:color w:val="444444"/>
                <w:sz w:val="17"/>
                <w:szCs w:val="17"/>
                <w:lang w:eastAsia="en-NZ"/>
              </w:rPr>
            </w:pPr>
            <w:r w:rsidRPr="00225799">
              <w:rPr>
                <w:rFonts w:ascii="Arial" w:eastAsia="Times New Roman" w:hAnsi="Arial" w:cs="Arial"/>
                <w:b/>
                <w:bCs/>
                <w:noProof/>
                <w:color w:val="444444"/>
                <w:sz w:val="17"/>
                <w:szCs w:val="17"/>
                <w:lang w:eastAsia="en-NZ"/>
              </w:rPr>
              <w:drawing>
                <wp:inline distT="0" distB="0" distL="0" distR="0">
                  <wp:extent cx="8255" cy="825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25799" w:rsidRPr="00225799" w:rsidRDefault="00225799" w:rsidP="00225799">
            <w:pPr>
              <w:shd w:val="clear" w:color="auto" w:fill="F5F5F5"/>
              <w:spacing w:after="0" w:line="405" w:lineRule="atLeast"/>
              <w:jc w:val="center"/>
              <w:rPr>
                <w:rFonts w:ascii="Arial" w:eastAsia="Times New Roman" w:hAnsi="Arial" w:cs="Arial"/>
                <w:b/>
                <w:bCs/>
                <w:color w:val="444444"/>
                <w:sz w:val="17"/>
                <w:szCs w:val="17"/>
                <w:lang w:eastAsia="en-NZ"/>
              </w:rPr>
            </w:pPr>
            <w:r w:rsidRPr="00225799">
              <w:rPr>
                <w:rFonts w:ascii="Arial" w:eastAsia="Times New Roman" w:hAnsi="Arial" w:cs="Arial"/>
                <w:b/>
                <w:bCs/>
                <w:noProof/>
                <w:color w:val="444444"/>
                <w:sz w:val="17"/>
                <w:szCs w:val="17"/>
                <w:lang w:eastAsia="en-NZ"/>
              </w:rPr>
              <w:drawing>
                <wp:inline distT="0" distB="0" distL="0" distR="0">
                  <wp:extent cx="8255" cy="825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25799" w:rsidRPr="00225799" w:rsidTr="00225799">
        <w:trPr>
          <w:trHeight w:val="240"/>
        </w:trPr>
        <w:tc>
          <w:tcPr>
            <w:tcW w:w="0" w:type="auto"/>
            <w:gridSpan w:val="3"/>
            <w:vAlign w:val="center"/>
            <w:hideMark/>
          </w:tcPr>
          <w:tbl>
            <w:tblPr>
              <w:tblW w:w="13740" w:type="dxa"/>
              <w:tblCellMar>
                <w:left w:w="0" w:type="dxa"/>
                <w:right w:w="0" w:type="dxa"/>
              </w:tblCellMar>
              <w:tblLook w:val="04A0" w:firstRow="1" w:lastRow="0" w:firstColumn="1" w:lastColumn="0" w:noHBand="0" w:noVBand="1"/>
            </w:tblPr>
            <w:tblGrid>
              <w:gridCol w:w="13740"/>
            </w:tblGrid>
            <w:tr w:rsidR="00225799" w:rsidRPr="00225799">
              <w:tc>
                <w:tcPr>
                  <w:tcW w:w="0" w:type="auto"/>
                  <w:noWrap/>
                  <w:vAlign w:val="center"/>
                  <w:hideMark/>
                </w:tcPr>
                <w:p w:rsidR="00225799" w:rsidRPr="00225799" w:rsidRDefault="00225799" w:rsidP="00225799">
                  <w:pPr>
                    <w:spacing w:after="0" w:line="240" w:lineRule="auto"/>
                    <w:rPr>
                      <w:rFonts w:ascii="Arial" w:eastAsia="Times New Roman" w:hAnsi="Arial" w:cs="Arial"/>
                      <w:sz w:val="24"/>
                      <w:szCs w:val="24"/>
                      <w:lang w:eastAsia="en-NZ"/>
                    </w:rPr>
                  </w:pPr>
                  <w:r w:rsidRPr="00225799">
                    <w:rPr>
                      <w:rFonts w:ascii="Arial" w:eastAsia="Times New Roman" w:hAnsi="Arial" w:cs="Arial"/>
                      <w:color w:val="777777"/>
                      <w:sz w:val="24"/>
                      <w:szCs w:val="24"/>
                      <w:lang w:eastAsia="en-NZ"/>
                    </w:rPr>
                    <w:t>to</w:t>
                  </w:r>
                </w:p>
                <w:p w:rsidR="00225799" w:rsidRPr="00225799" w:rsidRDefault="00225799" w:rsidP="00225799">
                  <w:pPr>
                    <w:spacing w:after="0" w:line="240" w:lineRule="auto"/>
                    <w:textAlignment w:val="top"/>
                    <w:rPr>
                      <w:rFonts w:ascii="Arial" w:eastAsia="Times New Roman" w:hAnsi="Arial" w:cs="Arial"/>
                      <w:sz w:val="24"/>
                      <w:szCs w:val="24"/>
                      <w:lang w:eastAsia="en-NZ"/>
                    </w:rPr>
                  </w:pPr>
                  <w:r w:rsidRPr="00225799">
                    <w:rPr>
                      <w:rFonts w:ascii="Arial" w:eastAsia="Times New Roman" w:hAnsi="Arial" w:cs="Arial"/>
                      <w:noProof/>
                      <w:sz w:val="24"/>
                      <w:szCs w:val="24"/>
                      <w:lang w:eastAsia="en-NZ"/>
                    </w:rPr>
                    <w:drawing>
                      <wp:inline distT="0" distB="0" distL="0" distR="0">
                        <wp:extent cx="8255" cy="825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qd"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225799" w:rsidRPr="00225799" w:rsidRDefault="00225799" w:rsidP="00225799">
            <w:pPr>
              <w:spacing w:after="0" w:line="240" w:lineRule="auto"/>
              <w:rPr>
                <w:rFonts w:ascii="Arial" w:eastAsia="Times New Roman" w:hAnsi="Arial" w:cs="Arial"/>
                <w:sz w:val="24"/>
                <w:szCs w:val="24"/>
                <w:lang w:eastAsia="en-NZ"/>
              </w:rPr>
            </w:pPr>
          </w:p>
        </w:tc>
        <w:tc>
          <w:tcPr>
            <w:tcW w:w="0" w:type="auto"/>
            <w:vMerge/>
            <w:vAlign w:val="center"/>
            <w:hideMark/>
          </w:tcPr>
          <w:p w:rsidR="00225799" w:rsidRPr="00225799" w:rsidRDefault="00225799" w:rsidP="00225799">
            <w:pPr>
              <w:spacing w:after="0" w:line="240" w:lineRule="auto"/>
              <w:rPr>
                <w:rFonts w:ascii="Arial" w:eastAsia="Times New Roman" w:hAnsi="Arial" w:cs="Arial"/>
                <w:b/>
                <w:bCs/>
                <w:color w:val="444444"/>
                <w:sz w:val="17"/>
                <w:szCs w:val="17"/>
                <w:lang w:eastAsia="en-NZ"/>
              </w:rPr>
            </w:pPr>
          </w:p>
        </w:tc>
      </w:tr>
      <w:tr w:rsidR="00225799" w:rsidRPr="00225799" w:rsidTr="00225799">
        <w:trPr>
          <w:trHeight w:val="680"/>
        </w:trPr>
        <w:tc>
          <w:tcPr>
            <w:tcW w:w="14593" w:type="dxa"/>
            <w:gridSpan w:val="4"/>
            <w:tcMar>
              <w:top w:w="0" w:type="dxa"/>
              <w:left w:w="108" w:type="dxa"/>
              <w:bottom w:w="0" w:type="dxa"/>
              <w:right w:w="108" w:type="dxa"/>
            </w:tcMar>
            <w:vAlign w:val="bottom"/>
            <w:hideMark/>
          </w:tcPr>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b/>
                <w:bCs/>
                <w:color w:val="000000"/>
                <w:sz w:val="28"/>
                <w:szCs w:val="28"/>
                <w:lang w:eastAsia="en-NZ"/>
              </w:rPr>
              <w:t>BNZ’s ongoing investment and momentum delivers sound results</w:t>
            </w:r>
          </w:p>
        </w:tc>
      </w:tr>
      <w:tr w:rsidR="00225799" w:rsidRPr="00225799" w:rsidTr="00225799">
        <w:trPr>
          <w:trHeight w:val="689"/>
        </w:trPr>
        <w:tc>
          <w:tcPr>
            <w:tcW w:w="14593" w:type="dxa"/>
            <w:gridSpan w:val="4"/>
            <w:tcMar>
              <w:top w:w="0" w:type="dxa"/>
              <w:left w:w="108" w:type="dxa"/>
              <w:bottom w:w="0" w:type="dxa"/>
              <w:right w:w="108" w:type="dxa"/>
            </w:tcMar>
            <w:vAlign w:val="bottom"/>
            <w:hideMark/>
          </w:tcPr>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Strong underlying momentum has seen Bank of New Zealand (BNZ) report a statutory net profit for its banking group</w:t>
            </w:r>
            <w:bookmarkStart w:id="0" w:name="m_-4888619038459954752__ftnref1"/>
            <w:r w:rsidRPr="00225799">
              <w:rPr>
                <w:rFonts w:ascii="Serrano Office" w:eastAsia="Times New Roman" w:hAnsi="Serrano Office" w:cs="Times New Roman"/>
                <w:color w:val="000000"/>
                <w:sz w:val="24"/>
                <w:szCs w:val="24"/>
                <w:lang w:eastAsia="en-NZ"/>
              </w:rPr>
              <w:fldChar w:fldCharType="begin"/>
            </w:r>
            <w:r w:rsidRPr="00225799">
              <w:rPr>
                <w:rFonts w:ascii="Serrano Office" w:eastAsia="Times New Roman" w:hAnsi="Serrano Office" w:cs="Times New Roman"/>
                <w:color w:val="000000"/>
                <w:sz w:val="24"/>
                <w:szCs w:val="24"/>
                <w:lang w:eastAsia="en-NZ"/>
              </w:rPr>
              <w:instrText xml:space="preserve"> HYPERLINK "https://mail.google.com/mail/u/0/" \l "m_-4888619038459954752__ftn1" \o "" </w:instrText>
            </w:r>
            <w:r w:rsidRPr="00225799">
              <w:rPr>
                <w:rFonts w:ascii="Serrano Office" w:eastAsia="Times New Roman" w:hAnsi="Serrano Office" w:cs="Times New Roman"/>
                <w:color w:val="000000"/>
                <w:sz w:val="24"/>
                <w:szCs w:val="24"/>
                <w:lang w:eastAsia="en-NZ"/>
              </w:rPr>
              <w:fldChar w:fldCharType="separate"/>
            </w:r>
            <w:r w:rsidRPr="00225799">
              <w:rPr>
                <w:rFonts w:ascii="Serrano Office" w:eastAsia="Times New Roman" w:hAnsi="Serrano Office" w:cs="Times New Roman"/>
                <w:color w:val="000000"/>
                <w:u w:val="single"/>
                <w:lang w:eastAsia="en-NZ"/>
              </w:rPr>
              <w:t>[1]</w:t>
            </w:r>
            <w:r w:rsidRPr="00225799">
              <w:rPr>
                <w:rFonts w:ascii="Serrano Office" w:eastAsia="Times New Roman" w:hAnsi="Serrano Office" w:cs="Times New Roman"/>
                <w:color w:val="000000"/>
                <w:sz w:val="24"/>
                <w:szCs w:val="24"/>
                <w:lang w:eastAsia="en-NZ"/>
              </w:rPr>
              <w:fldChar w:fldCharType="end"/>
            </w:r>
            <w:bookmarkEnd w:id="0"/>
            <w:r w:rsidRPr="00225799">
              <w:rPr>
                <w:rFonts w:ascii="Serrano Office" w:eastAsia="Times New Roman" w:hAnsi="Serrano Office" w:cs="Times New Roman"/>
                <w:color w:val="000000"/>
                <w:sz w:val="24"/>
                <w:szCs w:val="24"/>
                <w:lang w:eastAsia="en-NZ"/>
              </w:rPr>
              <w:t> of NZ$416 million and a significant increase in cash earnings</w:t>
            </w:r>
            <w:r w:rsidRPr="00225799">
              <w:rPr>
                <w:rFonts w:ascii="Serrano Office" w:eastAsia="Times New Roman" w:hAnsi="Serrano Office" w:cs="Times New Roman"/>
                <w:color w:val="000000"/>
                <w:sz w:val="24"/>
                <w:szCs w:val="24"/>
                <w:vertAlign w:val="superscript"/>
                <w:lang w:eastAsia="en-NZ"/>
              </w:rPr>
              <w:t>3</w:t>
            </w:r>
            <w:r w:rsidRPr="00225799">
              <w:rPr>
                <w:rFonts w:ascii="Serrano Office" w:eastAsia="Times New Roman" w:hAnsi="Serrano Office" w:cs="Times New Roman"/>
                <w:color w:val="000000"/>
                <w:sz w:val="24"/>
                <w:szCs w:val="24"/>
                <w:lang w:eastAsia="en-NZ"/>
              </w:rPr>
              <w:t>of 9% on the 2016 prior comparable period.</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“This achievement reflects the progress the business is making in delivering its strategic agenda, in a challenging and competitive market. In our priority customer segments, we have seen a further lift in customer advocacy which is particularly pleasing. This is a result of our focus on the end-to-end customer experience, particularly in our digital offering, which allows us to deliver our customer promises and to help New Zealanders be good with money.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“The current strength of the New Zealand economy is delivering benefits and challenges, which is reflected in very sound credit quality and lower bad and doubtful debts, but with increasing margin compression as credit growth continues to exceed deposit growth in the system,” said BNZ CEO Anthony Healy.</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Key results:</w:t>
            </w:r>
            <w:r w:rsidRPr="00225799">
              <w:rPr>
                <w:rFonts w:ascii="Serrano Office" w:eastAsia="Times New Roman" w:hAnsi="Serrano Office" w:cs="Times New Roman"/>
                <w:i/>
                <w:iCs/>
                <w:color w:val="000000"/>
                <w:sz w:val="24"/>
                <w:szCs w:val="24"/>
                <w:lang w:eastAsia="en-NZ"/>
              </w:rPr>
              <w:t> </w:t>
            </w:r>
            <w:r w:rsidRPr="00225799">
              <w:rPr>
                <w:rFonts w:ascii="Serrano Office" w:eastAsia="Times New Roman" w:hAnsi="Serrano Office" w:cs="Times New Roman"/>
                <w:i/>
                <w:iCs/>
                <w:color w:val="000000"/>
                <w:sz w:val="16"/>
                <w:szCs w:val="16"/>
                <w:lang w:eastAsia="en-NZ"/>
              </w:rPr>
              <w:t>(comparison with the 6 months ending 31 March 2016, unless otherwise stated)</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BNZ Banking Group</w:t>
            </w:r>
            <w:r w:rsidRPr="00225799">
              <w:rPr>
                <w:rFonts w:ascii="Serrano Office" w:eastAsia="Times New Roman" w:hAnsi="Serrano Office" w:cs="Times New Roman"/>
                <w:sz w:val="24"/>
                <w:szCs w:val="24"/>
                <w:vertAlign w:val="superscript"/>
                <w:lang w:eastAsia="en-NZ"/>
              </w:rPr>
              <w:t>1</w:t>
            </w:r>
          </w:p>
          <w:p w:rsidR="00225799" w:rsidRPr="00225799" w:rsidRDefault="00225799" w:rsidP="00225799">
            <w:pPr>
              <w:spacing w:before="100" w:beforeAutospacing="1" w:after="0" w:line="240" w:lineRule="auto"/>
              <w:ind w:left="460"/>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b/>
                <w:bCs/>
                <w:sz w:val="24"/>
                <w:szCs w:val="24"/>
                <w:lang w:eastAsia="en-NZ"/>
              </w:rPr>
              <w:t>Statutory net profit</w:t>
            </w:r>
            <w:r w:rsidRPr="00225799">
              <w:rPr>
                <w:rFonts w:ascii="Serrano Office" w:eastAsia="Times New Roman" w:hAnsi="Serrano Office" w:cs="Arial"/>
                <w:sz w:val="24"/>
                <w:szCs w:val="24"/>
                <w:vertAlign w:val="superscript"/>
                <w:lang w:eastAsia="en-NZ"/>
              </w:rPr>
              <w:t>1</w:t>
            </w:r>
            <w:r w:rsidRPr="00225799">
              <w:rPr>
                <w:rFonts w:ascii="Serrano Office" w:eastAsia="Times New Roman" w:hAnsi="Serrano Office" w:cs="Arial"/>
                <w:b/>
                <w:bCs/>
                <w:sz w:val="24"/>
                <w:szCs w:val="24"/>
                <w:lang w:eastAsia="en-NZ"/>
              </w:rPr>
              <w:t> </w:t>
            </w:r>
            <w:r w:rsidRPr="00225799">
              <w:rPr>
                <w:rFonts w:ascii="Serrano Office" w:eastAsia="Times New Roman" w:hAnsi="Serrano Office" w:cs="Arial"/>
                <w:sz w:val="24"/>
                <w:szCs w:val="24"/>
                <w:lang w:eastAsia="en-NZ"/>
              </w:rPr>
              <w:t>of NZ$416 million, NZ$35 million less than last year, due to mark to market movements on offshore debt instruments, partially offset by higher cash earnings.</w:t>
            </w:r>
          </w:p>
          <w:p w:rsidR="00225799" w:rsidRPr="00225799" w:rsidRDefault="00225799" w:rsidP="00225799">
            <w:pPr>
              <w:spacing w:before="100" w:beforeAutospacing="1" w:after="0" w:line="240" w:lineRule="auto"/>
              <w:ind w:left="460"/>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Cash earnings</w:t>
            </w:r>
            <w:r w:rsidRPr="00225799">
              <w:rPr>
                <w:rFonts w:ascii="Serrano Office" w:eastAsia="Times New Roman" w:hAnsi="Serrano Office" w:cs="Arial"/>
                <w:sz w:val="24"/>
                <w:szCs w:val="24"/>
                <w:vertAlign w:val="superscript"/>
                <w:lang w:eastAsia="en-NZ"/>
              </w:rPr>
              <w:t>3</w:t>
            </w:r>
            <w:r w:rsidRPr="00225799">
              <w:rPr>
                <w:rFonts w:ascii="Serrano Office" w:eastAsia="Times New Roman" w:hAnsi="Serrano Office" w:cs="Arial"/>
                <w:sz w:val="24"/>
                <w:szCs w:val="24"/>
                <w:lang w:eastAsia="en-NZ"/>
              </w:rPr>
              <w:t> of $484 million, increased by NZ$40 million or 9.0%</w:t>
            </w:r>
          </w:p>
          <w:p w:rsidR="00225799" w:rsidRPr="00225799" w:rsidRDefault="00225799" w:rsidP="00225799">
            <w:pPr>
              <w:spacing w:before="100" w:beforeAutospacing="1" w:after="0" w:line="240" w:lineRule="auto"/>
              <w:ind w:left="460"/>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b/>
                <w:bCs/>
                <w:sz w:val="24"/>
                <w:szCs w:val="24"/>
                <w:lang w:eastAsia="en-NZ"/>
              </w:rPr>
              <w:t>Common Equity Tier 1, Tier 1 and total capital ratios</w:t>
            </w:r>
            <w:r w:rsidRPr="00225799">
              <w:rPr>
                <w:rFonts w:ascii="Serrano Office" w:eastAsia="Times New Roman" w:hAnsi="Serrano Office" w:cs="Arial"/>
                <w:sz w:val="24"/>
                <w:szCs w:val="24"/>
                <w:vertAlign w:val="superscript"/>
                <w:lang w:eastAsia="en-NZ"/>
              </w:rPr>
              <w:t>1</w:t>
            </w:r>
            <w:r w:rsidRPr="00225799">
              <w:rPr>
                <w:rFonts w:ascii="Serrano Office" w:eastAsia="Times New Roman" w:hAnsi="Serrano Office" w:cs="Arial"/>
                <w:sz w:val="24"/>
                <w:szCs w:val="24"/>
                <w:lang w:eastAsia="en-NZ"/>
              </w:rPr>
              <w:t> of 10.55%, 12.06% and 13.29%.</w:t>
            </w:r>
          </w:p>
          <w:p w:rsidR="00225799" w:rsidRPr="00225799" w:rsidRDefault="00225799" w:rsidP="00225799">
            <w:pPr>
              <w:spacing w:before="100" w:beforeAutospacing="1" w:after="0" w:line="240" w:lineRule="auto"/>
              <w:ind w:left="765"/>
              <w:rPr>
                <w:rFonts w:ascii="Arial" w:eastAsia="Times New Roman" w:hAnsi="Arial" w:cs="Arial"/>
                <w:sz w:val="24"/>
                <w:szCs w:val="24"/>
                <w:lang w:eastAsia="en-NZ"/>
              </w:rPr>
            </w:pPr>
            <w:r w:rsidRPr="00225799">
              <w:rPr>
                <w:rFonts w:ascii="Serrano Office" w:eastAsia="Times New Roman" w:hAnsi="Serrano Office" w:cs="Arial"/>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NAB NZ Banking Reporting Segment</w:t>
            </w:r>
            <w:bookmarkStart w:id="1" w:name="m_-4888619038459954752__ftnref2"/>
            <w:r w:rsidRPr="00225799">
              <w:rPr>
                <w:rFonts w:ascii="Times New Roman" w:eastAsia="Times New Roman" w:hAnsi="Times New Roman" w:cs="Times New Roman"/>
                <w:sz w:val="24"/>
                <w:szCs w:val="24"/>
                <w:lang w:eastAsia="en-NZ"/>
              </w:rPr>
              <w:fldChar w:fldCharType="begin"/>
            </w:r>
            <w:r w:rsidRPr="00225799">
              <w:rPr>
                <w:rFonts w:ascii="Times New Roman" w:eastAsia="Times New Roman" w:hAnsi="Times New Roman" w:cs="Times New Roman"/>
                <w:sz w:val="24"/>
                <w:szCs w:val="24"/>
                <w:lang w:eastAsia="en-NZ"/>
              </w:rPr>
              <w:instrText xml:space="preserve"> HYPERLINK "https://mail.google.com/mail/u/0/" \l "m_-4888619038459954752__ftn2" \o "" </w:instrText>
            </w:r>
            <w:r w:rsidRPr="00225799">
              <w:rPr>
                <w:rFonts w:ascii="Times New Roman" w:eastAsia="Times New Roman" w:hAnsi="Times New Roman" w:cs="Times New Roman"/>
                <w:sz w:val="24"/>
                <w:szCs w:val="24"/>
                <w:lang w:eastAsia="en-NZ"/>
              </w:rPr>
              <w:fldChar w:fldCharType="separate"/>
            </w:r>
            <w:r w:rsidRPr="00225799">
              <w:rPr>
                <w:rFonts w:ascii="Serrano Office" w:eastAsia="Times New Roman" w:hAnsi="Serrano Office" w:cs="Times New Roman"/>
                <w:b/>
                <w:bCs/>
                <w:color w:val="000000"/>
                <w:u w:val="single"/>
                <w:lang w:eastAsia="en-NZ"/>
              </w:rPr>
              <w:t>[2]</w:t>
            </w:r>
            <w:r w:rsidRPr="00225799">
              <w:rPr>
                <w:rFonts w:ascii="Times New Roman" w:eastAsia="Times New Roman" w:hAnsi="Times New Roman" w:cs="Times New Roman"/>
                <w:sz w:val="24"/>
                <w:szCs w:val="24"/>
                <w:lang w:eastAsia="en-NZ"/>
              </w:rPr>
              <w:fldChar w:fldCharType="end"/>
            </w:r>
            <w:bookmarkEnd w:id="1"/>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Underlying profit</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sz w:val="24"/>
                <w:szCs w:val="24"/>
                <w:lang w:eastAsia="en-NZ"/>
              </w:rPr>
              <w:t> increased by NZ$23 million or 3.6% mainly due to higher net interest income.</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 xml:space="preserve">Cash </w:t>
            </w:r>
            <w:proofErr w:type="gramStart"/>
            <w:r w:rsidRPr="00225799">
              <w:rPr>
                <w:rFonts w:ascii="Serrano Office" w:eastAsia="Times New Roman" w:hAnsi="Serrano Office" w:cs="Arial"/>
                <w:sz w:val="24"/>
                <w:szCs w:val="24"/>
                <w:lang w:eastAsia="en-NZ"/>
              </w:rPr>
              <w:t>earnings</w:t>
            </w:r>
            <w:bookmarkStart w:id="2" w:name="m_-4888619038459954752__ftnref3"/>
            <w:proofErr w:type="gramEnd"/>
            <w:r w:rsidRPr="00225799">
              <w:rPr>
                <w:rFonts w:ascii="Arial" w:eastAsia="Times New Roman" w:hAnsi="Arial" w:cs="Arial"/>
                <w:sz w:val="24"/>
                <w:szCs w:val="24"/>
                <w:lang w:eastAsia="en-NZ"/>
              </w:rPr>
              <w:fldChar w:fldCharType="begin"/>
            </w:r>
            <w:r w:rsidRPr="00225799">
              <w:rPr>
                <w:rFonts w:ascii="Arial" w:eastAsia="Times New Roman" w:hAnsi="Arial" w:cs="Arial"/>
                <w:sz w:val="24"/>
                <w:szCs w:val="24"/>
                <w:lang w:eastAsia="en-NZ"/>
              </w:rPr>
              <w:instrText xml:space="preserve"> HYPERLINK "https://mail.google.com/mail/u/0/" \l "m_-4888619038459954752__ftn3" \o "" </w:instrText>
            </w:r>
            <w:r w:rsidRPr="00225799">
              <w:rPr>
                <w:rFonts w:ascii="Arial" w:eastAsia="Times New Roman" w:hAnsi="Arial" w:cs="Arial"/>
                <w:sz w:val="24"/>
                <w:szCs w:val="24"/>
                <w:lang w:eastAsia="en-NZ"/>
              </w:rPr>
              <w:fldChar w:fldCharType="separate"/>
            </w:r>
            <w:r w:rsidRPr="00225799">
              <w:rPr>
                <w:rFonts w:ascii="Serrano Office" w:eastAsia="Times New Roman" w:hAnsi="Serrano Office" w:cs="Arial"/>
                <w:color w:val="1155CC"/>
                <w:u w:val="single"/>
                <w:lang w:eastAsia="en-NZ"/>
              </w:rPr>
              <w:t>[3]</w:t>
            </w:r>
            <w:r w:rsidRPr="00225799">
              <w:rPr>
                <w:rFonts w:ascii="Arial" w:eastAsia="Times New Roman" w:hAnsi="Arial" w:cs="Arial"/>
                <w:sz w:val="24"/>
                <w:szCs w:val="24"/>
                <w:lang w:eastAsia="en-NZ"/>
              </w:rPr>
              <w:fldChar w:fldCharType="end"/>
            </w:r>
            <w:bookmarkEnd w:id="2"/>
            <w:r w:rsidRPr="00225799">
              <w:rPr>
                <w:rFonts w:ascii="Serrano Office" w:eastAsia="Times New Roman" w:hAnsi="Serrano Office" w:cs="Arial"/>
                <w:sz w:val="24"/>
                <w:szCs w:val="24"/>
                <w:lang w:eastAsia="en-NZ"/>
              </w:rPr>
              <w:t> increase of NZ$43 million or 10.4% to $455 million was driven by higher net interest income and lower charges for bad and doubtful debts.</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lastRenderedPageBreak/>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Net interest income</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b/>
                <w:bCs/>
                <w:sz w:val="24"/>
                <w:szCs w:val="24"/>
                <w:lang w:eastAsia="en-NZ"/>
              </w:rPr>
              <w:t> </w:t>
            </w:r>
            <w:r w:rsidRPr="00225799">
              <w:rPr>
                <w:rFonts w:ascii="Serrano Office" w:eastAsia="Times New Roman" w:hAnsi="Serrano Office" w:cs="Arial"/>
                <w:sz w:val="24"/>
                <w:szCs w:val="24"/>
                <w:lang w:eastAsia="en-NZ"/>
              </w:rPr>
              <w:t>increased by NZ$25 million or 3.1%, driven by growth in lending and deposit volumes, partly offset by lower net interest margin.</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Net interest margin</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sz w:val="24"/>
                <w:szCs w:val="24"/>
                <w:lang w:eastAsia="en-NZ"/>
              </w:rPr>
              <w:t> decreased by 12 basis points to 2.15% driven higher funding costs and lower earnings on capital. This was partly offset by improved lending margin in both housing and business lending.</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Other operating income</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sz w:val="24"/>
                <w:szCs w:val="24"/>
                <w:lang w:eastAsia="en-NZ"/>
              </w:rPr>
              <w:t> increased by NZ$1 million or 0.4% mainly due to improved fees and commissions partially offset by lower markets sales income.   </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pacing w:val="2"/>
                <w:sz w:val="24"/>
                <w:szCs w:val="24"/>
                <w:lang w:eastAsia="en-NZ"/>
              </w:rPr>
              <w:t></w:t>
            </w:r>
            <w:r w:rsidRPr="00225799">
              <w:rPr>
                <w:rFonts w:ascii="Times New Roman" w:eastAsia="Times New Roman" w:hAnsi="Times New Roman" w:cs="Times New Roman"/>
                <w:spacing w:val="2"/>
                <w:sz w:val="14"/>
                <w:szCs w:val="14"/>
                <w:lang w:eastAsia="en-NZ"/>
              </w:rPr>
              <w:t>         </w:t>
            </w:r>
            <w:r w:rsidRPr="00225799">
              <w:rPr>
                <w:rFonts w:ascii="Serrano Office" w:eastAsia="Times New Roman" w:hAnsi="Serrano Office" w:cs="Arial"/>
                <w:sz w:val="24"/>
                <w:szCs w:val="24"/>
                <w:lang w:eastAsia="en-NZ"/>
              </w:rPr>
              <w:t>Operating expenses</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sz w:val="24"/>
                <w:szCs w:val="24"/>
                <w:lang w:eastAsia="en-NZ"/>
              </w:rPr>
              <w:t> increased by NZ$3 million or 0.7% mainly due to the investment in Auckland and broker channels in 2016 resulting in higher depreciation and amortisation expense, offset by operating efficiencies.</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b/>
                <w:bCs/>
                <w:color w:val="000000"/>
                <w:spacing w:val="2"/>
                <w:sz w:val="24"/>
                <w:szCs w:val="24"/>
                <w:lang w:eastAsia="en-NZ"/>
              </w:rPr>
              <w:t>Charges for bad and doubtful debts</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color w:val="000000"/>
                <w:spacing w:val="2"/>
                <w:sz w:val="24"/>
                <w:szCs w:val="24"/>
                <w:lang w:eastAsia="en-NZ"/>
              </w:rPr>
              <w:t> </w:t>
            </w:r>
            <w:r w:rsidRPr="00225799">
              <w:rPr>
                <w:rFonts w:ascii="Serrano Office" w:eastAsia="Times New Roman" w:hAnsi="Serrano Office" w:cs="Arial"/>
                <w:sz w:val="24"/>
                <w:szCs w:val="24"/>
                <w:lang w:eastAsia="en-NZ"/>
              </w:rPr>
              <w:t>decreased by NZ$44 million or 52.4% as a result of improved economic conditions, including the outlook for the dairy portfolio.</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sz w:val="24"/>
                <w:szCs w:val="24"/>
                <w:lang w:eastAsia="en-NZ"/>
              </w:rPr>
              <w:t>Customer deposits</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sz w:val="24"/>
                <w:szCs w:val="24"/>
                <w:lang w:eastAsia="en-NZ"/>
              </w:rPr>
              <w:t> increased by NZ$4.2 billion or 8.6% as a result of the focus on deposit growth.</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ymbol" w:eastAsia="Times New Roman" w:hAnsi="Symbol" w:cs="Arial"/>
                <w:sz w:val="24"/>
                <w:szCs w:val="24"/>
                <w:lang w:eastAsia="en-NZ"/>
              </w:rPr>
              <w:t></w:t>
            </w:r>
            <w:r w:rsidRPr="00225799">
              <w:rPr>
                <w:rFonts w:ascii="Times New Roman" w:eastAsia="Times New Roman" w:hAnsi="Times New Roman" w:cs="Times New Roman"/>
                <w:sz w:val="14"/>
                <w:szCs w:val="14"/>
                <w:lang w:eastAsia="en-NZ"/>
              </w:rPr>
              <w:t>         </w:t>
            </w:r>
            <w:r w:rsidRPr="00225799">
              <w:rPr>
                <w:rFonts w:ascii="Serrano Office" w:eastAsia="Times New Roman" w:hAnsi="Serrano Office" w:cs="Arial"/>
                <w:b/>
                <w:bCs/>
                <w:sz w:val="24"/>
                <w:szCs w:val="24"/>
                <w:lang w:eastAsia="en-NZ"/>
              </w:rPr>
              <w:t>Gross loans and acceptances</w:t>
            </w:r>
            <w:r w:rsidRPr="00225799">
              <w:rPr>
                <w:rFonts w:ascii="Serrano Office" w:eastAsia="Times New Roman" w:hAnsi="Serrano Office" w:cs="Arial"/>
                <w:sz w:val="24"/>
                <w:szCs w:val="24"/>
                <w:vertAlign w:val="superscript"/>
                <w:lang w:eastAsia="en-NZ"/>
              </w:rPr>
              <w:t>2</w:t>
            </w:r>
            <w:r w:rsidRPr="00225799">
              <w:rPr>
                <w:rFonts w:ascii="Serrano Office" w:eastAsia="Times New Roman" w:hAnsi="Serrano Office" w:cs="Arial"/>
                <w:b/>
                <w:bCs/>
                <w:sz w:val="24"/>
                <w:szCs w:val="24"/>
                <w:lang w:eastAsia="en-NZ"/>
              </w:rPr>
              <w:t> </w:t>
            </w:r>
            <w:r w:rsidRPr="00225799">
              <w:rPr>
                <w:rFonts w:ascii="Serrano Office" w:eastAsia="Times New Roman" w:hAnsi="Serrano Office" w:cs="Arial"/>
                <w:sz w:val="24"/>
                <w:szCs w:val="24"/>
                <w:lang w:eastAsia="en-NZ"/>
              </w:rPr>
              <w:t>increased by NZ$5.1 billion or 7.2% driven by housing and business lending.</w:t>
            </w:r>
          </w:p>
          <w:p w:rsidR="00225799" w:rsidRPr="00225799" w:rsidRDefault="00225799" w:rsidP="00225799">
            <w:pPr>
              <w:spacing w:before="100" w:beforeAutospacing="1" w:after="0" w:line="240" w:lineRule="auto"/>
              <w:ind w:left="405"/>
              <w:rPr>
                <w:rFonts w:ascii="Arial" w:eastAsia="Times New Roman" w:hAnsi="Arial" w:cs="Arial"/>
                <w:sz w:val="24"/>
                <w:szCs w:val="24"/>
                <w:lang w:eastAsia="en-NZ"/>
              </w:rPr>
            </w:pPr>
            <w:r w:rsidRPr="00225799">
              <w:rPr>
                <w:rFonts w:ascii="Serrano Office" w:eastAsia="Times New Roman" w:hAnsi="Serrano Office" w:cs="Arial"/>
                <w:b/>
                <w:bCs/>
                <w:sz w:val="24"/>
                <w:szCs w:val="24"/>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Arial" w:eastAsia="Times New Roman" w:hAnsi="Arial" w:cs="Arial"/>
                <w:b/>
                <w:bCs/>
                <w:u w:val="single"/>
                <w:lang w:eastAsia="en-NZ"/>
              </w:rPr>
              <w:t>Commentary – Anthony Healy</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Arial" w:eastAsia="Times New Roman" w:hAnsi="Arial" w:cs="Arial"/>
                <w:b/>
                <w:bCs/>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sz w:val="24"/>
                <w:szCs w:val="24"/>
                <w:lang w:eastAsia="en-NZ"/>
              </w:rPr>
              <w:t>Digital investment</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“BNZ continues to invest in digital and online banking and payments technology to meet customer demand. </w:t>
            </w:r>
            <w:r w:rsidRPr="00225799">
              <w:rPr>
                <w:rFonts w:ascii="Serrano Office" w:eastAsia="Times New Roman" w:hAnsi="Serrano Office" w:cs="Times New Roman"/>
                <w:color w:val="000000"/>
                <w:sz w:val="24"/>
                <w:szCs w:val="24"/>
                <w:lang w:eastAsia="en-NZ"/>
              </w:rPr>
              <w:t>Since FY14 we have seen a 25% increase in the number of people working in our digital teams. </w:t>
            </w:r>
            <w:r w:rsidRPr="00225799">
              <w:rPr>
                <w:rFonts w:ascii="Serrano Office" w:eastAsia="Times New Roman" w:hAnsi="Serrano Office" w:cs="Times New Roman"/>
                <w:color w:val="000000"/>
                <w:sz w:val="24"/>
                <w:szCs w:val="24"/>
                <w:lang w:val="en-US" w:eastAsia="en-NZ"/>
              </w:rPr>
              <w:t>89% of transactions are now either through internet banking or our app – that is up to 14m sessions each month. This is a 25% increase overall and mobile is up 34%.</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“Highlights for this half include the New Zealand launch of BNZ Android Pay in December 2016 on our BNZ Flexi Debit Visa card. Within a week we had reached our 60-day target for customer sign ups. Transactions and sign ups show that our customers are open to new ways of paying. In April, we integrated Android Pay into the BNZ app which is an Asia-Pacific first. This means Android Pay can be set up and used with the BNZ app, (as opposed to having to download a separate Android app) making it easier for our customers to use.</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val="en-US" w:eastAsia="en-NZ"/>
              </w:rPr>
              <w:t>“Our digital investment is helping our customers reach their financial goals. Our home loan repayment calculator allows them to increase their home loan payments from the comfort of their couch. So far, customers who have made increases to their payments stand to save $187m and take 43,000 years off their home loans.  On average, customers using this tool to increase their payments have taken two years and three months off their home loan.”</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val="en-US" w:eastAsia="en-NZ"/>
              </w:rPr>
              <w:lastRenderedPageBreak/>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Re-shaping our channels</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“Our customers' needs and preferences are changing rapidly - they expect simple, intuitive experiences, fast turnarounds, simple processes and technology that is "always on". We need to evolve with our customers to remain relevant, and it is this imperative that is driving our investment in digital platforms, our focus on end-to-end customer experiences, and our ongoing re-shaping of our physical and digital footprint.</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With almost nine out of ten transactions with our customers now happening online, this means changes in our store network. Sometimes this means reducing hours, sometimes this means closing stores, and sometimes this means opening stores in new areas. This reshaping of our network will continue into the future, informed by our customers' needs and preferences.</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And as we simplify and deliver better customer experiences that are faster and more efficient, we are automating and digitising things that are currently manual and don't need to be.  Both these initiatives will mean fewer people in parts of our business as well as growth of investment in areas of our business that didn’t exist 10 years ago or indeed, even today. Where possible we look to redeploy our people affected by these changes into other parts of our business where we are hiring.”</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sz w:val="24"/>
                <w:szCs w:val="24"/>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Business Banking</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“Our BNZ Partners offering continues to resonate strongly in the market with SMEs. We opened a new Partners Centre in the Christchurch CBD in December 2016, and in March opened a co-working space in our new Christchurch retail store, for small businesses, called community 101.</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 </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Serrano Office" w:eastAsia="Times New Roman" w:hAnsi="Serrano Office" w:cs="Arial"/>
                <w:color w:val="000000"/>
                <w:lang w:eastAsia="en-NZ"/>
              </w:rPr>
              <w:t>Our business banking model is a real differentiator for us in the market and our support of regional New Zealand can be seen through the reach of our 34 Partners Centres across the country.”</w:t>
            </w:r>
          </w:p>
          <w:p w:rsidR="00225799" w:rsidRPr="00225799" w:rsidRDefault="00225799" w:rsidP="00225799">
            <w:pPr>
              <w:spacing w:before="100" w:beforeAutospacing="1" w:after="100" w:afterAutospacing="1" w:line="240" w:lineRule="auto"/>
              <w:rPr>
                <w:rFonts w:ascii="Arial" w:eastAsia="Times New Roman" w:hAnsi="Arial" w:cs="Arial"/>
                <w:sz w:val="24"/>
                <w:szCs w:val="24"/>
                <w:lang w:eastAsia="en-NZ"/>
              </w:rPr>
            </w:pPr>
            <w:r w:rsidRPr="00225799">
              <w:rPr>
                <w:rFonts w:ascii="Arial" w:eastAsia="Times New Roman" w:hAnsi="Arial" w:cs="Arial"/>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sz w:val="24"/>
                <w:szCs w:val="24"/>
                <w:lang w:eastAsia="en-NZ"/>
              </w:rPr>
              <w:t>Mortgage market</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“We have had a </w:t>
            </w:r>
            <w:r w:rsidRPr="00225799">
              <w:rPr>
                <w:rFonts w:ascii="Serrano Office" w:eastAsia="Times New Roman" w:hAnsi="Serrano Office" w:cs="Times New Roman"/>
                <w:color w:val="000000"/>
                <w:sz w:val="24"/>
                <w:szCs w:val="24"/>
                <w:lang w:eastAsia="en-NZ"/>
              </w:rPr>
              <w:t>real focus on </w:t>
            </w:r>
            <w:r w:rsidRPr="00225799">
              <w:rPr>
                <w:rFonts w:ascii="Serrano Office" w:eastAsia="Times New Roman" w:hAnsi="Serrano Office" w:cs="Times New Roman"/>
                <w:sz w:val="24"/>
                <w:szCs w:val="24"/>
                <w:lang w:eastAsia="en-NZ"/>
              </w:rPr>
              <w:t>sustainable growth and the broker market is key for us achieving that, with growth of $900 million in broker home loans this year.  We have a strong portfolio of six broker partners, who in turn have more than 800 advisors. We’ve made improvements to our processes and we’re realising the productivity benefits of this.</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“Housing affordability continues to be an issue, though most recently we have seen the impact of the loan-to-value restrictions in the housing market and prices, particularly in Auckland, have seemed to plateau. We anticipate there will be increased pressure on lending margins in the coming months which will influence interest rates. Essentially, while funding costs have fallen they haven’t fallen by as much as our lending rates, which means our margins have reduced.  </w:t>
            </w:r>
            <w:r w:rsidRPr="00225799">
              <w:rPr>
                <w:rFonts w:ascii="Serrano Office" w:eastAsia="Times New Roman" w:hAnsi="Serrano Office" w:cs="Times New Roman"/>
                <w:color w:val="000000"/>
                <w:sz w:val="24"/>
                <w:szCs w:val="24"/>
                <w:lang w:eastAsia="en-NZ"/>
              </w:rPr>
              <w:t xml:space="preserve">Today there are more people looking to borrow, so </w:t>
            </w:r>
            <w:r w:rsidRPr="00225799">
              <w:rPr>
                <w:rFonts w:ascii="Serrano Office" w:eastAsia="Times New Roman" w:hAnsi="Serrano Office" w:cs="Times New Roman"/>
                <w:color w:val="000000"/>
                <w:sz w:val="24"/>
                <w:szCs w:val="24"/>
                <w:lang w:eastAsia="en-NZ"/>
              </w:rPr>
              <w:lastRenderedPageBreak/>
              <w:t>banks are paying more to win customers deposits so this will lead to higher lending costs being passed through to borrowers.”</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sz w:val="24"/>
                <w:szCs w:val="24"/>
                <w:lang w:eastAsia="en-NZ"/>
              </w:rPr>
              <w:t>Contribution to a high-achieving New Zealand</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xml:space="preserve">“The expansion of the Community Finance Initiative is a real highlight. Government has committed an additional $4.2million in operating expenditure and we have worked with Good Shepherd and our community providers to expand this service in new areas including </w:t>
            </w:r>
            <w:proofErr w:type="spellStart"/>
            <w:r w:rsidRPr="00225799">
              <w:rPr>
                <w:rFonts w:ascii="Serrano Office" w:eastAsia="Times New Roman" w:hAnsi="Serrano Office" w:cs="Times New Roman"/>
                <w:sz w:val="24"/>
                <w:szCs w:val="24"/>
                <w:lang w:eastAsia="en-NZ"/>
              </w:rPr>
              <w:t>Whangarei</w:t>
            </w:r>
            <w:proofErr w:type="spellEnd"/>
            <w:r w:rsidRPr="00225799">
              <w:rPr>
                <w:rFonts w:ascii="Serrano Office" w:eastAsia="Times New Roman" w:hAnsi="Serrano Office" w:cs="Times New Roman"/>
                <w:sz w:val="24"/>
                <w:szCs w:val="24"/>
                <w:lang w:eastAsia="en-NZ"/>
              </w:rPr>
              <w:t xml:space="preserve">, Hamilton, Tauranga, Hawkes Bay, Palmerston North, </w:t>
            </w:r>
            <w:proofErr w:type="spellStart"/>
            <w:r w:rsidRPr="00225799">
              <w:rPr>
                <w:rFonts w:ascii="Serrano Office" w:eastAsia="Times New Roman" w:hAnsi="Serrano Office" w:cs="Times New Roman"/>
                <w:sz w:val="24"/>
                <w:szCs w:val="24"/>
                <w:lang w:eastAsia="en-NZ"/>
              </w:rPr>
              <w:t>Rotorua</w:t>
            </w:r>
            <w:proofErr w:type="spellEnd"/>
            <w:r w:rsidRPr="00225799">
              <w:rPr>
                <w:rFonts w:ascii="Serrano Office" w:eastAsia="Times New Roman" w:hAnsi="Serrano Office" w:cs="Times New Roman"/>
                <w:sz w:val="24"/>
                <w:szCs w:val="24"/>
                <w:lang w:eastAsia="en-NZ"/>
              </w:rPr>
              <w:t>, Wellington, Christchurch and Invercargill.  Community Finance offers low and no interest loans to New Zealanders who typically don’t meet bank criteria. We estimate that our $1,046,248 of lending has saved customers more than $560,000 compared with borrowing through alternative lenders.  BNZ has committed a total of $60 million of lending to support growth of the community finance initiative and has a dedicated team to support the initiative.”</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Additionally, in March, BNZ’s new responsible investment strategy took effect and we now exclude international equity investment in companies manufacturing cluster bombs, nuclear armaments, land mines and tobacco. We listened to the views expressed in the responsible investment debate last year and have aligned BNZ with our customers’ opinions.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color w:val="000000"/>
                <w:sz w:val="24"/>
                <w:szCs w:val="24"/>
                <w:lang w:eastAsia="en-NZ"/>
              </w:rPr>
              <w:t>Capital and Funding Position</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BNZ maintains a robust capital structure, with a strong balance sheet that is well funded through diversified and stable funding sources. BNZ’s Core Funding Ratio (CFR) </w:t>
            </w:r>
            <w:r w:rsidRPr="00225799">
              <w:rPr>
                <w:rFonts w:ascii="Serrano Office" w:eastAsia="Times New Roman" w:hAnsi="Serrano Office" w:cs="Times New Roman"/>
                <w:sz w:val="24"/>
                <w:szCs w:val="24"/>
                <w:lang w:eastAsia="en-NZ"/>
              </w:rPr>
              <w:t>of 85.59% exceeds the Reserve Bank of New Zealand (RBNZ) minimum requirement of 75% as at 31 March 2017. BNZ’s Common Equity Tier 1, Tier 1 and Total capital ratios of 10.55%, 12.06% and 13.29% </w:t>
            </w:r>
            <w:r w:rsidRPr="00225799">
              <w:rPr>
                <w:rFonts w:ascii="Serrano Office" w:eastAsia="Times New Roman" w:hAnsi="Serrano Office" w:cs="Times New Roman"/>
                <w:color w:val="000000"/>
                <w:sz w:val="24"/>
                <w:szCs w:val="24"/>
                <w:lang w:eastAsia="en-NZ"/>
              </w:rPr>
              <w:t>respectively, as at 31 March 2017, were well above the RBNZ minimum capital ratio requirements of 7.00%, 8.50% and 10.50% respectively.</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In October 2016, BNZ issued NZ$900million of mandatorily convertible subordinated perpetual unsecured notes to its ultimate parent, National Australia Bank Limited.</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000000"/>
                <w:sz w:val="24"/>
                <w:szCs w:val="24"/>
                <w:lang w:eastAsia="en-NZ"/>
              </w:rPr>
              <w:t>Collectively, BNZ’s funding and capital position is supportive of BNZ’s long</w:t>
            </w:r>
            <w:r w:rsidRPr="00225799">
              <w:rPr>
                <w:rFonts w:ascii="Cambria Math" w:eastAsia="Times New Roman" w:hAnsi="Cambria Math" w:cs="Times New Roman"/>
                <w:color w:val="000000"/>
                <w:sz w:val="24"/>
                <w:szCs w:val="24"/>
                <w:lang w:eastAsia="en-NZ"/>
              </w:rPr>
              <w:t>‐</w:t>
            </w:r>
            <w:r w:rsidRPr="00225799">
              <w:rPr>
                <w:rFonts w:ascii="Serrano Office" w:eastAsia="Times New Roman" w:hAnsi="Serrano Office" w:cs="Times New Roman"/>
                <w:color w:val="000000"/>
                <w:sz w:val="24"/>
                <w:szCs w:val="24"/>
                <w:lang w:eastAsia="en-NZ"/>
              </w:rPr>
              <w:t>term senior unsecured issuer credit ratings of AA</w:t>
            </w:r>
            <w:r w:rsidRPr="00225799">
              <w:rPr>
                <w:rFonts w:ascii="Cambria Math" w:eastAsia="Times New Roman" w:hAnsi="Cambria Math" w:cs="Times New Roman"/>
                <w:color w:val="000000"/>
                <w:sz w:val="24"/>
                <w:szCs w:val="24"/>
                <w:lang w:eastAsia="en-NZ"/>
              </w:rPr>
              <w:t>‐</w:t>
            </w:r>
            <w:r w:rsidRPr="00225799">
              <w:rPr>
                <w:rFonts w:ascii="Serrano Office" w:eastAsia="Times New Roman" w:hAnsi="Serrano Office" w:cs="Times New Roman"/>
                <w:color w:val="000000"/>
                <w:sz w:val="24"/>
                <w:szCs w:val="24"/>
                <w:lang w:eastAsia="en-NZ"/>
              </w:rPr>
              <w:t>/Aa3/AA</w:t>
            </w:r>
            <w:r w:rsidRPr="00225799">
              <w:rPr>
                <w:rFonts w:ascii="Cambria Math" w:eastAsia="Times New Roman" w:hAnsi="Cambria Math" w:cs="Times New Roman"/>
                <w:color w:val="000000"/>
                <w:sz w:val="24"/>
                <w:szCs w:val="24"/>
                <w:lang w:eastAsia="en-NZ"/>
              </w:rPr>
              <w:t>‐</w:t>
            </w:r>
            <w:r w:rsidRPr="00225799">
              <w:rPr>
                <w:rFonts w:ascii="Serrano Office" w:eastAsia="Times New Roman" w:hAnsi="Serrano Office" w:cs="Times New Roman"/>
                <w:color w:val="000000"/>
                <w:sz w:val="24"/>
                <w:szCs w:val="24"/>
                <w:lang w:eastAsia="en-NZ"/>
              </w:rPr>
              <w:t> (S&amp;P/Moody’s/Fitch).</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color w:val="FF0000"/>
                <w:sz w:val="24"/>
                <w:szCs w:val="24"/>
                <w:lang w:eastAsia="en-NZ"/>
              </w:rPr>
              <w:t> </w:t>
            </w:r>
          </w:p>
          <w:p w:rsidR="00225799" w:rsidRPr="00225799" w:rsidRDefault="00225799" w:rsidP="00225799">
            <w:pPr>
              <w:spacing w:after="0" w:line="240" w:lineRule="auto"/>
              <w:rPr>
                <w:rFonts w:ascii="Times New Roman" w:eastAsia="Times New Roman" w:hAnsi="Times New Roman" w:cs="Times New Roman"/>
                <w:sz w:val="24"/>
                <w:szCs w:val="24"/>
                <w:lang w:eastAsia="en-NZ"/>
              </w:rPr>
            </w:pPr>
            <w:r w:rsidRPr="00225799">
              <w:rPr>
                <w:rFonts w:ascii="Serrano Office" w:eastAsia="Times New Roman" w:hAnsi="Serrano Office" w:cs="Times New Roman"/>
                <w:b/>
                <w:bCs/>
                <w:color w:val="000000"/>
                <w:sz w:val="24"/>
                <w:szCs w:val="24"/>
                <w:lang w:eastAsia="en-NZ"/>
              </w:rPr>
              <w:t>ENDS</w:t>
            </w:r>
          </w:p>
        </w:tc>
      </w:tr>
    </w:tbl>
    <w:p w:rsidR="00225799" w:rsidRPr="00225799" w:rsidRDefault="00225799" w:rsidP="00225799">
      <w:pPr>
        <w:shd w:val="clear" w:color="auto" w:fill="FFFFFF"/>
        <w:spacing w:before="100" w:beforeAutospacing="1" w:after="100" w:afterAutospacing="1" w:line="240" w:lineRule="auto"/>
        <w:jc w:val="both"/>
        <w:rPr>
          <w:rFonts w:ascii="Arial" w:eastAsia="Times New Roman" w:hAnsi="Arial" w:cs="Arial"/>
          <w:color w:val="222222"/>
          <w:sz w:val="19"/>
          <w:szCs w:val="19"/>
          <w:lang w:eastAsia="en-NZ"/>
        </w:rPr>
      </w:pPr>
      <w:r w:rsidRPr="00225799">
        <w:rPr>
          <w:rFonts w:ascii="Serrano Office" w:eastAsia="Times New Roman" w:hAnsi="Serrano Office" w:cs="Arial"/>
          <w:color w:val="222222"/>
          <w:lang w:val="en-GB" w:eastAsia="en-NZ"/>
        </w:rPr>
        <w:lastRenderedPageBreak/>
        <w:t>For further information, contact:  Katherine Cornish, External relations manager M. 021 947 835</w:t>
      </w:r>
    </w:p>
    <w:p w:rsidR="00225799" w:rsidRPr="00225799" w:rsidRDefault="00225799" w:rsidP="00225799">
      <w:pPr>
        <w:shd w:val="clear" w:color="auto" w:fill="FFFFFF"/>
        <w:spacing w:before="100" w:beforeAutospacing="1" w:after="100" w:afterAutospacing="1" w:line="240" w:lineRule="auto"/>
        <w:jc w:val="both"/>
        <w:rPr>
          <w:rFonts w:ascii="Arial" w:eastAsia="Times New Roman" w:hAnsi="Arial" w:cs="Arial"/>
          <w:color w:val="222222"/>
          <w:sz w:val="19"/>
          <w:szCs w:val="19"/>
          <w:lang w:eastAsia="en-NZ"/>
        </w:rPr>
      </w:pPr>
      <w:r w:rsidRPr="00225799">
        <w:rPr>
          <w:rFonts w:ascii="Serrano Office" w:eastAsia="Times New Roman" w:hAnsi="Serrano Office" w:cs="Arial"/>
          <w:b/>
          <w:bCs/>
          <w:color w:val="222222"/>
          <w:lang w:val="en-GB" w:eastAsia="en-NZ"/>
        </w:rPr>
        <w:t>E. </w:t>
      </w:r>
      <w:hyperlink r:id="rId5" w:tgtFrame="_blank" w:history="1">
        <w:r w:rsidRPr="00225799">
          <w:rPr>
            <w:rFonts w:ascii="Serrano Office" w:eastAsia="Times New Roman" w:hAnsi="Serrano Office" w:cs="Arial"/>
            <w:color w:val="1155CC"/>
            <w:u w:val="single"/>
            <w:lang w:val="en-GB" w:eastAsia="en-NZ"/>
          </w:rPr>
          <w:t>Katherine_cornish@bnz.co.nz</w:t>
        </w:r>
      </w:hyperlink>
    </w:p>
    <w:p w:rsidR="00225799" w:rsidRPr="00225799" w:rsidRDefault="00225799" w:rsidP="00225799">
      <w:pPr>
        <w:shd w:val="clear" w:color="auto" w:fill="FFFFFF"/>
        <w:spacing w:before="100" w:beforeAutospacing="1" w:after="100" w:afterAutospacing="1" w:line="240" w:lineRule="auto"/>
        <w:jc w:val="both"/>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val="en-GB" w:eastAsia="en-NZ"/>
        </w:rPr>
        <w:t> </w:t>
      </w:r>
    </w:p>
    <w:p w:rsidR="00225799" w:rsidRPr="00225799" w:rsidRDefault="00225799" w:rsidP="00225799">
      <w:pPr>
        <w:shd w:val="clear" w:color="auto" w:fill="FFFFFF"/>
        <w:spacing w:before="100" w:beforeAutospacing="1" w:after="100" w:afterAutospacing="1" w:line="240" w:lineRule="auto"/>
        <w:jc w:val="both"/>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val="en-GB"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lastRenderedPageBreak/>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Serrano Office" w:eastAsia="Times New Roman" w:hAnsi="Serrano Office" w:cs="Times New Roman"/>
          <w:color w:val="222222"/>
          <w:sz w:val="24"/>
          <w:szCs w:val="24"/>
          <w:lang w:eastAsia="en-NZ"/>
        </w:rPr>
        <w:t> </w:t>
      </w:r>
    </w:p>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t> </w:t>
      </w:r>
    </w:p>
    <w:p w:rsidR="00225799" w:rsidRPr="00225799" w:rsidRDefault="00225799" w:rsidP="00225799">
      <w:pPr>
        <w:shd w:val="clear" w:color="auto" w:fill="FFFFFF"/>
        <w:spacing w:after="0" w:line="240" w:lineRule="auto"/>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eastAsia="en-NZ"/>
        </w:rPr>
        <w:br w:type="textWrapping" w:clear="all"/>
      </w:r>
    </w:p>
    <w:p w:rsidR="00225799" w:rsidRPr="00225799" w:rsidRDefault="00225799" w:rsidP="00225799">
      <w:pPr>
        <w:shd w:val="clear" w:color="auto" w:fill="FFFFFF"/>
        <w:spacing w:after="0" w:line="240" w:lineRule="auto"/>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eastAsia="en-NZ"/>
        </w:rPr>
        <w:pict>
          <v:rect id="_x0000_i1025" style="width:148.95pt;height:.75pt" o:hrpct="330" o:hrstd="t" o:hr="t" fillcolor="#a0a0a0" stroked="f"/>
        </w:pict>
      </w:r>
    </w:p>
    <w:bookmarkStart w:id="3" w:name="m_-4888619038459954752__ftn1"/>
    <w:p w:rsidR="00225799" w:rsidRPr="00225799" w:rsidRDefault="00225799" w:rsidP="00225799">
      <w:pPr>
        <w:shd w:val="clear" w:color="auto" w:fill="FFFFFF"/>
        <w:spacing w:before="100" w:beforeAutospacing="1" w:after="100" w:afterAutospacing="1" w:line="240" w:lineRule="auto"/>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eastAsia="en-NZ"/>
        </w:rPr>
        <w:fldChar w:fldCharType="begin"/>
      </w:r>
      <w:r w:rsidRPr="00225799">
        <w:rPr>
          <w:rFonts w:ascii="Arial" w:eastAsia="Times New Roman" w:hAnsi="Arial" w:cs="Arial"/>
          <w:color w:val="222222"/>
          <w:sz w:val="19"/>
          <w:szCs w:val="19"/>
          <w:lang w:eastAsia="en-NZ"/>
        </w:rPr>
        <w:instrText xml:space="preserve"> HYPERLINK "https://mail.google.com/mail/u/0/" \l "m_-4888619038459954752__ftnref1" \o "" </w:instrText>
      </w:r>
      <w:r w:rsidRPr="00225799">
        <w:rPr>
          <w:rFonts w:ascii="Arial" w:eastAsia="Times New Roman" w:hAnsi="Arial" w:cs="Arial"/>
          <w:color w:val="222222"/>
          <w:sz w:val="19"/>
          <w:szCs w:val="19"/>
          <w:lang w:eastAsia="en-NZ"/>
        </w:rPr>
        <w:fldChar w:fldCharType="separate"/>
      </w:r>
      <w:r w:rsidRPr="00225799">
        <w:rPr>
          <w:rFonts w:ascii="Times New Roman" w:eastAsia="Times New Roman" w:hAnsi="Times New Roman" w:cs="Times New Roman"/>
          <w:color w:val="1155CC"/>
          <w:sz w:val="20"/>
          <w:szCs w:val="20"/>
          <w:u w:val="single"/>
          <w:lang w:val="en-GB" w:eastAsia="en-NZ"/>
        </w:rPr>
        <w:t>[1]</w:t>
      </w:r>
      <w:r w:rsidRPr="00225799">
        <w:rPr>
          <w:rFonts w:ascii="Arial" w:eastAsia="Times New Roman" w:hAnsi="Arial" w:cs="Arial"/>
          <w:color w:val="222222"/>
          <w:sz w:val="19"/>
          <w:szCs w:val="19"/>
          <w:lang w:eastAsia="en-NZ"/>
        </w:rPr>
        <w:fldChar w:fldCharType="end"/>
      </w:r>
      <w:bookmarkEnd w:id="3"/>
      <w:r w:rsidRPr="00225799">
        <w:rPr>
          <w:rFonts w:ascii="Arial" w:eastAsia="Times New Roman" w:hAnsi="Arial" w:cs="Arial"/>
          <w:color w:val="222222"/>
          <w:sz w:val="19"/>
          <w:szCs w:val="19"/>
          <w:lang w:val="en-GB" w:eastAsia="en-NZ"/>
        </w:rPr>
        <w:t> “Banking Group” means Bank of New Zealand’s financial reporting group, which consists of Bank of New Zealand, all of its wholly owned entities and other entities consolidated for financial reporting purposes.</w:t>
      </w:r>
    </w:p>
    <w:bookmarkStart w:id="4" w:name="m_-4888619038459954752__ftn2"/>
    <w:p w:rsidR="00225799" w:rsidRPr="00225799" w:rsidRDefault="00225799" w:rsidP="00225799">
      <w:pPr>
        <w:shd w:val="clear" w:color="auto" w:fill="FFFFFF"/>
        <w:spacing w:before="100" w:beforeAutospacing="1" w:after="100" w:afterAutospacing="1" w:line="240" w:lineRule="auto"/>
        <w:rPr>
          <w:rFonts w:ascii="Arial" w:eastAsia="Times New Roman" w:hAnsi="Arial" w:cs="Arial"/>
          <w:color w:val="222222"/>
          <w:sz w:val="19"/>
          <w:szCs w:val="19"/>
          <w:lang w:eastAsia="en-NZ"/>
        </w:rPr>
      </w:pPr>
      <w:r w:rsidRPr="00225799">
        <w:rPr>
          <w:rFonts w:ascii="Arial" w:eastAsia="Times New Roman" w:hAnsi="Arial" w:cs="Arial"/>
          <w:color w:val="222222"/>
          <w:sz w:val="19"/>
          <w:szCs w:val="19"/>
          <w:lang w:eastAsia="en-NZ"/>
        </w:rPr>
        <w:fldChar w:fldCharType="begin"/>
      </w:r>
      <w:r w:rsidRPr="00225799">
        <w:rPr>
          <w:rFonts w:ascii="Arial" w:eastAsia="Times New Roman" w:hAnsi="Arial" w:cs="Arial"/>
          <w:color w:val="222222"/>
          <w:sz w:val="19"/>
          <w:szCs w:val="19"/>
          <w:lang w:eastAsia="en-NZ"/>
        </w:rPr>
        <w:instrText xml:space="preserve"> HYPERLINK "https://mail.google.com/mail/u/0/" \l "m_-4888619038459954752__ftnref2" \o "" </w:instrText>
      </w:r>
      <w:r w:rsidRPr="00225799">
        <w:rPr>
          <w:rFonts w:ascii="Arial" w:eastAsia="Times New Roman" w:hAnsi="Arial" w:cs="Arial"/>
          <w:color w:val="222222"/>
          <w:sz w:val="19"/>
          <w:szCs w:val="19"/>
          <w:lang w:eastAsia="en-NZ"/>
        </w:rPr>
        <w:fldChar w:fldCharType="separate"/>
      </w:r>
      <w:r w:rsidRPr="00225799">
        <w:rPr>
          <w:rFonts w:ascii="Times New Roman" w:eastAsia="Times New Roman" w:hAnsi="Times New Roman" w:cs="Times New Roman"/>
          <w:color w:val="1155CC"/>
          <w:sz w:val="20"/>
          <w:szCs w:val="20"/>
          <w:u w:val="single"/>
          <w:lang w:val="en-GB" w:eastAsia="en-NZ"/>
        </w:rPr>
        <w:t>[2]</w:t>
      </w:r>
      <w:r w:rsidRPr="00225799">
        <w:rPr>
          <w:rFonts w:ascii="Arial" w:eastAsia="Times New Roman" w:hAnsi="Arial" w:cs="Arial"/>
          <w:color w:val="222222"/>
          <w:sz w:val="19"/>
          <w:szCs w:val="19"/>
          <w:lang w:eastAsia="en-NZ"/>
        </w:rPr>
        <w:fldChar w:fldCharType="end"/>
      </w:r>
      <w:bookmarkEnd w:id="4"/>
      <w:r w:rsidRPr="00225799">
        <w:rPr>
          <w:rFonts w:ascii="Arial" w:eastAsia="Times New Roman" w:hAnsi="Arial" w:cs="Arial"/>
          <w:color w:val="222222"/>
          <w:sz w:val="19"/>
          <w:szCs w:val="19"/>
          <w:lang w:val="en-GB" w:eastAsia="en-NZ"/>
        </w:rPr>
        <w:t>  “NAB NZ Banking Reporting Segment”: excludes BNZ’s Group Capital Management and BNZ Markets Trading Operations from the “Banking Group” and includes the Insurance operation in New Zealand for management reporting purposes.</w:t>
      </w:r>
    </w:p>
    <w:bookmarkStart w:id="5" w:name="m_-4888619038459954752__ftn3"/>
    <w:p w:rsidR="00225799" w:rsidRPr="00225799" w:rsidRDefault="00225799" w:rsidP="00225799">
      <w:pPr>
        <w:shd w:val="clear" w:color="auto" w:fill="FFFFFF"/>
        <w:spacing w:after="0" w:line="240" w:lineRule="auto"/>
        <w:rPr>
          <w:rFonts w:ascii="Times New Roman" w:eastAsia="Times New Roman" w:hAnsi="Times New Roman" w:cs="Times New Roman"/>
          <w:color w:val="222222"/>
          <w:sz w:val="24"/>
          <w:szCs w:val="24"/>
          <w:lang w:eastAsia="en-NZ"/>
        </w:rPr>
      </w:pPr>
      <w:r w:rsidRPr="00225799">
        <w:rPr>
          <w:rFonts w:ascii="Times New Roman" w:eastAsia="Times New Roman" w:hAnsi="Times New Roman" w:cs="Times New Roman"/>
          <w:color w:val="222222"/>
          <w:sz w:val="24"/>
          <w:szCs w:val="24"/>
          <w:lang w:eastAsia="en-NZ"/>
        </w:rPr>
        <w:fldChar w:fldCharType="begin"/>
      </w:r>
      <w:r w:rsidRPr="00225799">
        <w:rPr>
          <w:rFonts w:ascii="Times New Roman" w:eastAsia="Times New Roman" w:hAnsi="Times New Roman" w:cs="Times New Roman"/>
          <w:color w:val="222222"/>
          <w:sz w:val="24"/>
          <w:szCs w:val="24"/>
          <w:lang w:eastAsia="en-NZ"/>
        </w:rPr>
        <w:instrText xml:space="preserve"> HYPERLINK "https://mail.google.com/mail/u/0/" \l "m_-4888619038459954752__ftnref3" \o "" </w:instrText>
      </w:r>
      <w:r w:rsidRPr="00225799">
        <w:rPr>
          <w:rFonts w:ascii="Times New Roman" w:eastAsia="Times New Roman" w:hAnsi="Times New Roman" w:cs="Times New Roman"/>
          <w:color w:val="222222"/>
          <w:sz w:val="24"/>
          <w:szCs w:val="24"/>
          <w:lang w:eastAsia="en-NZ"/>
        </w:rPr>
        <w:fldChar w:fldCharType="separate"/>
      </w:r>
      <w:r w:rsidRPr="00225799">
        <w:rPr>
          <w:rFonts w:ascii="Times New Roman" w:eastAsia="Times New Roman" w:hAnsi="Times New Roman" w:cs="Times New Roman"/>
          <w:color w:val="1155CC"/>
          <w:u w:val="single"/>
          <w:lang w:val="en-GB" w:eastAsia="en-NZ"/>
        </w:rPr>
        <w:t>[3]</w:t>
      </w:r>
      <w:r w:rsidRPr="00225799">
        <w:rPr>
          <w:rFonts w:ascii="Times New Roman" w:eastAsia="Times New Roman" w:hAnsi="Times New Roman" w:cs="Times New Roman"/>
          <w:color w:val="222222"/>
          <w:sz w:val="24"/>
          <w:szCs w:val="24"/>
          <w:lang w:eastAsia="en-NZ"/>
        </w:rPr>
        <w:fldChar w:fldCharType="end"/>
      </w:r>
      <w:bookmarkEnd w:id="5"/>
      <w:r w:rsidRPr="00225799">
        <w:rPr>
          <w:rFonts w:ascii="Times New Roman" w:eastAsia="Times New Roman" w:hAnsi="Times New Roman" w:cs="Times New Roman"/>
          <w:color w:val="222222"/>
          <w:sz w:val="24"/>
          <w:szCs w:val="24"/>
          <w:lang w:val="en-GB" w:eastAsia="en-NZ"/>
        </w:rPr>
        <w:t>  Cash earnings is a non-IFRS key financial performance measure used by BNZ for its internal management reporting as it better reflects what BNZ considers to be underlying performance. Cash earnings is calculated by excluding fair value movements and hedging gains/(losses) as they introduce volatility and/or distortion within the statutory net profit which is income neutral over the full term of transactions. A reconciliation of cash earnings to net profit is included on the final page. Cash earnings is not a statutory financial measure, is not presented in accordance with NZ GAAP and is not audited or reviewed in accordance with International Standards on Auditing (New Zealand).</w:t>
      </w:r>
    </w:p>
    <w:p w:rsidR="00082359" w:rsidRDefault="00082359">
      <w:bookmarkStart w:id="6" w:name="_GoBack"/>
      <w:bookmarkEnd w:id="6"/>
    </w:p>
    <w:sectPr w:rsidR="00082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rrano Offic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99"/>
    <w:rsid w:val="00082359"/>
    <w:rsid w:val="002257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1726D-739D-4766-A460-EF1202D3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25799"/>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5799"/>
    <w:rPr>
      <w:rFonts w:ascii="Times New Roman" w:eastAsia="Times New Roman" w:hAnsi="Times New Roman" w:cs="Times New Roman"/>
      <w:b/>
      <w:bCs/>
      <w:sz w:val="27"/>
      <w:szCs w:val="27"/>
      <w:lang w:eastAsia="en-NZ"/>
    </w:rPr>
  </w:style>
  <w:style w:type="character" w:customStyle="1" w:styleId="gd">
    <w:name w:val="gd"/>
    <w:basedOn w:val="DefaultParagraphFont"/>
    <w:rsid w:val="00225799"/>
  </w:style>
  <w:style w:type="character" w:customStyle="1" w:styleId="g3">
    <w:name w:val="g3"/>
    <w:basedOn w:val="DefaultParagraphFont"/>
    <w:rsid w:val="00225799"/>
  </w:style>
  <w:style w:type="character" w:customStyle="1" w:styleId="hb">
    <w:name w:val="hb"/>
    <w:basedOn w:val="DefaultParagraphFont"/>
    <w:rsid w:val="00225799"/>
  </w:style>
  <w:style w:type="paragraph" w:customStyle="1" w:styleId="m-4888619038459954752headline">
    <w:name w:val="m_-4888619038459954752headline"/>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225799"/>
    <w:rPr>
      <w:color w:val="0000FF"/>
      <w:u w:val="single"/>
    </w:rPr>
  </w:style>
  <w:style w:type="character" w:customStyle="1" w:styleId="m-4888619038459954752msofootnotereference">
    <w:name w:val="m_-4888619038459954752msofootnotereference"/>
    <w:basedOn w:val="DefaultParagraphFont"/>
    <w:rsid w:val="00225799"/>
  </w:style>
  <w:style w:type="character" w:customStyle="1" w:styleId="apple-converted-space">
    <w:name w:val="apple-converted-space"/>
    <w:basedOn w:val="DefaultParagraphFont"/>
    <w:rsid w:val="00225799"/>
  </w:style>
  <w:style w:type="character" w:customStyle="1" w:styleId="m-4888619038459954752bold">
    <w:name w:val="m_-4888619038459954752bold"/>
    <w:basedOn w:val="DefaultParagraphFont"/>
    <w:rsid w:val="00225799"/>
  </w:style>
  <w:style w:type="character" w:customStyle="1" w:styleId="m-4888619038459954752s2">
    <w:name w:val="m_-4888619038459954752s2"/>
    <w:basedOn w:val="DefaultParagraphFont"/>
    <w:rsid w:val="00225799"/>
  </w:style>
  <w:style w:type="paragraph" w:customStyle="1" w:styleId="m-4888619038459954752p2">
    <w:name w:val="m_-4888619038459954752p2"/>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m-4888619038459954752p1">
    <w:name w:val="m_-4888619038459954752p1"/>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m-4888619038459954752msolistparagraph">
    <w:name w:val="m_-4888619038459954752msolistparagraph"/>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m-4888619038459954752default">
    <w:name w:val="m_-4888619038459954752default"/>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m-4888619038459954752s3">
    <w:name w:val="m_-4888619038459954752s3"/>
    <w:basedOn w:val="DefaultParagraphFont"/>
    <w:rsid w:val="00225799"/>
  </w:style>
  <w:style w:type="character" w:customStyle="1" w:styleId="m-4888619038459954752apple-converted-space">
    <w:name w:val="m_-4888619038459954752apple-converted-space"/>
    <w:basedOn w:val="DefaultParagraphFont"/>
    <w:rsid w:val="00225799"/>
  </w:style>
  <w:style w:type="paragraph" w:customStyle="1" w:styleId="m-4888619038459954752msofooter">
    <w:name w:val="m_-4888619038459954752msofooter"/>
    <w:basedOn w:val="Normal"/>
    <w:rsid w:val="0022579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22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3221">
      <w:bodyDiv w:val="1"/>
      <w:marLeft w:val="0"/>
      <w:marRight w:val="0"/>
      <w:marTop w:val="0"/>
      <w:marBottom w:val="0"/>
      <w:divBdr>
        <w:top w:val="none" w:sz="0" w:space="0" w:color="auto"/>
        <w:left w:val="none" w:sz="0" w:space="0" w:color="auto"/>
        <w:bottom w:val="none" w:sz="0" w:space="0" w:color="auto"/>
        <w:right w:val="none" w:sz="0" w:space="0" w:color="auto"/>
      </w:divBdr>
      <w:divsChild>
        <w:div w:id="603880612">
          <w:marLeft w:val="0"/>
          <w:marRight w:val="0"/>
          <w:marTop w:val="0"/>
          <w:marBottom w:val="0"/>
          <w:divBdr>
            <w:top w:val="none" w:sz="0" w:space="0" w:color="auto"/>
            <w:left w:val="none" w:sz="0" w:space="0" w:color="auto"/>
            <w:bottom w:val="none" w:sz="0" w:space="0" w:color="auto"/>
            <w:right w:val="none" w:sz="0" w:space="0" w:color="auto"/>
          </w:divBdr>
          <w:divsChild>
            <w:div w:id="544416589">
              <w:marLeft w:val="0"/>
              <w:marRight w:val="0"/>
              <w:marTop w:val="0"/>
              <w:marBottom w:val="0"/>
              <w:divBdr>
                <w:top w:val="none" w:sz="0" w:space="0" w:color="auto"/>
                <w:left w:val="none" w:sz="0" w:space="0" w:color="auto"/>
                <w:bottom w:val="none" w:sz="0" w:space="0" w:color="auto"/>
                <w:right w:val="none" w:sz="0" w:space="0" w:color="auto"/>
              </w:divBdr>
              <w:divsChild>
                <w:div w:id="628515818">
                  <w:marLeft w:val="0"/>
                  <w:marRight w:val="0"/>
                  <w:marTop w:val="0"/>
                  <w:marBottom w:val="0"/>
                  <w:divBdr>
                    <w:top w:val="none" w:sz="0" w:space="0" w:color="auto"/>
                    <w:left w:val="none" w:sz="0" w:space="0" w:color="auto"/>
                    <w:bottom w:val="none" w:sz="0" w:space="0" w:color="auto"/>
                    <w:right w:val="none" w:sz="0" w:space="0" w:color="auto"/>
                  </w:divBdr>
                </w:div>
              </w:divsChild>
            </w:div>
            <w:div w:id="1512908738">
              <w:marLeft w:val="-15"/>
              <w:marRight w:val="0"/>
              <w:marTop w:val="0"/>
              <w:marBottom w:val="0"/>
              <w:divBdr>
                <w:top w:val="none" w:sz="0" w:space="0" w:color="auto"/>
                <w:left w:val="none" w:sz="0" w:space="0" w:color="auto"/>
                <w:bottom w:val="none" w:sz="0" w:space="0" w:color="auto"/>
                <w:right w:val="none" w:sz="0" w:space="0" w:color="auto"/>
              </w:divBdr>
            </w:div>
            <w:div w:id="1393623875">
              <w:marLeft w:val="0"/>
              <w:marRight w:val="0"/>
              <w:marTop w:val="0"/>
              <w:marBottom w:val="0"/>
              <w:divBdr>
                <w:top w:val="none" w:sz="0" w:space="0" w:color="auto"/>
                <w:left w:val="none" w:sz="0" w:space="0" w:color="auto"/>
                <w:bottom w:val="none" w:sz="0" w:space="0" w:color="auto"/>
                <w:right w:val="none" w:sz="0" w:space="0" w:color="auto"/>
              </w:divBdr>
            </w:div>
            <w:div w:id="397479086">
              <w:marLeft w:val="75"/>
              <w:marRight w:val="0"/>
              <w:marTop w:val="0"/>
              <w:marBottom w:val="0"/>
              <w:divBdr>
                <w:top w:val="none" w:sz="0" w:space="0" w:color="auto"/>
                <w:left w:val="none" w:sz="0" w:space="0" w:color="auto"/>
                <w:bottom w:val="none" w:sz="0" w:space="0" w:color="auto"/>
                <w:right w:val="none" w:sz="0" w:space="0" w:color="auto"/>
              </w:divBdr>
            </w:div>
          </w:divsChild>
        </w:div>
        <w:div w:id="1286697690">
          <w:marLeft w:val="0"/>
          <w:marRight w:val="0"/>
          <w:marTop w:val="0"/>
          <w:marBottom w:val="0"/>
          <w:divBdr>
            <w:top w:val="none" w:sz="0" w:space="0" w:color="auto"/>
            <w:left w:val="none" w:sz="0" w:space="0" w:color="auto"/>
            <w:bottom w:val="single" w:sz="8" w:space="0" w:color="auto"/>
            <w:right w:val="none" w:sz="0" w:space="0" w:color="auto"/>
          </w:divBdr>
        </w:div>
        <w:div w:id="1700812021">
          <w:marLeft w:val="0"/>
          <w:marRight w:val="0"/>
          <w:marTop w:val="0"/>
          <w:marBottom w:val="0"/>
          <w:divBdr>
            <w:top w:val="none" w:sz="0" w:space="0" w:color="auto"/>
            <w:left w:val="none" w:sz="0" w:space="0" w:color="auto"/>
            <w:bottom w:val="none" w:sz="0" w:space="0" w:color="auto"/>
            <w:right w:val="none" w:sz="0" w:space="0" w:color="auto"/>
          </w:divBdr>
          <w:divsChild>
            <w:div w:id="159126923">
              <w:marLeft w:val="0"/>
              <w:marRight w:val="0"/>
              <w:marTop w:val="0"/>
              <w:marBottom w:val="0"/>
              <w:divBdr>
                <w:top w:val="none" w:sz="0" w:space="0" w:color="auto"/>
                <w:left w:val="none" w:sz="0" w:space="0" w:color="auto"/>
                <w:bottom w:val="none" w:sz="0" w:space="0" w:color="auto"/>
                <w:right w:val="none" w:sz="0" w:space="0" w:color="auto"/>
              </w:divBdr>
            </w:div>
            <w:div w:id="37245429">
              <w:marLeft w:val="0"/>
              <w:marRight w:val="0"/>
              <w:marTop w:val="0"/>
              <w:marBottom w:val="0"/>
              <w:divBdr>
                <w:top w:val="none" w:sz="0" w:space="0" w:color="auto"/>
                <w:left w:val="none" w:sz="0" w:space="0" w:color="auto"/>
                <w:bottom w:val="none" w:sz="0" w:space="0" w:color="auto"/>
                <w:right w:val="none" w:sz="0" w:space="0" w:color="auto"/>
              </w:divBdr>
            </w:div>
            <w:div w:id="14334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_cornish@bnz.co.nz"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2017-05-03T22:20:00Z</cp:lastPrinted>
  <dcterms:created xsi:type="dcterms:W3CDTF">2017-05-03T22:20:00Z</dcterms:created>
  <dcterms:modified xsi:type="dcterms:W3CDTF">2017-05-03T22:22:00Z</dcterms:modified>
</cp:coreProperties>
</file>