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B24F" w14:textId="186E8377" w:rsidR="00E20354" w:rsidRPr="00ED3987" w:rsidRDefault="007156C3" w:rsidP="00292B96">
      <w:pPr>
        <w:pStyle w:val="TitleWorldline"/>
        <w:spacing w:line="276" w:lineRule="auto"/>
        <w:contextualSpacing/>
        <w:rPr>
          <w:szCs w:val="40"/>
          <w:lang w:val="en-US"/>
        </w:rPr>
      </w:pPr>
      <w:bookmarkStart w:id="0" w:name="_Hlk155708832"/>
      <w:r>
        <w:rPr>
          <w:szCs w:val="40"/>
          <w:lang w:val="en-US"/>
        </w:rPr>
        <w:t xml:space="preserve">The </w:t>
      </w:r>
      <w:r w:rsidR="009310B0">
        <w:rPr>
          <w:szCs w:val="40"/>
          <w:lang w:val="en-US"/>
        </w:rPr>
        <w:t xml:space="preserve">spending </w:t>
      </w:r>
      <w:r>
        <w:rPr>
          <w:szCs w:val="40"/>
          <w:lang w:val="en-US"/>
        </w:rPr>
        <w:t>squeeze continue</w:t>
      </w:r>
      <w:r w:rsidR="0075759E">
        <w:rPr>
          <w:szCs w:val="40"/>
          <w:lang w:val="en-US"/>
        </w:rPr>
        <w:t>d</w:t>
      </w:r>
      <w:r>
        <w:rPr>
          <w:szCs w:val="40"/>
          <w:lang w:val="en-US"/>
        </w:rPr>
        <w:t xml:space="preserve"> </w:t>
      </w:r>
      <w:r w:rsidR="0075759E">
        <w:rPr>
          <w:szCs w:val="40"/>
          <w:lang w:val="en-US"/>
        </w:rPr>
        <w:t xml:space="preserve">in May </w:t>
      </w:r>
      <w:r>
        <w:rPr>
          <w:szCs w:val="40"/>
          <w:lang w:val="en-US"/>
        </w:rPr>
        <w:t xml:space="preserve">for retail </w:t>
      </w:r>
      <w:r w:rsidR="00382EC1">
        <w:rPr>
          <w:szCs w:val="40"/>
          <w:lang w:val="en-US"/>
        </w:rPr>
        <w:t>merchants</w:t>
      </w:r>
      <w:r w:rsidR="0085571D">
        <w:rPr>
          <w:szCs w:val="40"/>
          <w:lang w:val="en-US"/>
        </w:rPr>
        <w:t>,</w:t>
      </w:r>
      <w:r w:rsidR="009310B0">
        <w:rPr>
          <w:szCs w:val="40"/>
          <w:lang w:val="en-US"/>
        </w:rPr>
        <w:t xml:space="preserve"> </w:t>
      </w:r>
      <w:r w:rsidR="00C32369">
        <w:rPr>
          <w:szCs w:val="40"/>
          <w:lang w:val="en-US"/>
        </w:rPr>
        <w:t xml:space="preserve">but </w:t>
      </w:r>
      <w:r w:rsidR="009310B0">
        <w:rPr>
          <w:szCs w:val="40"/>
          <w:lang w:val="en-US"/>
        </w:rPr>
        <w:t>consumers</w:t>
      </w:r>
      <w:r w:rsidR="005A0482">
        <w:rPr>
          <w:szCs w:val="40"/>
          <w:lang w:val="en-US"/>
        </w:rPr>
        <w:t xml:space="preserve"> still </w:t>
      </w:r>
      <w:r w:rsidR="006C440A">
        <w:rPr>
          <w:szCs w:val="40"/>
          <w:lang w:val="en-US"/>
        </w:rPr>
        <w:t xml:space="preserve">made </w:t>
      </w:r>
      <w:r w:rsidR="005A0482">
        <w:rPr>
          <w:szCs w:val="40"/>
          <w:lang w:val="en-US"/>
        </w:rPr>
        <w:t>time for mum</w:t>
      </w:r>
    </w:p>
    <w:bookmarkEnd w:id="0"/>
    <w:p w14:paraId="6FDB507D" w14:textId="728EB15C" w:rsidR="00A272BE" w:rsidRDefault="00CD330C" w:rsidP="005B17F3">
      <w:pPr>
        <w:spacing w:line="240" w:lineRule="auto"/>
        <w:rPr>
          <w:b/>
          <w:lang w:val="en-US"/>
        </w:rPr>
      </w:pPr>
      <w:r>
        <w:rPr>
          <w:b/>
          <w:lang w:val="en-US"/>
        </w:rPr>
        <w:br/>
      </w:r>
      <w:r w:rsidR="00936808">
        <w:rPr>
          <w:b/>
          <w:lang w:val="en-US"/>
        </w:rPr>
        <w:t xml:space="preserve">AUCKLAND, </w:t>
      </w:r>
      <w:r w:rsidR="00A0064B">
        <w:rPr>
          <w:b/>
          <w:lang w:val="en-US"/>
        </w:rPr>
        <w:t>7</w:t>
      </w:r>
      <w:r w:rsidR="004400ED" w:rsidRPr="00FD0737">
        <w:rPr>
          <w:b/>
          <w:lang w:val="en-US"/>
        </w:rPr>
        <w:t xml:space="preserve"> </w:t>
      </w:r>
      <w:r w:rsidR="00002B44">
        <w:rPr>
          <w:b/>
          <w:lang w:val="en-US"/>
        </w:rPr>
        <w:t>June</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1840FD">
        <w:rPr>
          <w:b/>
          <w:lang w:val="en-US"/>
        </w:rPr>
        <w:t xml:space="preserve"> </w:t>
      </w:r>
      <w:r w:rsidR="000B1EB5">
        <w:rPr>
          <w:b/>
          <w:lang w:val="en-US"/>
        </w:rPr>
        <w:t>S</w:t>
      </w:r>
      <w:r w:rsidR="003E121B">
        <w:rPr>
          <w:b/>
          <w:lang w:val="en-US"/>
        </w:rPr>
        <w:t>pending</w:t>
      </w:r>
      <w:r w:rsidR="00D50A49">
        <w:rPr>
          <w:b/>
          <w:lang w:val="en-US"/>
        </w:rPr>
        <w:t xml:space="preserve"> </w:t>
      </w:r>
      <w:r w:rsidR="00BB0272">
        <w:rPr>
          <w:b/>
          <w:lang w:val="en-US"/>
        </w:rPr>
        <w:t>through</w:t>
      </w:r>
      <w:r w:rsidR="00D50A49">
        <w:rPr>
          <w:b/>
          <w:lang w:val="en-US"/>
        </w:rPr>
        <w:t xml:space="preserve"> </w:t>
      </w:r>
      <w:r>
        <w:rPr>
          <w:b/>
          <w:lang w:val="en-US"/>
        </w:rPr>
        <w:t xml:space="preserve">Core Retail </w:t>
      </w:r>
      <w:r w:rsidR="00D50A49">
        <w:rPr>
          <w:b/>
          <w:lang w:val="en-US"/>
        </w:rPr>
        <w:t xml:space="preserve">merchants </w:t>
      </w:r>
      <w:r w:rsidR="003E121B">
        <w:rPr>
          <w:b/>
          <w:lang w:val="en-US"/>
        </w:rPr>
        <w:t>in</w:t>
      </w:r>
      <w:r>
        <w:rPr>
          <w:b/>
          <w:lang w:val="en-US"/>
        </w:rPr>
        <w:t xml:space="preserve"> Worldline NZ’s payments network </w:t>
      </w:r>
      <w:r w:rsidR="00BB0272">
        <w:rPr>
          <w:b/>
          <w:lang w:val="en-US"/>
        </w:rPr>
        <w:t xml:space="preserve">increased </w:t>
      </w:r>
      <w:r w:rsidR="005C0247">
        <w:rPr>
          <w:b/>
          <w:lang w:val="en-US"/>
        </w:rPr>
        <w:t xml:space="preserve">over May </w:t>
      </w:r>
      <w:r w:rsidR="00C8682F">
        <w:rPr>
          <w:b/>
          <w:lang w:val="en-US"/>
        </w:rPr>
        <w:t xml:space="preserve">but </w:t>
      </w:r>
      <w:r w:rsidR="00154326">
        <w:rPr>
          <w:b/>
          <w:lang w:val="en-US"/>
        </w:rPr>
        <w:t xml:space="preserve">the situation </w:t>
      </w:r>
      <w:r w:rsidR="00C95A4B">
        <w:rPr>
          <w:b/>
          <w:lang w:val="en-US"/>
        </w:rPr>
        <w:t xml:space="preserve">remains challenging </w:t>
      </w:r>
      <w:r w:rsidR="005F24FC">
        <w:rPr>
          <w:b/>
          <w:lang w:val="en-US"/>
        </w:rPr>
        <w:t xml:space="preserve">overall </w:t>
      </w:r>
      <w:r w:rsidR="00750699">
        <w:rPr>
          <w:b/>
          <w:lang w:val="en-US"/>
        </w:rPr>
        <w:t xml:space="preserve">for </w:t>
      </w:r>
      <w:r w:rsidR="00F07819">
        <w:rPr>
          <w:b/>
          <w:lang w:val="en-US"/>
        </w:rPr>
        <w:t xml:space="preserve">retailers </w:t>
      </w:r>
      <w:r w:rsidR="00A272BE">
        <w:rPr>
          <w:b/>
          <w:lang w:val="en-US"/>
        </w:rPr>
        <w:t>with spending</w:t>
      </w:r>
      <w:r w:rsidR="00C95A4B">
        <w:rPr>
          <w:b/>
          <w:lang w:val="en-US"/>
        </w:rPr>
        <w:t xml:space="preserve"> continuing </w:t>
      </w:r>
      <w:r w:rsidR="005F24FC">
        <w:rPr>
          <w:b/>
          <w:lang w:val="en-US"/>
        </w:rPr>
        <w:t xml:space="preserve">to track </w:t>
      </w:r>
      <w:r w:rsidR="00154326">
        <w:rPr>
          <w:b/>
          <w:lang w:val="en-US"/>
        </w:rPr>
        <w:t>below year-ago levels</w:t>
      </w:r>
      <w:r w:rsidR="00F07819">
        <w:rPr>
          <w:b/>
          <w:lang w:val="en-US"/>
        </w:rPr>
        <w:t xml:space="preserve"> for most </w:t>
      </w:r>
      <w:r w:rsidR="00C4117F">
        <w:rPr>
          <w:b/>
          <w:lang w:val="en-US"/>
        </w:rPr>
        <w:t>sectors</w:t>
      </w:r>
      <w:r w:rsidR="00154326">
        <w:rPr>
          <w:b/>
          <w:lang w:val="en-US"/>
        </w:rPr>
        <w:t>.</w:t>
      </w:r>
      <w:r w:rsidR="005A0482">
        <w:rPr>
          <w:b/>
          <w:lang w:val="en-US"/>
        </w:rPr>
        <w:t xml:space="preserve"> </w:t>
      </w:r>
    </w:p>
    <w:p w14:paraId="18393D29" w14:textId="77777777" w:rsidR="00A272BE" w:rsidRDefault="00A272BE" w:rsidP="005B17F3">
      <w:pPr>
        <w:spacing w:line="240" w:lineRule="auto"/>
        <w:rPr>
          <w:b/>
          <w:lang w:val="en-US"/>
        </w:rPr>
      </w:pPr>
    </w:p>
    <w:p w14:paraId="56259B94" w14:textId="61E20FF0" w:rsidR="00033B4E" w:rsidRDefault="00F64FFD" w:rsidP="00904A0B">
      <w:pPr>
        <w:spacing w:line="240" w:lineRule="auto"/>
        <w:rPr>
          <w:lang w:val="en-US"/>
        </w:rPr>
      </w:pPr>
      <w:r>
        <w:rPr>
          <w:lang w:val="en-US"/>
        </w:rPr>
        <w:t>Data released by Worldline NZ today shows c</w:t>
      </w:r>
      <w:r w:rsidR="00EA2710" w:rsidRPr="00E745CC">
        <w:rPr>
          <w:lang w:val="en-US"/>
        </w:rPr>
        <w:t>onsumer spending through Core Retail merchants</w:t>
      </w:r>
      <w:r w:rsidR="004F3D82">
        <w:rPr>
          <w:lang w:val="en-US"/>
        </w:rPr>
        <w:t xml:space="preserve"> </w:t>
      </w:r>
      <w:r w:rsidR="004F3D82" w:rsidRPr="00E745CC">
        <w:rPr>
          <w:lang w:val="en-US"/>
        </w:rPr>
        <w:t>(excluding Hospitality)</w:t>
      </w:r>
      <w:r w:rsidR="004F3D82">
        <w:rPr>
          <w:lang w:val="en-US"/>
        </w:rPr>
        <w:t xml:space="preserve"> </w:t>
      </w:r>
      <w:r w:rsidR="00EA2710" w:rsidRPr="00E745CC">
        <w:rPr>
          <w:lang w:val="en-US"/>
        </w:rPr>
        <w:t xml:space="preserve">in </w:t>
      </w:r>
      <w:r>
        <w:rPr>
          <w:lang w:val="en-US"/>
        </w:rPr>
        <w:t>its</w:t>
      </w:r>
      <w:r w:rsidR="00EA2710" w:rsidRPr="00E745CC">
        <w:rPr>
          <w:lang w:val="en-US"/>
        </w:rPr>
        <w:t xml:space="preserve"> payments network </w:t>
      </w:r>
      <w:r w:rsidR="004E083C">
        <w:rPr>
          <w:lang w:val="en-US"/>
        </w:rPr>
        <w:t>reached</w:t>
      </w:r>
      <w:r w:rsidR="00EA2710" w:rsidRPr="00E745CC">
        <w:rPr>
          <w:lang w:val="en-US"/>
        </w:rPr>
        <w:t xml:space="preserve"> $</w:t>
      </w:r>
      <w:r w:rsidR="00B67EDE">
        <w:rPr>
          <w:lang w:val="en-US"/>
        </w:rPr>
        <w:t>2.</w:t>
      </w:r>
      <w:r w:rsidR="00732A1D">
        <w:rPr>
          <w:lang w:val="en-US"/>
        </w:rPr>
        <w:t>93</w:t>
      </w:r>
      <w:r w:rsidR="00EA2710" w:rsidRPr="00E745CC">
        <w:rPr>
          <w:lang w:val="en-US"/>
        </w:rPr>
        <w:t>B</w:t>
      </w:r>
      <w:r w:rsidR="00EA2710">
        <w:rPr>
          <w:lang w:val="en-US"/>
        </w:rPr>
        <w:t xml:space="preserve"> in </w:t>
      </w:r>
      <w:r w:rsidR="005C0247">
        <w:rPr>
          <w:lang w:val="en-US"/>
        </w:rPr>
        <w:t>May</w:t>
      </w:r>
      <w:r w:rsidR="00EA2710">
        <w:rPr>
          <w:lang w:val="en-US"/>
        </w:rPr>
        <w:t xml:space="preserve"> 2024</w:t>
      </w:r>
      <w:r w:rsidR="004E1505">
        <w:rPr>
          <w:lang w:val="en-US"/>
        </w:rPr>
        <w:t>,</w:t>
      </w:r>
      <w:r w:rsidR="00EA2710" w:rsidRPr="00E745CC">
        <w:rPr>
          <w:lang w:val="en-US"/>
        </w:rPr>
        <w:t xml:space="preserve"> </w:t>
      </w:r>
      <w:r w:rsidR="004E083C">
        <w:rPr>
          <w:lang w:val="en-US"/>
        </w:rPr>
        <w:t xml:space="preserve">which is </w:t>
      </w:r>
      <w:r w:rsidR="005C0247">
        <w:rPr>
          <w:lang w:val="en-US"/>
        </w:rPr>
        <w:t>up</w:t>
      </w:r>
      <w:r w:rsidR="009B77AE">
        <w:rPr>
          <w:lang w:val="en-US"/>
        </w:rPr>
        <w:t xml:space="preserve"> just</w:t>
      </w:r>
      <w:r w:rsidR="002A0C6B">
        <w:rPr>
          <w:lang w:val="en-US"/>
        </w:rPr>
        <w:t xml:space="preserve"> </w:t>
      </w:r>
      <w:r w:rsidR="005C0247">
        <w:rPr>
          <w:lang w:val="en-US"/>
        </w:rPr>
        <w:t>+</w:t>
      </w:r>
      <w:r w:rsidR="00FC15FC">
        <w:rPr>
          <w:lang w:val="en-US"/>
        </w:rPr>
        <w:t>0.8</w:t>
      </w:r>
      <w:r w:rsidR="00EA2710" w:rsidRPr="00E745CC">
        <w:rPr>
          <w:lang w:val="en-US"/>
        </w:rPr>
        <w:t>%</w:t>
      </w:r>
      <w:r w:rsidR="00567B47">
        <w:rPr>
          <w:lang w:val="en-US"/>
        </w:rPr>
        <w:t xml:space="preserve"> </w:t>
      </w:r>
      <w:r w:rsidR="009B77AE">
        <w:rPr>
          <w:lang w:val="en-US"/>
        </w:rPr>
        <w:t>on</w:t>
      </w:r>
      <w:r w:rsidR="00EA2710" w:rsidRPr="00E745CC">
        <w:rPr>
          <w:lang w:val="en-US"/>
        </w:rPr>
        <w:t xml:space="preserve"> </w:t>
      </w:r>
      <w:r w:rsidR="005C0247">
        <w:rPr>
          <w:lang w:val="en-US"/>
        </w:rPr>
        <w:t>May</w:t>
      </w:r>
      <w:r w:rsidR="00EA2710">
        <w:rPr>
          <w:lang w:val="en-US"/>
        </w:rPr>
        <w:t xml:space="preserve"> </w:t>
      </w:r>
      <w:r w:rsidR="00EA2710" w:rsidRPr="00E745CC">
        <w:rPr>
          <w:lang w:val="en-US"/>
        </w:rPr>
        <w:t>202</w:t>
      </w:r>
      <w:r w:rsidR="00EA2710">
        <w:rPr>
          <w:lang w:val="en-US"/>
        </w:rPr>
        <w:t>3</w:t>
      </w:r>
      <w:r w:rsidR="00373640" w:rsidRPr="00E745CC">
        <w:rPr>
          <w:lang w:val="en-US"/>
        </w:rPr>
        <w:t>.</w:t>
      </w:r>
      <w:r w:rsidR="00904A0B">
        <w:rPr>
          <w:lang w:val="en-US"/>
        </w:rPr>
        <w:t xml:space="preserve"> </w:t>
      </w:r>
    </w:p>
    <w:p w14:paraId="390225C5" w14:textId="77777777" w:rsidR="00033B4E" w:rsidRDefault="00033B4E" w:rsidP="00904A0B">
      <w:pPr>
        <w:spacing w:line="240" w:lineRule="auto"/>
        <w:rPr>
          <w:lang w:val="en-US"/>
        </w:rPr>
      </w:pPr>
    </w:p>
    <w:p w14:paraId="4B3B619A" w14:textId="6BD6792D" w:rsidR="001B0E19" w:rsidRDefault="005268E2" w:rsidP="00A003C9">
      <w:pPr>
        <w:spacing w:line="240" w:lineRule="auto"/>
        <w:rPr>
          <w:lang w:val="en-US"/>
        </w:rPr>
      </w:pPr>
      <w:r>
        <w:rPr>
          <w:lang w:val="en-US"/>
        </w:rPr>
        <w:t>W</w:t>
      </w:r>
      <w:r w:rsidRPr="00E745CC">
        <w:rPr>
          <w:lang w:val="en-US"/>
        </w:rPr>
        <w:t>orldline NZ’s Chief Sales Officer, Bruce Proffit</w:t>
      </w:r>
      <w:r w:rsidR="00AA4847">
        <w:rPr>
          <w:lang w:val="en-US"/>
        </w:rPr>
        <w:t>,</w:t>
      </w:r>
      <w:r w:rsidR="00A003C9" w:rsidRPr="00A003C9">
        <w:rPr>
          <w:lang w:val="en-US"/>
        </w:rPr>
        <w:t xml:space="preserve"> </w:t>
      </w:r>
      <w:r w:rsidR="00154326">
        <w:rPr>
          <w:lang w:val="en-US"/>
        </w:rPr>
        <w:t>reports that the key driver of spending growth remains food</w:t>
      </w:r>
      <w:r w:rsidR="00D7135A">
        <w:rPr>
          <w:lang w:val="en-US"/>
        </w:rPr>
        <w:t>, while other merchant sectors experienced lower sales</w:t>
      </w:r>
      <w:r w:rsidR="008B4440">
        <w:rPr>
          <w:lang w:val="en-US"/>
        </w:rPr>
        <w:t xml:space="preserve"> in May</w:t>
      </w:r>
      <w:r w:rsidR="00D7135A">
        <w:rPr>
          <w:lang w:val="en-US"/>
        </w:rPr>
        <w:t>.</w:t>
      </w:r>
    </w:p>
    <w:p w14:paraId="139C72F4" w14:textId="77777777" w:rsidR="001B0E19" w:rsidRDefault="001B0E19" w:rsidP="00A003C9">
      <w:pPr>
        <w:spacing w:line="240" w:lineRule="auto"/>
        <w:rPr>
          <w:lang w:val="en-US"/>
        </w:rPr>
      </w:pPr>
    </w:p>
    <w:p w14:paraId="47425670" w14:textId="3CEB069A" w:rsidR="00D7135A" w:rsidRDefault="002052DA" w:rsidP="003118E6">
      <w:pPr>
        <w:spacing w:line="240" w:lineRule="auto"/>
        <w:rPr>
          <w:lang w:val="en-US"/>
        </w:rPr>
      </w:pPr>
      <w:r>
        <w:rPr>
          <w:lang w:val="en-US"/>
        </w:rPr>
        <w:t>“</w:t>
      </w:r>
      <w:r w:rsidR="00FC15FC">
        <w:rPr>
          <w:lang w:val="en-US"/>
        </w:rPr>
        <w:t xml:space="preserve">Spending at </w:t>
      </w:r>
      <w:r w:rsidR="00AA21EF">
        <w:rPr>
          <w:lang w:val="en-US"/>
        </w:rPr>
        <w:t>F</w:t>
      </w:r>
      <w:r w:rsidR="00FC15FC">
        <w:rPr>
          <w:lang w:val="en-US"/>
        </w:rPr>
        <w:t xml:space="preserve">ood </w:t>
      </w:r>
      <w:r w:rsidR="00AA21EF">
        <w:rPr>
          <w:lang w:val="en-US"/>
        </w:rPr>
        <w:t>&amp;</w:t>
      </w:r>
      <w:r w:rsidR="00FC15FC">
        <w:rPr>
          <w:lang w:val="en-US"/>
        </w:rPr>
        <w:t xml:space="preserve"> </w:t>
      </w:r>
      <w:r w:rsidR="00AA21EF">
        <w:rPr>
          <w:lang w:val="en-US"/>
        </w:rPr>
        <w:t>L</w:t>
      </w:r>
      <w:r w:rsidR="00FC15FC">
        <w:rPr>
          <w:lang w:val="en-US"/>
        </w:rPr>
        <w:t>iquor s</w:t>
      </w:r>
      <w:r w:rsidR="00AA21EF">
        <w:rPr>
          <w:lang w:val="en-US"/>
        </w:rPr>
        <w:t>tores</w:t>
      </w:r>
      <w:r w:rsidR="00FC15FC">
        <w:rPr>
          <w:lang w:val="en-US"/>
        </w:rPr>
        <w:t xml:space="preserve"> </w:t>
      </w:r>
      <w:r w:rsidR="00154326">
        <w:rPr>
          <w:lang w:val="en-US"/>
        </w:rPr>
        <w:t xml:space="preserve">was </w:t>
      </w:r>
      <w:r w:rsidR="00FC15FC">
        <w:rPr>
          <w:lang w:val="en-US"/>
        </w:rPr>
        <w:t>above year ago</w:t>
      </w:r>
      <w:r w:rsidR="00154326">
        <w:rPr>
          <w:lang w:val="en-US"/>
        </w:rPr>
        <w:t xml:space="preserve"> levels</w:t>
      </w:r>
      <w:r w:rsidR="00AA21EF">
        <w:rPr>
          <w:lang w:val="en-US"/>
        </w:rPr>
        <w:t xml:space="preserve"> (+4.0%)</w:t>
      </w:r>
      <w:r w:rsidR="00154326">
        <w:rPr>
          <w:lang w:val="en-US"/>
        </w:rPr>
        <w:t>.</w:t>
      </w:r>
      <w:r w:rsidR="00AC0FC3">
        <w:rPr>
          <w:lang w:val="en-US"/>
        </w:rPr>
        <w:t xml:space="preserve"> However, </w:t>
      </w:r>
      <w:r w:rsidR="008C20E8">
        <w:rPr>
          <w:lang w:val="en-US"/>
        </w:rPr>
        <w:t xml:space="preserve">spending at </w:t>
      </w:r>
      <w:r w:rsidR="00AC0FC3">
        <w:rPr>
          <w:lang w:val="en-US"/>
        </w:rPr>
        <w:t xml:space="preserve">shops selling </w:t>
      </w:r>
      <w:r w:rsidR="00D7135A">
        <w:rPr>
          <w:lang w:val="en-US"/>
        </w:rPr>
        <w:t>only L</w:t>
      </w:r>
      <w:r w:rsidR="00AC0FC3">
        <w:rPr>
          <w:lang w:val="en-US"/>
        </w:rPr>
        <w:t>iquor declined (-</w:t>
      </w:r>
      <w:r w:rsidR="008C20E8">
        <w:rPr>
          <w:lang w:val="en-US"/>
        </w:rPr>
        <w:t>2.1</w:t>
      </w:r>
      <w:r w:rsidR="00AC0FC3">
        <w:rPr>
          <w:lang w:val="en-US"/>
        </w:rPr>
        <w:t xml:space="preserve">%), </w:t>
      </w:r>
      <w:r w:rsidR="008B4440">
        <w:rPr>
          <w:lang w:val="en-US"/>
        </w:rPr>
        <w:t>suggest</w:t>
      </w:r>
      <w:r w:rsidR="00AC0FC3">
        <w:rPr>
          <w:lang w:val="en-US"/>
        </w:rPr>
        <w:t xml:space="preserve">ing the key </w:t>
      </w:r>
      <w:r w:rsidR="008B4440">
        <w:rPr>
          <w:lang w:val="en-US"/>
        </w:rPr>
        <w:t xml:space="preserve">growth </w:t>
      </w:r>
      <w:r w:rsidR="00AC0FC3">
        <w:rPr>
          <w:lang w:val="en-US"/>
        </w:rPr>
        <w:t xml:space="preserve">driver </w:t>
      </w:r>
      <w:r w:rsidR="009528A3">
        <w:rPr>
          <w:lang w:val="en-US"/>
        </w:rPr>
        <w:t xml:space="preserve">for consumer spending </w:t>
      </w:r>
      <w:r w:rsidR="00AC0FC3">
        <w:rPr>
          <w:lang w:val="en-US"/>
        </w:rPr>
        <w:t xml:space="preserve">is </w:t>
      </w:r>
      <w:r w:rsidR="008C20E8">
        <w:rPr>
          <w:lang w:val="en-US"/>
        </w:rPr>
        <w:t>the weekly grocer</w:t>
      </w:r>
      <w:r w:rsidR="009528A3">
        <w:rPr>
          <w:lang w:val="en-US"/>
        </w:rPr>
        <w:t>ies</w:t>
      </w:r>
      <w:r w:rsidR="008B4440">
        <w:rPr>
          <w:lang w:val="en-US"/>
        </w:rPr>
        <w:t>,” says Proffit.</w:t>
      </w:r>
    </w:p>
    <w:p w14:paraId="7270221B" w14:textId="77777777" w:rsidR="00D7135A" w:rsidRDefault="00D7135A" w:rsidP="003118E6">
      <w:pPr>
        <w:spacing w:line="240" w:lineRule="auto"/>
        <w:rPr>
          <w:lang w:val="en-US"/>
        </w:rPr>
      </w:pPr>
    </w:p>
    <w:p w14:paraId="0FD19B3A" w14:textId="09931D68" w:rsidR="00C57629" w:rsidRDefault="009528A3" w:rsidP="003118E6">
      <w:pPr>
        <w:spacing w:line="240" w:lineRule="auto"/>
        <w:rPr>
          <w:lang w:val="en-US"/>
        </w:rPr>
      </w:pPr>
      <w:r>
        <w:rPr>
          <w:lang w:val="en-US"/>
        </w:rPr>
        <w:t>“</w:t>
      </w:r>
      <w:r w:rsidR="00154326">
        <w:rPr>
          <w:lang w:val="en-US"/>
        </w:rPr>
        <w:t xml:space="preserve">Strip out </w:t>
      </w:r>
      <w:r>
        <w:rPr>
          <w:lang w:val="en-US"/>
        </w:rPr>
        <w:t>F</w:t>
      </w:r>
      <w:r w:rsidR="00154326">
        <w:rPr>
          <w:lang w:val="en-US"/>
        </w:rPr>
        <w:t xml:space="preserve">ood </w:t>
      </w:r>
      <w:r>
        <w:rPr>
          <w:lang w:val="en-US"/>
        </w:rPr>
        <w:t>&amp;</w:t>
      </w:r>
      <w:r w:rsidR="00154326">
        <w:rPr>
          <w:lang w:val="en-US"/>
        </w:rPr>
        <w:t xml:space="preserve"> </w:t>
      </w:r>
      <w:r>
        <w:rPr>
          <w:lang w:val="en-US"/>
        </w:rPr>
        <w:t>L</w:t>
      </w:r>
      <w:r w:rsidR="00154326">
        <w:rPr>
          <w:lang w:val="en-US"/>
        </w:rPr>
        <w:t>iquor</w:t>
      </w:r>
      <w:r w:rsidR="00FE33F1">
        <w:rPr>
          <w:lang w:val="en-US"/>
        </w:rPr>
        <w:t xml:space="preserve"> merchants</w:t>
      </w:r>
      <w:r w:rsidR="00154326">
        <w:rPr>
          <w:lang w:val="en-US"/>
        </w:rPr>
        <w:t xml:space="preserve"> from the above </w:t>
      </w:r>
      <w:r>
        <w:rPr>
          <w:lang w:val="en-US"/>
        </w:rPr>
        <w:t xml:space="preserve">total </w:t>
      </w:r>
      <w:r w:rsidR="00154326">
        <w:rPr>
          <w:lang w:val="en-US"/>
        </w:rPr>
        <w:t>and the spending amongst the rest of the Core Retail merchants (excluding Hospitality) was -</w:t>
      </w:r>
      <w:r w:rsidR="007156C3">
        <w:rPr>
          <w:lang w:val="en-US"/>
        </w:rPr>
        <w:t>4.7</w:t>
      </w:r>
      <w:r w:rsidR="00154326">
        <w:rPr>
          <w:lang w:val="en-US"/>
        </w:rPr>
        <w:t>% below May last year</w:t>
      </w:r>
      <w:r w:rsidR="00C57629">
        <w:rPr>
          <w:lang w:val="en-US"/>
        </w:rPr>
        <w:t>.”</w:t>
      </w:r>
    </w:p>
    <w:p w14:paraId="22F69E4A" w14:textId="77777777" w:rsidR="00FC15FC" w:rsidRDefault="00FC15FC" w:rsidP="00C8682F">
      <w:pPr>
        <w:pStyle w:val="BodytextWorldline"/>
        <w:spacing w:after="0"/>
        <w:rPr>
          <w:lang w:val="en-US"/>
        </w:rPr>
      </w:pPr>
    </w:p>
    <w:p w14:paraId="21E6380F" w14:textId="1DE613B5" w:rsidR="0082338C" w:rsidRDefault="0082338C" w:rsidP="00C8682F">
      <w:pPr>
        <w:pStyle w:val="BodytextWorldline"/>
        <w:spacing w:after="0"/>
        <w:rPr>
          <w:lang w:val="en-US"/>
        </w:rPr>
      </w:pPr>
      <w:r>
        <w:rPr>
          <w:lang w:val="en-US"/>
        </w:rPr>
        <w:t>Proffit notes that t</w:t>
      </w:r>
      <w:r w:rsidR="00154326">
        <w:rPr>
          <w:lang w:val="en-US"/>
        </w:rPr>
        <w:t>he only day during the month when spending in th</w:t>
      </w:r>
      <w:r>
        <w:rPr>
          <w:lang w:val="en-US"/>
        </w:rPr>
        <w:t>e</w:t>
      </w:r>
      <w:r w:rsidR="00154326">
        <w:rPr>
          <w:lang w:val="en-US"/>
        </w:rPr>
        <w:t xml:space="preserve"> non-food sector</w:t>
      </w:r>
      <w:r>
        <w:rPr>
          <w:lang w:val="en-US"/>
        </w:rPr>
        <w:t>s</w:t>
      </w:r>
      <w:r w:rsidR="00154326">
        <w:rPr>
          <w:lang w:val="en-US"/>
        </w:rPr>
        <w:t xml:space="preserve"> was above year ago levels </w:t>
      </w:r>
      <w:r w:rsidR="009617AC">
        <w:rPr>
          <w:lang w:val="en-US"/>
        </w:rPr>
        <w:t xml:space="preserve">was </w:t>
      </w:r>
      <w:r w:rsidR="00154326">
        <w:rPr>
          <w:lang w:val="en-US"/>
        </w:rPr>
        <w:t>Friday</w:t>
      </w:r>
      <w:r w:rsidR="009617AC">
        <w:rPr>
          <w:lang w:val="en-US"/>
        </w:rPr>
        <w:t>,</w:t>
      </w:r>
      <w:r w:rsidR="00154326">
        <w:rPr>
          <w:lang w:val="en-US"/>
        </w:rPr>
        <w:t xml:space="preserve"> 31</w:t>
      </w:r>
      <w:r w:rsidR="00154326" w:rsidRPr="00154326">
        <w:rPr>
          <w:vertAlign w:val="superscript"/>
          <w:lang w:val="en-US"/>
        </w:rPr>
        <w:t>st</w:t>
      </w:r>
      <w:r w:rsidR="00154326">
        <w:rPr>
          <w:lang w:val="en-US"/>
        </w:rPr>
        <w:t xml:space="preserve"> May (+</w:t>
      </w:r>
      <w:r w:rsidR="00E5270A">
        <w:rPr>
          <w:lang w:val="en-US"/>
        </w:rPr>
        <w:t>1.1</w:t>
      </w:r>
      <w:r w:rsidR="00154326">
        <w:rPr>
          <w:lang w:val="en-US"/>
        </w:rPr>
        <w:t xml:space="preserve">%), the day after the </w:t>
      </w:r>
      <w:r w:rsidR="00382EC1">
        <w:rPr>
          <w:lang w:val="en-US"/>
        </w:rPr>
        <w:t>B</w:t>
      </w:r>
      <w:r w:rsidR="00154326">
        <w:rPr>
          <w:lang w:val="en-US"/>
        </w:rPr>
        <w:t xml:space="preserve">udget. </w:t>
      </w:r>
    </w:p>
    <w:p w14:paraId="050033A3" w14:textId="77777777" w:rsidR="0082338C" w:rsidRDefault="0082338C" w:rsidP="00C8682F">
      <w:pPr>
        <w:pStyle w:val="BodytextWorldline"/>
        <w:spacing w:after="0"/>
        <w:rPr>
          <w:lang w:val="en-US"/>
        </w:rPr>
      </w:pPr>
    </w:p>
    <w:p w14:paraId="0AD978CD" w14:textId="48BD64F3" w:rsidR="00154326" w:rsidRDefault="009617AC" w:rsidP="00C8682F">
      <w:pPr>
        <w:pStyle w:val="BodytextWorldline"/>
        <w:spacing w:after="0"/>
        <w:rPr>
          <w:lang w:val="en-US"/>
        </w:rPr>
      </w:pPr>
      <w:r>
        <w:rPr>
          <w:lang w:val="en-US"/>
        </w:rPr>
        <w:t>“</w:t>
      </w:r>
      <w:r w:rsidR="00154326">
        <w:rPr>
          <w:lang w:val="en-US"/>
        </w:rPr>
        <w:t>Whether this was coinciden</w:t>
      </w:r>
      <w:r>
        <w:rPr>
          <w:lang w:val="en-US"/>
        </w:rPr>
        <w:t>tal</w:t>
      </w:r>
      <w:r w:rsidR="00154326">
        <w:rPr>
          <w:lang w:val="en-US"/>
        </w:rPr>
        <w:t xml:space="preserve"> or not, this growth</w:t>
      </w:r>
      <w:r>
        <w:rPr>
          <w:lang w:val="en-US"/>
        </w:rPr>
        <w:t xml:space="preserve"> bump</w:t>
      </w:r>
      <w:r w:rsidR="00154326">
        <w:rPr>
          <w:lang w:val="en-US"/>
        </w:rPr>
        <w:t xml:space="preserve"> did not last long as spending reverted to below year</w:t>
      </w:r>
      <w:r w:rsidR="00FE33F1">
        <w:rPr>
          <w:lang w:val="en-US"/>
        </w:rPr>
        <w:t>-ago</w:t>
      </w:r>
      <w:r w:rsidR="00154326">
        <w:rPr>
          <w:lang w:val="en-US"/>
        </w:rPr>
        <w:t xml:space="preserve"> levels over the </w:t>
      </w:r>
      <w:r w:rsidR="00C32369">
        <w:rPr>
          <w:lang w:val="en-US"/>
        </w:rPr>
        <w:t xml:space="preserve">long </w:t>
      </w:r>
      <w:r w:rsidR="00154326">
        <w:rPr>
          <w:lang w:val="en-US"/>
        </w:rPr>
        <w:t>weekend</w:t>
      </w:r>
      <w:r w:rsidR="00231246">
        <w:rPr>
          <w:lang w:val="en-US"/>
        </w:rPr>
        <w:t>.”</w:t>
      </w:r>
    </w:p>
    <w:p w14:paraId="28C7B0C0" w14:textId="77777777" w:rsidR="00E5270A" w:rsidRDefault="00E5270A" w:rsidP="00C8682F">
      <w:pPr>
        <w:pStyle w:val="BodytextWorldline"/>
        <w:spacing w:after="0"/>
        <w:rPr>
          <w:lang w:val="en-US"/>
        </w:rPr>
      </w:pPr>
    </w:p>
    <w:p w14:paraId="7BC81CBE" w14:textId="2AE0D1F2" w:rsidR="004B3A72" w:rsidRDefault="00F4606C" w:rsidP="00C8682F">
      <w:pPr>
        <w:pStyle w:val="BodytextWorldline"/>
        <w:spacing w:after="0"/>
        <w:rPr>
          <w:lang w:val="en-US"/>
        </w:rPr>
      </w:pPr>
      <w:r>
        <w:rPr>
          <w:lang w:val="en-US"/>
        </w:rPr>
        <w:t xml:space="preserve">Proffit also notes </w:t>
      </w:r>
      <w:r w:rsidR="0010573C">
        <w:rPr>
          <w:lang w:val="en-US"/>
        </w:rPr>
        <w:t xml:space="preserve">that </w:t>
      </w:r>
      <w:r w:rsidR="00282AFF">
        <w:rPr>
          <w:lang w:val="en-US"/>
        </w:rPr>
        <w:t xml:space="preserve">Mother’s Day proved to be a </w:t>
      </w:r>
      <w:r w:rsidR="005A0482">
        <w:rPr>
          <w:lang w:val="en-US"/>
        </w:rPr>
        <w:t>bright spot for the Hospitality sector</w:t>
      </w:r>
      <w:r w:rsidR="00CC6DCA">
        <w:rPr>
          <w:lang w:val="en-US"/>
        </w:rPr>
        <w:t xml:space="preserve"> in May</w:t>
      </w:r>
      <w:r w:rsidR="004B3A72">
        <w:rPr>
          <w:lang w:val="en-US"/>
        </w:rPr>
        <w:t xml:space="preserve">. </w:t>
      </w:r>
    </w:p>
    <w:p w14:paraId="71D81489" w14:textId="77777777" w:rsidR="004B3A72" w:rsidRDefault="004B3A72" w:rsidP="00C8682F">
      <w:pPr>
        <w:pStyle w:val="BodytextWorldline"/>
        <w:spacing w:after="0"/>
        <w:rPr>
          <w:lang w:val="en-US"/>
        </w:rPr>
      </w:pPr>
    </w:p>
    <w:p w14:paraId="57EF2DDE" w14:textId="7C1CFC26" w:rsidR="00A40A06" w:rsidRDefault="004B3A72" w:rsidP="00C8682F">
      <w:pPr>
        <w:pStyle w:val="BodytextWorldline"/>
        <w:spacing w:after="0"/>
        <w:rPr>
          <w:lang w:val="en-US"/>
        </w:rPr>
      </w:pPr>
      <w:r>
        <w:rPr>
          <w:lang w:val="en-US"/>
        </w:rPr>
        <w:t>“S</w:t>
      </w:r>
      <w:r w:rsidR="005A0482">
        <w:rPr>
          <w:lang w:val="en-US"/>
        </w:rPr>
        <w:t>pending on Sunday 12</w:t>
      </w:r>
      <w:r w:rsidR="005A0482" w:rsidRPr="005A0482">
        <w:rPr>
          <w:vertAlign w:val="superscript"/>
          <w:lang w:val="en-US"/>
        </w:rPr>
        <w:t>th</w:t>
      </w:r>
      <w:r w:rsidR="005A0482">
        <w:rPr>
          <w:lang w:val="en-US"/>
        </w:rPr>
        <w:t xml:space="preserve"> May through </w:t>
      </w:r>
      <w:r w:rsidR="006426CA">
        <w:rPr>
          <w:lang w:val="en-US"/>
        </w:rPr>
        <w:t>Fast Food</w:t>
      </w:r>
      <w:r w:rsidR="005A0482">
        <w:rPr>
          <w:lang w:val="en-US"/>
        </w:rPr>
        <w:t xml:space="preserve"> merchants was $</w:t>
      </w:r>
      <w:r w:rsidR="00DA0785">
        <w:rPr>
          <w:lang w:val="en-US"/>
        </w:rPr>
        <w:t>1.0</w:t>
      </w:r>
      <w:r w:rsidR="00701E17">
        <w:rPr>
          <w:lang w:val="en-US"/>
        </w:rPr>
        <w:t>m</w:t>
      </w:r>
      <w:r w:rsidR="005A0482">
        <w:rPr>
          <w:lang w:val="en-US"/>
        </w:rPr>
        <w:t xml:space="preserve"> higher than on the Sundays before and after Mother’s Day and $</w:t>
      </w:r>
      <w:r w:rsidR="00701E17">
        <w:rPr>
          <w:lang w:val="en-US"/>
        </w:rPr>
        <w:t>5.</w:t>
      </w:r>
      <w:r w:rsidR="00684D03">
        <w:rPr>
          <w:lang w:val="en-US"/>
        </w:rPr>
        <w:t>7</w:t>
      </w:r>
      <w:r w:rsidR="00701E17">
        <w:rPr>
          <w:lang w:val="en-US"/>
        </w:rPr>
        <w:t>m</w:t>
      </w:r>
      <w:r w:rsidR="005A0482">
        <w:rPr>
          <w:lang w:val="en-US"/>
        </w:rPr>
        <w:t xml:space="preserve"> higher amongst the rest of the </w:t>
      </w:r>
      <w:r w:rsidR="00C11623">
        <w:rPr>
          <w:lang w:val="en-US"/>
        </w:rPr>
        <w:t>F</w:t>
      </w:r>
      <w:r w:rsidR="005A0482">
        <w:rPr>
          <w:lang w:val="en-US"/>
        </w:rPr>
        <w:t xml:space="preserve">ood </w:t>
      </w:r>
      <w:r w:rsidR="00C11623">
        <w:rPr>
          <w:lang w:val="en-US"/>
        </w:rPr>
        <w:t>&amp;</w:t>
      </w:r>
      <w:r w:rsidR="005A0482">
        <w:rPr>
          <w:lang w:val="en-US"/>
        </w:rPr>
        <w:t xml:space="preserve"> </w:t>
      </w:r>
      <w:r w:rsidR="00C11623">
        <w:rPr>
          <w:lang w:val="en-US"/>
        </w:rPr>
        <w:t>Beverage</w:t>
      </w:r>
      <w:r w:rsidR="005A0482">
        <w:rPr>
          <w:lang w:val="en-US"/>
        </w:rPr>
        <w:t xml:space="preserve"> </w:t>
      </w:r>
      <w:r w:rsidR="00C11623">
        <w:rPr>
          <w:lang w:val="en-US"/>
        </w:rPr>
        <w:t>Se</w:t>
      </w:r>
      <w:r w:rsidR="005A0482">
        <w:rPr>
          <w:lang w:val="en-US"/>
        </w:rPr>
        <w:t>rvices sector.</w:t>
      </w:r>
      <w:r w:rsidR="00684D03">
        <w:rPr>
          <w:lang w:val="en-US"/>
        </w:rPr>
        <w:t xml:space="preserve"> That’s on top of an extra $1.0m </w:t>
      </w:r>
      <w:r w:rsidR="00F6550E">
        <w:rPr>
          <w:lang w:val="en-US"/>
        </w:rPr>
        <w:t xml:space="preserve">spent </w:t>
      </w:r>
      <w:r w:rsidR="00684D03">
        <w:rPr>
          <w:lang w:val="en-US"/>
        </w:rPr>
        <w:t>on Saturday</w:t>
      </w:r>
      <w:r w:rsidR="00F6550E">
        <w:rPr>
          <w:lang w:val="en-US"/>
        </w:rPr>
        <w:t>, 11</w:t>
      </w:r>
      <w:r w:rsidR="00CC6DCA" w:rsidRPr="00CC6DCA">
        <w:rPr>
          <w:vertAlign w:val="superscript"/>
          <w:lang w:val="en-US"/>
        </w:rPr>
        <w:t>th</w:t>
      </w:r>
      <w:r w:rsidR="00CC6DCA">
        <w:rPr>
          <w:lang w:val="en-US"/>
        </w:rPr>
        <w:t xml:space="preserve"> </w:t>
      </w:r>
      <w:r w:rsidR="00F6550E">
        <w:rPr>
          <w:lang w:val="en-US"/>
        </w:rPr>
        <w:t>Ma</w:t>
      </w:r>
      <w:r w:rsidR="006B1FDB">
        <w:rPr>
          <w:lang w:val="en-US"/>
        </w:rPr>
        <w:t>y</w:t>
      </w:r>
      <w:r w:rsidR="00A40A06">
        <w:rPr>
          <w:lang w:val="en-US"/>
        </w:rPr>
        <w:t>,</w:t>
      </w:r>
      <w:r w:rsidR="00B322F9">
        <w:rPr>
          <w:lang w:val="en-US"/>
        </w:rPr>
        <w:t xml:space="preserve"> much of it at supermarket and grocery stores,</w:t>
      </w:r>
      <w:r w:rsidR="00A40A06">
        <w:rPr>
          <w:lang w:val="en-US"/>
        </w:rPr>
        <w:t xml:space="preserve">” he says. </w:t>
      </w:r>
    </w:p>
    <w:p w14:paraId="04ED6CDF" w14:textId="77777777" w:rsidR="00A40A06" w:rsidRDefault="00A40A06" w:rsidP="00C8682F">
      <w:pPr>
        <w:pStyle w:val="BodytextWorldline"/>
        <w:spacing w:after="0"/>
        <w:rPr>
          <w:lang w:val="en-US"/>
        </w:rPr>
      </w:pPr>
    </w:p>
    <w:p w14:paraId="4DCAB89E" w14:textId="02FE3E02" w:rsidR="005A0482" w:rsidRDefault="00A40A06" w:rsidP="00C8682F">
      <w:pPr>
        <w:pStyle w:val="BodytextWorldline"/>
        <w:spacing w:after="0"/>
        <w:rPr>
          <w:lang w:val="en-US"/>
        </w:rPr>
      </w:pPr>
      <w:r>
        <w:rPr>
          <w:lang w:val="en-US"/>
        </w:rPr>
        <w:t xml:space="preserve">“Overall that weekend, </w:t>
      </w:r>
      <w:r w:rsidR="006B1FDB">
        <w:rPr>
          <w:lang w:val="en-US"/>
        </w:rPr>
        <w:t xml:space="preserve">we </w:t>
      </w:r>
      <w:r w:rsidR="0081112B">
        <w:rPr>
          <w:lang w:val="en-US"/>
        </w:rPr>
        <w:t xml:space="preserve">saw a lift in spending on </w:t>
      </w:r>
      <w:r w:rsidR="00684D03">
        <w:rPr>
          <w:lang w:val="en-US"/>
        </w:rPr>
        <w:t xml:space="preserve">clothes, flowers, specialty foods, </w:t>
      </w:r>
      <w:r w:rsidR="00D6535C">
        <w:rPr>
          <w:lang w:val="en-US"/>
        </w:rPr>
        <w:t>jewelry</w:t>
      </w:r>
      <w:r w:rsidR="00684D03">
        <w:rPr>
          <w:lang w:val="en-US"/>
        </w:rPr>
        <w:t>, gifts</w:t>
      </w:r>
      <w:r w:rsidR="00E73878">
        <w:rPr>
          <w:lang w:val="en-US"/>
        </w:rPr>
        <w:t>,</w:t>
      </w:r>
      <w:r w:rsidR="00684D03">
        <w:rPr>
          <w:lang w:val="en-US"/>
        </w:rPr>
        <w:t xml:space="preserve"> and time at the hair salon, plus some </w:t>
      </w:r>
      <w:r w:rsidR="006426CA">
        <w:rPr>
          <w:lang w:val="en-US"/>
        </w:rPr>
        <w:t>liquor</w:t>
      </w:r>
      <w:r w:rsidR="00684D03">
        <w:rPr>
          <w:lang w:val="en-US"/>
        </w:rPr>
        <w:t xml:space="preserve"> </w:t>
      </w:r>
      <w:r w:rsidR="00D6535C">
        <w:rPr>
          <w:lang w:val="en-US"/>
        </w:rPr>
        <w:t xml:space="preserve">– </w:t>
      </w:r>
      <w:r w:rsidR="00032274">
        <w:rPr>
          <w:lang w:val="en-US"/>
        </w:rPr>
        <w:t>much of which was</w:t>
      </w:r>
      <w:r w:rsidR="00D6535C">
        <w:rPr>
          <w:lang w:val="en-US"/>
        </w:rPr>
        <w:t xml:space="preserve"> likely gifts</w:t>
      </w:r>
      <w:r w:rsidR="00953B97">
        <w:rPr>
          <w:lang w:val="en-US"/>
        </w:rPr>
        <w:t xml:space="preserve"> for </w:t>
      </w:r>
      <w:r w:rsidR="00D6535C">
        <w:rPr>
          <w:lang w:val="en-US"/>
        </w:rPr>
        <w:t>Kiwi mums</w:t>
      </w:r>
      <w:r w:rsidR="00953B97">
        <w:rPr>
          <w:lang w:val="en-US"/>
        </w:rPr>
        <w:t>’ special day</w:t>
      </w:r>
      <w:r w:rsidR="00684D03">
        <w:rPr>
          <w:lang w:val="en-US"/>
        </w:rPr>
        <w:t>.</w:t>
      </w:r>
      <w:r w:rsidR="006426CA">
        <w:rPr>
          <w:lang w:val="en-US"/>
        </w:rPr>
        <w:t>”</w:t>
      </w:r>
    </w:p>
    <w:p w14:paraId="6C4197FB" w14:textId="77777777" w:rsidR="005A0482" w:rsidRDefault="005A0482" w:rsidP="00C8682F">
      <w:pPr>
        <w:pStyle w:val="BodytextWorldline"/>
        <w:spacing w:after="0"/>
        <w:rPr>
          <w:lang w:val="en-US"/>
        </w:rPr>
      </w:pPr>
    </w:p>
    <w:tbl>
      <w:tblPr>
        <w:tblW w:w="8364" w:type="dxa"/>
        <w:jc w:val="center"/>
        <w:tblLook w:val="04A0" w:firstRow="1" w:lastRow="0" w:firstColumn="1" w:lastColumn="0" w:noHBand="0" w:noVBand="1"/>
      </w:tblPr>
      <w:tblGrid>
        <w:gridCol w:w="4821"/>
        <w:gridCol w:w="1842"/>
        <w:gridCol w:w="1701"/>
      </w:tblGrid>
      <w:tr w:rsidR="00701E17" w:rsidRPr="00701E17" w14:paraId="40A18B74" w14:textId="77777777" w:rsidTr="006426CA">
        <w:trPr>
          <w:trHeight w:val="640"/>
          <w:jc w:val="center"/>
        </w:trPr>
        <w:tc>
          <w:tcPr>
            <w:tcW w:w="8364" w:type="dxa"/>
            <w:gridSpan w:val="3"/>
            <w:tcBorders>
              <w:top w:val="nil"/>
              <w:left w:val="nil"/>
              <w:bottom w:val="nil"/>
              <w:right w:val="nil"/>
            </w:tcBorders>
            <w:shd w:val="clear" w:color="000000" w:fill="BFBFBF"/>
            <w:vAlign w:val="center"/>
            <w:hideMark/>
          </w:tcPr>
          <w:p w14:paraId="53D229FC" w14:textId="77777777" w:rsidR="00701E17" w:rsidRPr="00701E17" w:rsidRDefault="00701E17" w:rsidP="00701E17">
            <w:pPr>
              <w:spacing w:line="240" w:lineRule="auto"/>
              <w:jc w:val="left"/>
              <w:rPr>
                <w:rFonts w:cs="Arial"/>
                <w:b/>
                <w:bCs/>
                <w:color w:val="auto"/>
                <w:sz w:val="20"/>
                <w:szCs w:val="20"/>
                <w:lang w:val="en-NZ" w:eastAsia="en-NZ"/>
              </w:rPr>
            </w:pPr>
            <w:r w:rsidRPr="00701E17">
              <w:rPr>
                <w:rFonts w:cs="Arial"/>
                <w:b/>
                <w:bCs/>
                <w:color w:val="auto"/>
                <w:sz w:val="20"/>
                <w:szCs w:val="20"/>
                <w:lang w:val="en-NZ" w:eastAsia="en-NZ"/>
              </w:rPr>
              <w:t>Difference in WORLDLINE All Cards underlying* spending around Mother's Day 2024</w:t>
            </w:r>
          </w:p>
        </w:tc>
      </w:tr>
      <w:tr w:rsidR="00701E17" w:rsidRPr="00701E17" w14:paraId="280C1060" w14:textId="77777777" w:rsidTr="006426CA">
        <w:trPr>
          <w:trHeight w:val="290"/>
          <w:jc w:val="center"/>
        </w:trPr>
        <w:tc>
          <w:tcPr>
            <w:tcW w:w="8364" w:type="dxa"/>
            <w:gridSpan w:val="3"/>
            <w:tcBorders>
              <w:top w:val="nil"/>
              <w:left w:val="nil"/>
              <w:bottom w:val="nil"/>
              <w:right w:val="nil"/>
            </w:tcBorders>
            <w:shd w:val="clear" w:color="000000" w:fill="BFBFBF"/>
            <w:noWrap/>
            <w:vAlign w:val="bottom"/>
            <w:hideMark/>
          </w:tcPr>
          <w:p w14:paraId="106FB1FE" w14:textId="77777777" w:rsidR="00701E17" w:rsidRPr="00701E17" w:rsidRDefault="00701E17" w:rsidP="00701E17">
            <w:pPr>
              <w:spacing w:line="240" w:lineRule="auto"/>
              <w:jc w:val="right"/>
              <w:rPr>
                <w:rFonts w:ascii="Calibri" w:hAnsi="Calibri" w:cs="Calibri"/>
                <w:b/>
                <w:bCs/>
                <w:color w:val="000000"/>
                <w:lang w:val="en-NZ" w:eastAsia="en-NZ"/>
              </w:rPr>
            </w:pPr>
            <w:r w:rsidRPr="00701E17">
              <w:rPr>
                <w:rFonts w:ascii="Calibri" w:hAnsi="Calibri" w:cs="Calibri"/>
                <w:b/>
                <w:bCs/>
                <w:color w:val="000000"/>
                <w:lang w:val="en-NZ" w:eastAsia="en-NZ"/>
              </w:rPr>
              <w:t>Difference to average Sat or Sun before and after ($000)</w:t>
            </w:r>
          </w:p>
        </w:tc>
      </w:tr>
      <w:tr w:rsidR="00701E17" w:rsidRPr="00701E17" w14:paraId="03C7069B" w14:textId="77777777" w:rsidTr="006426CA">
        <w:trPr>
          <w:trHeight w:val="290"/>
          <w:jc w:val="center"/>
        </w:trPr>
        <w:tc>
          <w:tcPr>
            <w:tcW w:w="4821" w:type="dxa"/>
            <w:tcBorders>
              <w:top w:val="nil"/>
              <w:left w:val="nil"/>
              <w:bottom w:val="nil"/>
              <w:right w:val="nil"/>
            </w:tcBorders>
            <w:shd w:val="clear" w:color="000000" w:fill="BFBFBF"/>
            <w:noWrap/>
            <w:vAlign w:val="bottom"/>
            <w:hideMark/>
          </w:tcPr>
          <w:p w14:paraId="71DD0811" w14:textId="77777777" w:rsidR="00701E17" w:rsidRPr="00701E17" w:rsidRDefault="00701E17" w:rsidP="00701E17">
            <w:pPr>
              <w:spacing w:line="240" w:lineRule="auto"/>
              <w:jc w:val="left"/>
              <w:rPr>
                <w:rFonts w:ascii="Calibri" w:hAnsi="Calibri" w:cs="Calibri"/>
                <w:b/>
                <w:bCs/>
                <w:color w:val="000000"/>
                <w:lang w:val="en-NZ" w:eastAsia="en-NZ"/>
              </w:rPr>
            </w:pPr>
            <w:r w:rsidRPr="00701E17">
              <w:rPr>
                <w:rFonts w:ascii="Calibri" w:hAnsi="Calibri" w:cs="Calibri"/>
                <w:b/>
                <w:bCs/>
                <w:color w:val="000000"/>
                <w:lang w:val="en-NZ" w:eastAsia="en-NZ"/>
              </w:rPr>
              <w:t>Selected merchant groups</w:t>
            </w:r>
          </w:p>
        </w:tc>
        <w:tc>
          <w:tcPr>
            <w:tcW w:w="1842" w:type="dxa"/>
            <w:tcBorders>
              <w:top w:val="nil"/>
              <w:left w:val="nil"/>
              <w:bottom w:val="nil"/>
              <w:right w:val="nil"/>
            </w:tcBorders>
            <w:shd w:val="clear" w:color="000000" w:fill="BFBFBF"/>
            <w:noWrap/>
            <w:vAlign w:val="bottom"/>
            <w:hideMark/>
          </w:tcPr>
          <w:p w14:paraId="478B622C" w14:textId="77777777" w:rsidR="00701E17" w:rsidRPr="00701E17" w:rsidRDefault="00701E17" w:rsidP="00701E17">
            <w:pPr>
              <w:spacing w:line="240" w:lineRule="auto"/>
              <w:jc w:val="right"/>
              <w:rPr>
                <w:rFonts w:ascii="Calibri" w:hAnsi="Calibri" w:cs="Calibri"/>
                <w:b/>
                <w:bCs/>
                <w:color w:val="000000"/>
                <w:lang w:val="en-NZ" w:eastAsia="en-NZ"/>
              </w:rPr>
            </w:pPr>
            <w:r w:rsidRPr="00701E17">
              <w:rPr>
                <w:rFonts w:ascii="Calibri" w:hAnsi="Calibri" w:cs="Calibri"/>
                <w:b/>
                <w:bCs/>
                <w:color w:val="000000"/>
                <w:lang w:val="en-NZ" w:eastAsia="en-NZ"/>
              </w:rPr>
              <w:t>Sat 11-May</w:t>
            </w:r>
          </w:p>
        </w:tc>
        <w:tc>
          <w:tcPr>
            <w:tcW w:w="1701" w:type="dxa"/>
            <w:tcBorders>
              <w:top w:val="nil"/>
              <w:left w:val="nil"/>
              <w:bottom w:val="nil"/>
              <w:right w:val="nil"/>
            </w:tcBorders>
            <w:shd w:val="clear" w:color="000000" w:fill="BFBFBF"/>
            <w:noWrap/>
            <w:vAlign w:val="bottom"/>
            <w:hideMark/>
          </w:tcPr>
          <w:p w14:paraId="4941FE56" w14:textId="77777777" w:rsidR="00701E17" w:rsidRPr="00701E17" w:rsidRDefault="00701E17" w:rsidP="00701E17">
            <w:pPr>
              <w:spacing w:line="240" w:lineRule="auto"/>
              <w:jc w:val="right"/>
              <w:rPr>
                <w:rFonts w:ascii="Calibri" w:hAnsi="Calibri" w:cs="Calibri"/>
                <w:b/>
                <w:bCs/>
                <w:color w:val="000000"/>
                <w:lang w:val="en-NZ" w:eastAsia="en-NZ"/>
              </w:rPr>
            </w:pPr>
            <w:r w:rsidRPr="00701E17">
              <w:rPr>
                <w:rFonts w:ascii="Calibri" w:hAnsi="Calibri" w:cs="Calibri"/>
                <w:b/>
                <w:bCs/>
                <w:color w:val="000000"/>
                <w:lang w:val="en-NZ" w:eastAsia="en-NZ"/>
              </w:rPr>
              <w:t>Sun 12-May</w:t>
            </w:r>
          </w:p>
        </w:tc>
      </w:tr>
      <w:tr w:rsidR="00701E17" w:rsidRPr="00701E17" w14:paraId="64B2D02F"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0555283A" w14:textId="7CBD8A54"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Food and beverage services (excl</w:t>
            </w:r>
            <w:r w:rsidR="006426CA">
              <w:rPr>
                <w:rFonts w:ascii="Calibri" w:hAnsi="Calibri" w:cs="Calibri"/>
                <w:color w:val="000000"/>
                <w:lang w:val="en-NZ" w:eastAsia="en-NZ"/>
              </w:rPr>
              <w:t>uding</w:t>
            </w:r>
            <w:r w:rsidRPr="00701E17">
              <w:rPr>
                <w:rFonts w:ascii="Calibri" w:hAnsi="Calibri" w:cs="Calibri"/>
                <w:color w:val="000000"/>
                <w:lang w:val="en-NZ" w:eastAsia="en-NZ"/>
              </w:rPr>
              <w:t xml:space="preserve"> Takeaways)</w:t>
            </w:r>
          </w:p>
        </w:tc>
        <w:tc>
          <w:tcPr>
            <w:tcW w:w="1842" w:type="dxa"/>
            <w:tcBorders>
              <w:top w:val="nil"/>
              <w:left w:val="nil"/>
              <w:bottom w:val="nil"/>
              <w:right w:val="nil"/>
            </w:tcBorders>
            <w:shd w:val="clear" w:color="auto" w:fill="auto"/>
            <w:noWrap/>
            <w:vAlign w:val="bottom"/>
            <w:hideMark/>
          </w:tcPr>
          <w:p w14:paraId="2EF4EA3A" w14:textId="51D0A423" w:rsidR="00701E17" w:rsidRPr="00701E17" w:rsidRDefault="00684D03" w:rsidP="00701E17">
            <w:pPr>
              <w:spacing w:line="240" w:lineRule="auto"/>
              <w:jc w:val="right"/>
              <w:rPr>
                <w:rFonts w:ascii="Calibri" w:hAnsi="Calibri" w:cs="Calibri"/>
                <w:color w:val="000000"/>
                <w:lang w:val="en-NZ" w:eastAsia="en-NZ"/>
              </w:rPr>
            </w:pPr>
            <w:r>
              <w:rPr>
                <w:rFonts w:ascii="Calibri" w:hAnsi="Calibri" w:cs="Calibri"/>
                <w:color w:val="000000"/>
                <w:lang w:val="en-NZ" w:eastAsia="en-NZ"/>
              </w:rPr>
              <w:t>845</w:t>
            </w:r>
          </w:p>
        </w:tc>
        <w:tc>
          <w:tcPr>
            <w:tcW w:w="1701" w:type="dxa"/>
            <w:tcBorders>
              <w:top w:val="nil"/>
              <w:left w:val="nil"/>
              <w:bottom w:val="nil"/>
              <w:right w:val="nil"/>
            </w:tcBorders>
            <w:shd w:val="clear" w:color="auto" w:fill="auto"/>
            <w:noWrap/>
            <w:vAlign w:val="bottom"/>
            <w:hideMark/>
          </w:tcPr>
          <w:p w14:paraId="04CA6C8B" w14:textId="75865F71"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5,7</w:t>
            </w:r>
            <w:r w:rsidR="00684D03">
              <w:rPr>
                <w:rFonts w:ascii="Calibri" w:hAnsi="Calibri" w:cs="Calibri"/>
                <w:color w:val="000000"/>
                <w:lang w:val="en-NZ" w:eastAsia="en-NZ"/>
              </w:rPr>
              <w:t>18</w:t>
            </w:r>
          </w:p>
        </w:tc>
      </w:tr>
      <w:tr w:rsidR="00701E17" w:rsidRPr="00701E17" w14:paraId="4F289D21"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3AE9840D"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Clothing</w:t>
            </w:r>
          </w:p>
        </w:tc>
        <w:tc>
          <w:tcPr>
            <w:tcW w:w="1842" w:type="dxa"/>
            <w:tcBorders>
              <w:top w:val="nil"/>
              <w:left w:val="nil"/>
              <w:bottom w:val="nil"/>
              <w:right w:val="nil"/>
            </w:tcBorders>
            <w:shd w:val="clear" w:color="auto" w:fill="auto"/>
            <w:noWrap/>
            <w:vAlign w:val="bottom"/>
            <w:hideMark/>
          </w:tcPr>
          <w:p w14:paraId="2B7BAC8F"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2,094</w:t>
            </w:r>
          </w:p>
        </w:tc>
        <w:tc>
          <w:tcPr>
            <w:tcW w:w="1701" w:type="dxa"/>
            <w:tcBorders>
              <w:top w:val="nil"/>
              <w:left w:val="nil"/>
              <w:bottom w:val="nil"/>
              <w:right w:val="nil"/>
            </w:tcBorders>
            <w:shd w:val="clear" w:color="auto" w:fill="auto"/>
            <w:noWrap/>
            <w:vAlign w:val="bottom"/>
            <w:hideMark/>
          </w:tcPr>
          <w:p w14:paraId="4297A884"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921</w:t>
            </w:r>
          </w:p>
        </w:tc>
      </w:tr>
      <w:tr w:rsidR="00701E17" w:rsidRPr="00701E17" w14:paraId="63896D11"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6420D846" w14:textId="6C5CA32A" w:rsidR="00701E17" w:rsidRPr="00701E17" w:rsidRDefault="006426CA" w:rsidP="00701E17">
            <w:pPr>
              <w:spacing w:line="240" w:lineRule="auto"/>
              <w:jc w:val="left"/>
              <w:rPr>
                <w:rFonts w:ascii="Calibri" w:hAnsi="Calibri" w:cs="Calibri"/>
                <w:color w:val="000000"/>
                <w:lang w:val="en-NZ" w:eastAsia="en-NZ"/>
              </w:rPr>
            </w:pPr>
            <w:r>
              <w:rPr>
                <w:rFonts w:ascii="Calibri" w:hAnsi="Calibri" w:cs="Calibri"/>
                <w:color w:val="000000"/>
                <w:lang w:val="en-NZ" w:eastAsia="en-NZ"/>
              </w:rPr>
              <w:t>Fast foods</w:t>
            </w:r>
          </w:p>
        </w:tc>
        <w:tc>
          <w:tcPr>
            <w:tcW w:w="1842" w:type="dxa"/>
            <w:tcBorders>
              <w:top w:val="nil"/>
              <w:left w:val="nil"/>
              <w:bottom w:val="nil"/>
              <w:right w:val="nil"/>
            </w:tcBorders>
            <w:shd w:val="clear" w:color="auto" w:fill="auto"/>
            <w:noWrap/>
            <w:vAlign w:val="bottom"/>
            <w:hideMark/>
          </w:tcPr>
          <w:p w14:paraId="5B15D4BD"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196</w:t>
            </w:r>
          </w:p>
        </w:tc>
        <w:tc>
          <w:tcPr>
            <w:tcW w:w="1701" w:type="dxa"/>
            <w:tcBorders>
              <w:top w:val="nil"/>
              <w:left w:val="nil"/>
              <w:bottom w:val="nil"/>
              <w:right w:val="nil"/>
            </w:tcBorders>
            <w:shd w:val="clear" w:color="auto" w:fill="auto"/>
            <w:noWrap/>
            <w:vAlign w:val="bottom"/>
            <w:hideMark/>
          </w:tcPr>
          <w:p w14:paraId="6F8F324B"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975</w:t>
            </w:r>
          </w:p>
        </w:tc>
      </w:tr>
      <w:tr w:rsidR="00701E17" w:rsidRPr="00701E17" w14:paraId="13B8C1AB"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2A2A0EE7"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Florists</w:t>
            </w:r>
          </w:p>
        </w:tc>
        <w:tc>
          <w:tcPr>
            <w:tcW w:w="1842" w:type="dxa"/>
            <w:tcBorders>
              <w:top w:val="nil"/>
              <w:left w:val="nil"/>
              <w:bottom w:val="nil"/>
              <w:right w:val="nil"/>
            </w:tcBorders>
            <w:shd w:val="clear" w:color="auto" w:fill="auto"/>
            <w:noWrap/>
            <w:vAlign w:val="bottom"/>
            <w:hideMark/>
          </w:tcPr>
          <w:p w14:paraId="2A8A72B6"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610</w:t>
            </w:r>
          </w:p>
        </w:tc>
        <w:tc>
          <w:tcPr>
            <w:tcW w:w="1701" w:type="dxa"/>
            <w:tcBorders>
              <w:top w:val="nil"/>
              <w:left w:val="nil"/>
              <w:bottom w:val="nil"/>
              <w:right w:val="nil"/>
            </w:tcBorders>
            <w:shd w:val="clear" w:color="auto" w:fill="auto"/>
            <w:noWrap/>
            <w:vAlign w:val="bottom"/>
            <w:hideMark/>
          </w:tcPr>
          <w:p w14:paraId="1C5F6BD6"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551</w:t>
            </w:r>
          </w:p>
        </w:tc>
      </w:tr>
      <w:tr w:rsidR="00701E17" w:rsidRPr="00701E17" w14:paraId="140F886F"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31EA7731"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Specialised food retailing (excluding liquor)</w:t>
            </w:r>
          </w:p>
        </w:tc>
        <w:tc>
          <w:tcPr>
            <w:tcW w:w="1842" w:type="dxa"/>
            <w:tcBorders>
              <w:top w:val="nil"/>
              <w:left w:val="nil"/>
              <w:bottom w:val="nil"/>
              <w:right w:val="nil"/>
            </w:tcBorders>
            <w:shd w:val="clear" w:color="auto" w:fill="auto"/>
            <w:noWrap/>
            <w:vAlign w:val="bottom"/>
            <w:hideMark/>
          </w:tcPr>
          <w:p w14:paraId="0AEB63E0"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488</w:t>
            </w:r>
          </w:p>
        </w:tc>
        <w:tc>
          <w:tcPr>
            <w:tcW w:w="1701" w:type="dxa"/>
            <w:tcBorders>
              <w:top w:val="nil"/>
              <w:left w:val="nil"/>
              <w:bottom w:val="nil"/>
              <w:right w:val="nil"/>
            </w:tcBorders>
            <w:shd w:val="clear" w:color="auto" w:fill="auto"/>
            <w:noWrap/>
            <w:vAlign w:val="bottom"/>
            <w:hideMark/>
          </w:tcPr>
          <w:p w14:paraId="03635063"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541</w:t>
            </w:r>
          </w:p>
        </w:tc>
      </w:tr>
      <w:tr w:rsidR="00701E17" w:rsidRPr="00701E17" w14:paraId="65CE1231"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32F1D315"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Watch And Jewellery Retailing</w:t>
            </w:r>
          </w:p>
        </w:tc>
        <w:tc>
          <w:tcPr>
            <w:tcW w:w="1842" w:type="dxa"/>
            <w:tcBorders>
              <w:top w:val="nil"/>
              <w:left w:val="nil"/>
              <w:bottom w:val="nil"/>
              <w:right w:val="nil"/>
            </w:tcBorders>
            <w:shd w:val="clear" w:color="auto" w:fill="auto"/>
            <w:noWrap/>
            <w:vAlign w:val="bottom"/>
            <w:hideMark/>
          </w:tcPr>
          <w:p w14:paraId="023B8E6C"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427</w:t>
            </w:r>
          </w:p>
        </w:tc>
        <w:tc>
          <w:tcPr>
            <w:tcW w:w="1701" w:type="dxa"/>
            <w:tcBorders>
              <w:top w:val="nil"/>
              <w:left w:val="nil"/>
              <w:bottom w:val="nil"/>
              <w:right w:val="nil"/>
            </w:tcBorders>
            <w:shd w:val="clear" w:color="auto" w:fill="auto"/>
            <w:noWrap/>
            <w:vAlign w:val="bottom"/>
            <w:hideMark/>
          </w:tcPr>
          <w:p w14:paraId="41D364C8"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173</w:t>
            </w:r>
          </w:p>
        </w:tc>
      </w:tr>
      <w:tr w:rsidR="00701E17" w:rsidRPr="00701E17" w14:paraId="16BF06A3"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2D9CC1DC"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Pharmacies</w:t>
            </w:r>
          </w:p>
        </w:tc>
        <w:tc>
          <w:tcPr>
            <w:tcW w:w="1842" w:type="dxa"/>
            <w:tcBorders>
              <w:top w:val="nil"/>
              <w:left w:val="nil"/>
              <w:bottom w:val="nil"/>
              <w:right w:val="nil"/>
            </w:tcBorders>
            <w:shd w:val="clear" w:color="auto" w:fill="auto"/>
            <w:noWrap/>
            <w:vAlign w:val="bottom"/>
            <w:hideMark/>
          </w:tcPr>
          <w:p w14:paraId="71C5E983"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576</w:t>
            </w:r>
          </w:p>
        </w:tc>
        <w:tc>
          <w:tcPr>
            <w:tcW w:w="1701" w:type="dxa"/>
            <w:tcBorders>
              <w:top w:val="nil"/>
              <w:left w:val="nil"/>
              <w:bottom w:val="nil"/>
              <w:right w:val="nil"/>
            </w:tcBorders>
            <w:shd w:val="clear" w:color="auto" w:fill="auto"/>
            <w:noWrap/>
            <w:vAlign w:val="bottom"/>
            <w:hideMark/>
          </w:tcPr>
          <w:p w14:paraId="509C4990"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60</w:t>
            </w:r>
          </w:p>
        </w:tc>
      </w:tr>
      <w:tr w:rsidR="00701E17" w:rsidRPr="00701E17" w14:paraId="61C83E7A"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396E4F37"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Gift Stores</w:t>
            </w:r>
          </w:p>
        </w:tc>
        <w:tc>
          <w:tcPr>
            <w:tcW w:w="1842" w:type="dxa"/>
            <w:tcBorders>
              <w:top w:val="nil"/>
              <w:left w:val="nil"/>
              <w:bottom w:val="nil"/>
              <w:right w:val="nil"/>
            </w:tcBorders>
            <w:shd w:val="clear" w:color="auto" w:fill="auto"/>
            <w:noWrap/>
            <w:vAlign w:val="bottom"/>
            <w:hideMark/>
          </w:tcPr>
          <w:p w14:paraId="57E1CD11"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331</w:t>
            </w:r>
          </w:p>
        </w:tc>
        <w:tc>
          <w:tcPr>
            <w:tcW w:w="1701" w:type="dxa"/>
            <w:tcBorders>
              <w:top w:val="nil"/>
              <w:left w:val="nil"/>
              <w:bottom w:val="nil"/>
              <w:right w:val="nil"/>
            </w:tcBorders>
            <w:shd w:val="clear" w:color="auto" w:fill="auto"/>
            <w:noWrap/>
            <w:vAlign w:val="bottom"/>
            <w:hideMark/>
          </w:tcPr>
          <w:p w14:paraId="0C84E816"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107</w:t>
            </w:r>
          </w:p>
        </w:tc>
      </w:tr>
      <w:tr w:rsidR="00701E17" w:rsidRPr="00701E17" w14:paraId="5932FB63"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5A11A7C9"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lastRenderedPageBreak/>
              <w:t>Beauty And Hairdressing</w:t>
            </w:r>
          </w:p>
        </w:tc>
        <w:tc>
          <w:tcPr>
            <w:tcW w:w="1842" w:type="dxa"/>
            <w:tcBorders>
              <w:top w:val="nil"/>
              <w:left w:val="nil"/>
              <w:bottom w:val="nil"/>
              <w:right w:val="nil"/>
            </w:tcBorders>
            <w:shd w:val="clear" w:color="auto" w:fill="auto"/>
            <w:noWrap/>
            <w:vAlign w:val="bottom"/>
            <w:hideMark/>
          </w:tcPr>
          <w:p w14:paraId="725E9F36"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375</w:t>
            </w:r>
          </w:p>
        </w:tc>
        <w:tc>
          <w:tcPr>
            <w:tcW w:w="1701" w:type="dxa"/>
            <w:tcBorders>
              <w:top w:val="nil"/>
              <w:left w:val="nil"/>
              <w:bottom w:val="nil"/>
              <w:right w:val="nil"/>
            </w:tcBorders>
            <w:shd w:val="clear" w:color="auto" w:fill="auto"/>
            <w:noWrap/>
            <w:vAlign w:val="bottom"/>
            <w:hideMark/>
          </w:tcPr>
          <w:p w14:paraId="330EC89D"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88</w:t>
            </w:r>
          </w:p>
        </w:tc>
      </w:tr>
      <w:tr w:rsidR="00701E17" w:rsidRPr="00701E17" w14:paraId="5E793F28"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13E2E254"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Liquor retailing</w:t>
            </w:r>
          </w:p>
        </w:tc>
        <w:tc>
          <w:tcPr>
            <w:tcW w:w="1842" w:type="dxa"/>
            <w:tcBorders>
              <w:top w:val="nil"/>
              <w:left w:val="nil"/>
              <w:bottom w:val="nil"/>
              <w:right w:val="nil"/>
            </w:tcBorders>
            <w:shd w:val="clear" w:color="auto" w:fill="auto"/>
            <w:noWrap/>
            <w:vAlign w:val="bottom"/>
            <w:hideMark/>
          </w:tcPr>
          <w:p w14:paraId="0211706F"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-75</w:t>
            </w:r>
          </w:p>
        </w:tc>
        <w:tc>
          <w:tcPr>
            <w:tcW w:w="1701" w:type="dxa"/>
            <w:tcBorders>
              <w:top w:val="nil"/>
              <w:left w:val="nil"/>
              <w:bottom w:val="nil"/>
              <w:right w:val="nil"/>
            </w:tcBorders>
            <w:shd w:val="clear" w:color="auto" w:fill="auto"/>
            <w:noWrap/>
            <w:vAlign w:val="bottom"/>
            <w:hideMark/>
          </w:tcPr>
          <w:p w14:paraId="72130379"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420</w:t>
            </w:r>
          </w:p>
        </w:tc>
      </w:tr>
      <w:tr w:rsidR="00701E17" w:rsidRPr="00701E17" w14:paraId="1FB2F404"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6C78B839"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Recycling/ Refuse Stations</w:t>
            </w:r>
          </w:p>
        </w:tc>
        <w:tc>
          <w:tcPr>
            <w:tcW w:w="1842" w:type="dxa"/>
            <w:tcBorders>
              <w:top w:val="nil"/>
              <w:left w:val="nil"/>
              <w:bottom w:val="nil"/>
              <w:right w:val="nil"/>
            </w:tcBorders>
            <w:shd w:val="clear" w:color="auto" w:fill="auto"/>
            <w:noWrap/>
            <w:vAlign w:val="bottom"/>
            <w:hideMark/>
          </w:tcPr>
          <w:p w14:paraId="6E40429D"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-1</w:t>
            </w:r>
          </w:p>
        </w:tc>
        <w:tc>
          <w:tcPr>
            <w:tcW w:w="1701" w:type="dxa"/>
            <w:tcBorders>
              <w:top w:val="nil"/>
              <w:left w:val="nil"/>
              <w:bottom w:val="nil"/>
              <w:right w:val="nil"/>
            </w:tcBorders>
            <w:shd w:val="clear" w:color="auto" w:fill="auto"/>
            <w:noWrap/>
            <w:vAlign w:val="bottom"/>
            <w:hideMark/>
          </w:tcPr>
          <w:p w14:paraId="32486E0F"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-4</w:t>
            </w:r>
          </w:p>
        </w:tc>
      </w:tr>
      <w:tr w:rsidR="00701E17" w:rsidRPr="00701E17" w14:paraId="1E3855CD"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2F480AA1"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Recreational Sports/Clubs</w:t>
            </w:r>
          </w:p>
        </w:tc>
        <w:tc>
          <w:tcPr>
            <w:tcW w:w="1842" w:type="dxa"/>
            <w:tcBorders>
              <w:top w:val="nil"/>
              <w:left w:val="nil"/>
              <w:bottom w:val="nil"/>
              <w:right w:val="nil"/>
            </w:tcBorders>
            <w:shd w:val="clear" w:color="auto" w:fill="auto"/>
            <w:noWrap/>
            <w:vAlign w:val="bottom"/>
            <w:hideMark/>
          </w:tcPr>
          <w:p w14:paraId="79CC9FC5"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-32</w:t>
            </w:r>
          </w:p>
        </w:tc>
        <w:tc>
          <w:tcPr>
            <w:tcW w:w="1701" w:type="dxa"/>
            <w:tcBorders>
              <w:top w:val="nil"/>
              <w:left w:val="nil"/>
              <w:bottom w:val="nil"/>
              <w:right w:val="nil"/>
            </w:tcBorders>
            <w:shd w:val="clear" w:color="auto" w:fill="auto"/>
            <w:noWrap/>
            <w:vAlign w:val="bottom"/>
            <w:hideMark/>
          </w:tcPr>
          <w:p w14:paraId="3A1A4E3D"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-135</w:t>
            </w:r>
          </w:p>
        </w:tc>
      </w:tr>
      <w:tr w:rsidR="00701E17" w:rsidRPr="00701E17" w14:paraId="1533F36D"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72405291"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Charities</w:t>
            </w:r>
          </w:p>
        </w:tc>
        <w:tc>
          <w:tcPr>
            <w:tcW w:w="1842" w:type="dxa"/>
            <w:tcBorders>
              <w:top w:val="nil"/>
              <w:left w:val="nil"/>
              <w:bottom w:val="nil"/>
              <w:right w:val="nil"/>
            </w:tcBorders>
            <w:shd w:val="clear" w:color="auto" w:fill="auto"/>
            <w:noWrap/>
            <w:vAlign w:val="bottom"/>
            <w:hideMark/>
          </w:tcPr>
          <w:p w14:paraId="28AC6E40"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-22</w:t>
            </w:r>
          </w:p>
        </w:tc>
        <w:tc>
          <w:tcPr>
            <w:tcW w:w="1701" w:type="dxa"/>
            <w:tcBorders>
              <w:top w:val="nil"/>
              <w:left w:val="nil"/>
              <w:bottom w:val="nil"/>
              <w:right w:val="nil"/>
            </w:tcBorders>
            <w:shd w:val="clear" w:color="auto" w:fill="auto"/>
            <w:noWrap/>
            <w:vAlign w:val="bottom"/>
            <w:hideMark/>
          </w:tcPr>
          <w:p w14:paraId="7A0E648A"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-153</w:t>
            </w:r>
          </w:p>
        </w:tc>
      </w:tr>
      <w:tr w:rsidR="00701E17" w:rsidRPr="00701E17" w14:paraId="3B73667B"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050E68A7"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Taxi/Transport</w:t>
            </w:r>
          </w:p>
        </w:tc>
        <w:tc>
          <w:tcPr>
            <w:tcW w:w="1842" w:type="dxa"/>
            <w:tcBorders>
              <w:top w:val="nil"/>
              <w:left w:val="nil"/>
              <w:bottom w:val="nil"/>
              <w:right w:val="nil"/>
            </w:tcBorders>
            <w:shd w:val="clear" w:color="auto" w:fill="auto"/>
            <w:noWrap/>
            <w:vAlign w:val="bottom"/>
            <w:hideMark/>
          </w:tcPr>
          <w:p w14:paraId="14D19029"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19</w:t>
            </w:r>
          </w:p>
        </w:tc>
        <w:tc>
          <w:tcPr>
            <w:tcW w:w="1701" w:type="dxa"/>
            <w:tcBorders>
              <w:top w:val="nil"/>
              <w:left w:val="nil"/>
              <w:bottom w:val="nil"/>
              <w:right w:val="nil"/>
            </w:tcBorders>
            <w:shd w:val="clear" w:color="auto" w:fill="auto"/>
            <w:noWrap/>
            <w:vAlign w:val="bottom"/>
            <w:hideMark/>
          </w:tcPr>
          <w:p w14:paraId="46941EEE"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-231</w:t>
            </w:r>
          </w:p>
        </w:tc>
      </w:tr>
      <w:tr w:rsidR="00701E17" w:rsidRPr="00701E17" w14:paraId="6F682ABD"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552F443D"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Motor vehicle and parts retailing</w:t>
            </w:r>
          </w:p>
        </w:tc>
        <w:tc>
          <w:tcPr>
            <w:tcW w:w="1842" w:type="dxa"/>
            <w:tcBorders>
              <w:top w:val="nil"/>
              <w:left w:val="nil"/>
              <w:bottom w:val="nil"/>
              <w:right w:val="nil"/>
            </w:tcBorders>
            <w:shd w:val="clear" w:color="auto" w:fill="auto"/>
            <w:noWrap/>
            <w:vAlign w:val="bottom"/>
            <w:hideMark/>
          </w:tcPr>
          <w:p w14:paraId="1159C3E9"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-240</w:t>
            </w:r>
          </w:p>
        </w:tc>
        <w:tc>
          <w:tcPr>
            <w:tcW w:w="1701" w:type="dxa"/>
            <w:tcBorders>
              <w:top w:val="nil"/>
              <w:left w:val="nil"/>
              <w:bottom w:val="nil"/>
              <w:right w:val="nil"/>
            </w:tcBorders>
            <w:shd w:val="clear" w:color="auto" w:fill="auto"/>
            <w:noWrap/>
            <w:vAlign w:val="bottom"/>
            <w:hideMark/>
          </w:tcPr>
          <w:p w14:paraId="3BBD7CC3"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-156</w:t>
            </w:r>
          </w:p>
        </w:tc>
      </w:tr>
      <w:tr w:rsidR="00701E17" w:rsidRPr="00701E17" w14:paraId="0EDB390E" w14:textId="77777777" w:rsidTr="006426CA">
        <w:trPr>
          <w:trHeight w:val="290"/>
          <w:jc w:val="center"/>
        </w:trPr>
        <w:tc>
          <w:tcPr>
            <w:tcW w:w="4821" w:type="dxa"/>
            <w:tcBorders>
              <w:top w:val="nil"/>
              <w:left w:val="nil"/>
              <w:bottom w:val="nil"/>
              <w:right w:val="nil"/>
            </w:tcBorders>
            <w:shd w:val="clear" w:color="auto" w:fill="auto"/>
            <w:noWrap/>
            <w:vAlign w:val="bottom"/>
            <w:hideMark/>
          </w:tcPr>
          <w:p w14:paraId="0A3C9611" w14:textId="77777777" w:rsidR="00701E17" w:rsidRPr="00701E17" w:rsidRDefault="00701E17" w:rsidP="00701E17">
            <w:pPr>
              <w:spacing w:line="240" w:lineRule="auto"/>
              <w:jc w:val="left"/>
              <w:rPr>
                <w:rFonts w:ascii="Calibri" w:hAnsi="Calibri" w:cs="Calibri"/>
                <w:color w:val="000000"/>
                <w:lang w:val="en-NZ" w:eastAsia="en-NZ"/>
              </w:rPr>
            </w:pPr>
            <w:r w:rsidRPr="00701E17">
              <w:rPr>
                <w:rFonts w:ascii="Calibri" w:hAnsi="Calibri" w:cs="Calibri"/>
                <w:color w:val="000000"/>
                <w:lang w:val="en-NZ" w:eastAsia="en-NZ"/>
              </w:rPr>
              <w:t>Supermarket and grocery stores</w:t>
            </w:r>
          </w:p>
        </w:tc>
        <w:tc>
          <w:tcPr>
            <w:tcW w:w="1842" w:type="dxa"/>
            <w:tcBorders>
              <w:top w:val="nil"/>
              <w:left w:val="nil"/>
              <w:bottom w:val="nil"/>
              <w:right w:val="nil"/>
            </w:tcBorders>
            <w:shd w:val="clear" w:color="auto" w:fill="auto"/>
            <w:noWrap/>
            <w:vAlign w:val="bottom"/>
            <w:hideMark/>
          </w:tcPr>
          <w:p w14:paraId="5155B1F6"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4,593</w:t>
            </w:r>
          </w:p>
        </w:tc>
        <w:tc>
          <w:tcPr>
            <w:tcW w:w="1701" w:type="dxa"/>
            <w:tcBorders>
              <w:top w:val="nil"/>
              <w:left w:val="nil"/>
              <w:bottom w:val="nil"/>
              <w:right w:val="nil"/>
            </w:tcBorders>
            <w:shd w:val="clear" w:color="auto" w:fill="auto"/>
            <w:noWrap/>
            <w:vAlign w:val="bottom"/>
            <w:hideMark/>
          </w:tcPr>
          <w:p w14:paraId="5F991583" w14:textId="77777777" w:rsidR="00701E17" w:rsidRPr="00701E17" w:rsidRDefault="00701E17" w:rsidP="00701E17">
            <w:pPr>
              <w:spacing w:line="240" w:lineRule="auto"/>
              <w:jc w:val="right"/>
              <w:rPr>
                <w:rFonts w:ascii="Calibri" w:hAnsi="Calibri" w:cs="Calibri"/>
                <w:color w:val="000000"/>
                <w:lang w:val="en-NZ" w:eastAsia="en-NZ"/>
              </w:rPr>
            </w:pPr>
            <w:r w:rsidRPr="00701E17">
              <w:rPr>
                <w:rFonts w:ascii="Calibri" w:hAnsi="Calibri" w:cs="Calibri"/>
                <w:color w:val="000000"/>
                <w:lang w:val="en-NZ" w:eastAsia="en-NZ"/>
              </w:rPr>
              <w:t>-2,011</w:t>
            </w:r>
          </w:p>
        </w:tc>
      </w:tr>
    </w:tbl>
    <w:p w14:paraId="2D173A40" w14:textId="2A2950AE" w:rsidR="005A0482" w:rsidRDefault="005A0482" w:rsidP="005A0482">
      <w:pPr>
        <w:pStyle w:val="BodytextWorldline"/>
        <w:rPr>
          <w:lang w:val="en-US"/>
        </w:rPr>
      </w:pPr>
      <w:r w:rsidRPr="00710DF2">
        <w:rPr>
          <w:sz w:val="16"/>
          <w:szCs w:val="16"/>
        </w:rPr>
        <w:t xml:space="preserve">Figure </w:t>
      </w:r>
      <w:r>
        <w:rPr>
          <w:sz w:val="16"/>
          <w:szCs w:val="16"/>
        </w:rPr>
        <w:t>1</w:t>
      </w:r>
      <w:r w:rsidRPr="00710DF2">
        <w:rPr>
          <w:sz w:val="16"/>
          <w:szCs w:val="16"/>
        </w:rPr>
        <w:t xml:space="preserve">: All Cards NZ underlying* </w:t>
      </w:r>
      <w:r>
        <w:rPr>
          <w:sz w:val="16"/>
          <w:szCs w:val="16"/>
        </w:rPr>
        <w:t xml:space="preserve">difference in </w:t>
      </w:r>
      <w:r w:rsidRPr="00710DF2">
        <w:rPr>
          <w:sz w:val="16"/>
          <w:szCs w:val="16"/>
        </w:rPr>
        <w:t xml:space="preserve">spending through Worldline </w:t>
      </w:r>
      <w:r>
        <w:rPr>
          <w:sz w:val="16"/>
          <w:szCs w:val="16"/>
        </w:rPr>
        <w:t xml:space="preserve">between the weekend of Mother’s Day 2024 and the average of the same </w:t>
      </w:r>
      <w:r w:rsidR="00FE33F1">
        <w:rPr>
          <w:sz w:val="16"/>
          <w:szCs w:val="16"/>
        </w:rPr>
        <w:t>Saturday or Sunday</w:t>
      </w:r>
      <w:r>
        <w:rPr>
          <w:sz w:val="16"/>
          <w:szCs w:val="16"/>
        </w:rPr>
        <w:t xml:space="preserve"> 7 days before and after for selected merchant groups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31E728E5" w14:textId="334F93B9" w:rsidR="0083063E" w:rsidRDefault="00F4606C" w:rsidP="00F4606C">
      <w:pPr>
        <w:pStyle w:val="BodytextWorldline"/>
        <w:spacing w:after="0"/>
        <w:rPr>
          <w:lang w:val="en-US"/>
        </w:rPr>
      </w:pPr>
      <w:r>
        <w:rPr>
          <w:lang w:val="en-US"/>
        </w:rPr>
        <w:t xml:space="preserve">Looking beyond the goods sector, </w:t>
      </w:r>
      <w:r w:rsidR="0083063E">
        <w:rPr>
          <w:lang w:val="en-US"/>
        </w:rPr>
        <w:t xml:space="preserve">Proffit notes consumer spending in </w:t>
      </w:r>
      <w:r>
        <w:rPr>
          <w:lang w:val="en-US"/>
        </w:rPr>
        <w:t xml:space="preserve">the Hospitality sector </w:t>
      </w:r>
      <w:r w:rsidR="0083063E">
        <w:rPr>
          <w:lang w:val="en-US"/>
        </w:rPr>
        <w:t xml:space="preserve">was generally </w:t>
      </w:r>
      <w:r>
        <w:rPr>
          <w:lang w:val="en-US"/>
        </w:rPr>
        <w:t>weak</w:t>
      </w:r>
      <w:r w:rsidR="0083063E">
        <w:rPr>
          <w:lang w:val="en-US"/>
        </w:rPr>
        <w:t xml:space="preserve"> across </w:t>
      </w:r>
      <w:r w:rsidR="00415B2A">
        <w:rPr>
          <w:lang w:val="en-US"/>
        </w:rPr>
        <w:t xml:space="preserve">the entire month. </w:t>
      </w:r>
    </w:p>
    <w:p w14:paraId="28574593" w14:textId="77777777" w:rsidR="0083063E" w:rsidRDefault="0083063E" w:rsidP="00F4606C">
      <w:pPr>
        <w:pStyle w:val="BodytextWorldline"/>
        <w:spacing w:after="0"/>
        <w:rPr>
          <w:lang w:val="en-US"/>
        </w:rPr>
      </w:pPr>
    </w:p>
    <w:p w14:paraId="722FD45F" w14:textId="6F3DBD7D" w:rsidR="00F4606C" w:rsidRDefault="0083063E" w:rsidP="00F4606C">
      <w:pPr>
        <w:pStyle w:val="BodytextWorldline"/>
        <w:spacing w:after="0"/>
        <w:rPr>
          <w:lang w:val="en-US"/>
        </w:rPr>
      </w:pPr>
      <w:r>
        <w:rPr>
          <w:lang w:val="en-US"/>
        </w:rPr>
        <w:t>“</w:t>
      </w:r>
      <w:r w:rsidR="00F4606C">
        <w:rPr>
          <w:lang w:val="en-US"/>
        </w:rPr>
        <w:t xml:space="preserve">May </w:t>
      </w:r>
      <w:r w:rsidR="00415B2A">
        <w:rPr>
          <w:lang w:val="en-US"/>
        </w:rPr>
        <w:t>tends to be</w:t>
      </w:r>
      <w:r w:rsidR="00F4606C">
        <w:rPr>
          <w:lang w:val="en-US"/>
        </w:rPr>
        <w:t xml:space="preserve"> a quieter time of year for th</w:t>
      </w:r>
      <w:r w:rsidR="00415B2A">
        <w:rPr>
          <w:lang w:val="en-US"/>
        </w:rPr>
        <w:t>e Hospitality</w:t>
      </w:r>
      <w:r w:rsidR="00F4606C">
        <w:rPr>
          <w:lang w:val="en-US"/>
        </w:rPr>
        <w:t xml:space="preserve"> sector </w:t>
      </w:r>
      <w:r w:rsidR="00415B2A">
        <w:rPr>
          <w:lang w:val="en-US"/>
        </w:rPr>
        <w:t xml:space="preserve">anyway, </w:t>
      </w:r>
      <w:r w:rsidR="00F4606C">
        <w:rPr>
          <w:lang w:val="en-US"/>
        </w:rPr>
        <w:t xml:space="preserve">but the </w:t>
      </w:r>
      <w:r w:rsidR="00B51928">
        <w:rPr>
          <w:lang w:val="en-US"/>
        </w:rPr>
        <w:t xml:space="preserve">total of </w:t>
      </w:r>
      <w:r w:rsidR="00F4606C" w:rsidRPr="00E745CC">
        <w:rPr>
          <w:lang w:val="en-US"/>
        </w:rPr>
        <w:t>$</w:t>
      </w:r>
      <w:r w:rsidR="00F4606C">
        <w:rPr>
          <w:lang w:val="en-US"/>
        </w:rPr>
        <w:t>0.52</w:t>
      </w:r>
      <w:r w:rsidR="00F4606C" w:rsidRPr="00E745CC">
        <w:rPr>
          <w:lang w:val="en-US"/>
        </w:rPr>
        <w:t>B</w:t>
      </w:r>
      <w:r w:rsidR="00F4606C">
        <w:rPr>
          <w:lang w:val="en-US"/>
        </w:rPr>
        <w:t xml:space="preserve"> </w:t>
      </w:r>
      <w:r w:rsidR="00B51928">
        <w:rPr>
          <w:lang w:val="en-US"/>
        </w:rPr>
        <w:t xml:space="preserve">in </w:t>
      </w:r>
      <w:r w:rsidR="00F4606C">
        <w:rPr>
          <w:lang w:val="en-US"/>
        </w:rPr>
        <w:t>payments</w:t>
      </w:r>
      <w:r w:rsidR="00B51928">
        <w:rPr>
          <w:lang w:val="en-US"/>
        </w:rPr>
        <w:t xml:space="preserve"> recorded</w:t>
      </w:r>
      <w:r w:rsidR="00F4606C">
        <w:rPr>
          <w:lang w:val="en-US"/>
        </w:rPr>
        <w:t xml:space="preserve"> through </w:t>
      </w:r>
      <w:r w:rsidR="00B51928">
        <w:rPr>
          <w:lang w:val="en-US"/>
        </w:rPr>
        <w:t xml:space="preserve">these </w:t>
      </w:r>
      <w:r w:rsidR="00F4606C">
        <w:rPr>
          <w:lang w:val="en-US"/>
        </w:rPr>
        <w:t>merchants</w:t>
      </w:r>
      <w:r w:rsidR="00B51928">
        <w:rPr>
          <w:lang w:val="en-US"/>
        </w:rPr>
        <w:t xml:space="preserve"> in</w:t>
      </w:r>
      <w:r w:rsidR="00F4606C">
        <w:rPr>
          <w:lang w:val="en-US"/>
        </w:rPr>
        <w:t xml:space="preserve"> </w:t>
      </w:r>
      <w:r w:rsidR="00B51928">
        <w:rPr>
          <w:lang w:val="en-US"/>
        </w:rPr>
        <w:t xml:space="preserve">Worldline NZ’s network </w:t>
      </w:r>
      <w:r w:rsidR="00F4606C">
        <w:rPr>
          <w:lang w:val="en-US"/>
        </w:rPr>
        <w:t>was -2.0% below May last year and slipp</w:t>
      </w:r>
      <w:r w:rsidR="007E6420">
        <w:rPr>
          <w:lang w:val="en-US"/>
        </w:rPr>
        <w:t>ed</w:t>
      </w:r>
      <w:r w:rsidR="00F4606C">
        <w:rPr>
          <w:lang w:val="en-US"/>
        </w:rPr>
        <w:t xml:space="preserve"> further behind </w:t>
      </w:r>
      <w:r w:rsidR="007E6420">
        <w:rPr>
          <w:lang w:val="en-US"/>
        </w:rPr>
        <w:t xml:space="preserve">comparable spending in May </w:t>
      </w:r>
      <w:r w:rsidR="00F4606C">
        <w:rPr>
          <w:lang w:val="en-US"/>
        </w:rPr>
        <w:t>2023 as the month progressed.”</w:t>
      </w:r>
    </w:p>
    <w:p w14:paraId="06F7F99E" w14:textId="77777777" w:rsidR="00F4606C" w:rsidRDefault="00F4606C" w:rsidP="002D5574">
      <w:pPr>
        <w:spacing w:line="240" w:lineRule="auto"/>
        <w:rPr>
          <w:lang w:val="en-US"/>
        </w:rPr>
      </w:pPr>
    </w:p>
    <w:p w14:paraId="22377E42" w14:textId="77E428A3" w:rsidR="002D5574" w:rsidRDefault="002D5574" w:rsidP="002D5574">
      <w:pPr>
        <w:spacing w:line="240" w:lineRule="auto"/>
        <w:rPr>
          <w:lang w:val="en-US"/>
        </w:rPr>
      </w:pPr>
      <w:r>
        <w:rPr>
          <w:lang w:val="en-US"/>
        </w:rPr>
        <w:t>For the month in total, regional annual growth for C</w:t>
      </w:r>
      <w:r w:rsidRPr="00E745CC">
        <w:rPr>
          <w:lang w:val="en-US"/>
        </w:rPr>
        <w:t>ore Retail merchants</w:t>
      </w:r>
      <w:r>
        <w:rPr>
          <w:lang w:val="en-US"/>
        </w:rPr>
        <w:t xml:space="preserve"> </w:t>
      </w:r>
      <w:r w:rsidRPr="00E745CC">
        <w:rPr>
          <w:lang w:val="en-US"/>
        </w:rPr>
        <w:t>(excluding Hospitality)</w:t>
      </w:r>
      <w:r>
        <w:rPr>
          <w:lang w:val="en-US"/>
        </w:rPr>
        <w:t xml:space="preserve"> was</w:t>
      </w:r>
      <w:r w:rsidRPr="000D3C30">
        <w:rPr>
          <w:lang w:val="en-US"/>
        </w:rPr>
        <w:t xml:space="preserve"> highest in </w:t>
      </w:r>
      <w:r w:rsidR="005C0247">
        <w:rPr>
          <w:lang w:val="en-US"/>
        </w:rPr>
        <w:t xml:space="preserve">West Coast (+5.6%) and </w:t>
      </w:r>
      <w:r w:rsidR="002A0C6B">
        <w:rPr>
          <w:lang w:val="en-US"/>
        </w:rPr>
        <w:t>Whanganui</w:t>
      </w:r>
      <w:r w:rsidRPr="000D3C30">
        <w:rPr>
          <w:lang w:val="en-US"/>
        </w:rPr>
        <w:t xml:space="preserve"> (+</w:t>
      </w:r>
      <w:r w:rsidR="00FC15FC">
        <w:rPr>
          <w:lang w:val="en-US"/>
        </w:rPr>
        <w:t>5.2</w:t>
      </w:r>
      <w:r w:rsidRPr="000D3C30">
        <w:rPr>
          <w:lang w:val="en-US"/>
        </w:rPr>
        <w:t>%)</w:t>
      </w:r>
      <w:r w:rsidR="002A0C6B">
        <w:rPr>
          <w:lang w:val="en-US"/>
        </w:rPr>
        <w:t xml:space="preserve">. </w:t>
      </w:r>
      <w:r w:rsidR="00732A1D">
        <w:rPr>
          <w:lang w:val="en-US"/>
        </w:rPr>
        <w:t>Spending declined in</w:t>
      </w:r>
      <w:r>
        <w:rPr>
          <w:lang w:val="en-US"/>
        </w:rPr>
        <w:t xml:space="preserve"> </w:t>
      </w:r>
      <w:r w:rsidRPr="00B04642">
        <w:rPr>
          <w:lang w:val="en-US"/>
        </w:rPr>
        <w:t>Southland</w:t>
      </w:r>
      <w:r w:rsidRPr="000D3C30">
        <w:rPr>
          <w:lang w:val="en-US"/>
        </w:rPr>
        <w:t xml:space="preserve"> (-</w:t>
      </w:r>
      <w:r w:rsidR="001F5C42">
        <w:rPr>
          <w:lang w:val="en-US"/>
        </w:rPr>
        <w:t>6</w:t>
      </w:r>
      <w:r w:rsidR="00732A1D">
        <w:rPr>
          <w:lang w:val="en-US"/>
        </w:rPr>
        <w:t>.8</w:t>
      </w:r>
      <w:r w:rsidRPr="000D3C30">
        <w:rPr>
          <w:lang w:val="en-US"/>
        </w:rPr>
        <w:t>%)</w:t>
      </w:r>
      <w:r w:rsidR="00FC15FC">
        <w:rPr>
          <w:lang w:val="en-US"/>
        </w:rPr>
        <w:t>, Bay of Plenty (-2.3%),</w:t>
      </w:r>
      <w:r w:rsidR="002A0C6B">
        <w:rPr>
          <w:lang w:val="en-US"/>
        </w:rPr>
        <w:t xml:space="preserve"> </w:t>
      </w:r>
      <w:r w:rsidR="005C0247">
        <w:rPr>
          <w:lang w:val="en-US"/>
        </w:rPr>
        <w:t>Gisborne</w:t>
      </w:r>
      <w:r w:rsidR="002A0C6B">
        <w:rPr>
          <w:lang w:val="en-US"/>
        </w:rPr>
        <w:t xml:space="preserve"> (-</w:t>
      </w:r>
      <w:r w:rsidR="00732A1D">
        <w:rPr>
          <w:lang w:val="en-US"/>
        </w:rPr>
        <w:t>2.1</w:t>
      </w:r>
      <w:r w:rsidR="002A0C6B">
        <w:rPr>
          <w:lang w:val="en-US"/>
        </w:rPr>
        <w:t>%)</w:t>
      </w:r>
      <w:r w:rsidR="00FC15FC">
        <w:rPr>
          <w:lang w:val="en-US"/>
        </w:rPr>
        <w:t xml:space="preserve"> and Auckland/Northland (-0.2%).</w:t>
      </w:r>
    </w:p>
    <w:p w14:paraId="7C3724D1" w14:textId="5AD96337" w:rsidR="003B3506" w:rsidRPr="003B3506" w:rsidRDefault="003B3506" w:rsidP="002D5574">
      <w:pPr>
        <w:pStyle w:val="BodytextWorldline"/>
        <w:spacing w:after="0"/>
        <w:rPr>
          <w:lang w:val="en-US"/>
        </w:rPr>
      </w:pPr>
    </w:p>
    <w:tbl>
      <w:tblPr>
        <w:tblW w:w="7460" w:type="dxa"/>
        <w:jc w:val="center"/>
        <w:tblCellMar>
          <w:left w:w="0" w:type="dxa"/>
          <w:right w:w="0" w:type="dxa"/>
        </w:tblCellMar>
        <w:tblLook w:val="04A0" w:firstRow="1" w:lastRow="0" w:firstColumn="1" w:lastColumn="0" w:noHBand="0" w:noVBand="1"/>
      </w:tblPr>
      <w:tblGrid>
        <w:gridCol w:w="2300"/>
        <w:gridCol w:w="1720"/>
        <w:gridCol w:w="1720"/>
        <w:gridCol w:w="1720"/>
      </w:tblGrid>
      <w:tr w:rsidR="00FC15FC" w14:paraId="19019182" w14:textId="77777777" w:rsidTr="00FC15FC">
        <w:trPr>
          <w:trHeight w:val="553"/>
          <w:jc w:val="center"/>
        </w:trPr>
        <w:tc>
          <w:tcPr>
            <w:tcW w:w="7460" w:type="dxa"/>
            <w:gridSpan w:val="4"/>
            <w:tcBorders>
              <w:top w:val="nil"/>
              <w:left w:val="nil"/>
              <w:bottom w:val="nil"/>
              <w:right w:val="nil"/>
            </w:tcBorders>
            <w:shd w:val="clear" w:color="000000" w:fill="C0C0C0"/>
            <w:vAlign w:val="center"/>
            <w:hideMark/>
          </w:tcPr>
          <w:p w14:paraId="45A2FE46" w14:textId="77777777" w:rsidR="00FC15FC" w:rsidRDefault="00FC15FC">
            <w:pPr>
              <w:rPr>
                <w:rFonts w:cs="Arial"/>
                <w:b/>
                <w:bCs/>
                <w:sz w:val="20"/>
                <w:szCs w:val="20"/>
              </w:rPr>
            </w:pPr>
            <w:r>
              <w:rPr>
                <w:rFonts w:cs="Arial"/>
                <w:b/>
                <w:bCs/>
                <w:sz w:val="20"/>
                <w:szCs w:val="20"/>
              </w:rPr>
              <w:t>WORLDLINE All Cards underlying* spending for CORE RETAIL less HOSPITALITY merchants for May 2024</w:t>
            </w:r>
          </w:p>
        </w:tc>
      </w:tr>
      <w:tr w:rsidR="00FC15FC" w14:paraId="368831B9" w14:textId="77777777" w:rsidTr="00FC15FC">
        <w:trPr>
          <w:trHeight w:val="290"/>
          <w:jc w:val="center"/>
        </w:trPr>
        <w:tc>
          <w:tcPr>
            <w:tcW w:w="0" w:type="auto"/>
            <w:tcBorders>
              <w:top w:val="nil"/>
              <w:left w:val="nil"/>
              <w:bottom w:val="nil"/>
              <w:right w:val="nil"/>
            </w:tcBorders>
            <w:shd w:val="clear" w:color="000000" w:fill="C0C0C0"/>
            <w:noWrap/>
            <w:vAlign w:val="bottom"/>
            <w:hideMark/>
          </w:tcPr>
          <w:p w14:paraId="6C37E60A" w14:textId="77777777" w:rsidR="00FC15FC" w:rsidRDefault="00FC15FC">
            <w:pPr>
              <w:rPr>
                <w:rFonts w:cs="Arial"/>
                <w:sz w:val="20"/>
                <w:szCs w:val="20"/>
              </w:rPr>
            </w:pPr>
            <w:r>
              <w:rPr>
                <w:rFonts w:cs="Arial"/>
                <w:sz w:val="20"/>
                <w:szCs w:val="20"/>
              </w:rPr>
              <w:t> </w:t>
            </w:r>
          </w:p>
        </w:tc>
        <w:tc>
          <w:tcPr>
            <w:tcW w:w="0" w:type="auto"/>
            <w:tcBorders>
              <w:top w:val="nil"/>
              <w:left w:val="nil"/>
              <w:bottom w:val="nil"/>
              <w:right w:val="nil"/>
            </w:tcBorders>
            <w:shd w:val="clear" w:color="000000" w:fill="C0C0C0"/>
            <w:noWrap/>
            <w:vAlign w:val="bottom"/>
            <w:hideMark/>
          </w:tcPr>
          <w:p w14:paraId="37810837" w14:textId="77777777" w:rsidR="00FC15FC" w:rsidRDefault="00FC15FC">
            <w:pPr>
              <w:jc w:val="right"/>
              <w:rPr>
                <w:rFonts w:cs="Arial"/>
                <w:sz w:val="20"/>
                <w:szCs w:val="20"/>
              </w:rPr>
            </w:pPr>
            <w:r>
              <w:rPr>
                <w:rFonts w:cs="Arial"/>
                <w:sz w:val="20"/>
                <w:szCs w:val="20"/>
              </w:rPr>
              <w:t>Value</w:t>
            </w:r>
          </w:p>
        </w:tc>
        <w:tc>
          <w:tcPr>
            <w:tcW w:w="0" w:type="auto"/>
            <w:tcBorders>
              <w:top w:val="nil"/>
              <w:left w:val="nil"/>
              <w:bottom w:val="nil"/>
              <w:right w:val="nil"/>
            </w:tcBorders>
            <w:shd w:val="clear" w:color="000000" w:fill="C0C0C0"/>
            <w:noWrap/>
            <w:vAlign w:val="bottom"/>
            <w:hideMark/>
          </w:tcPr>
          <w:p w14:paraId="6C25061C" w14:textId="77777777" w:rsidR="00FC15FC" w:rsidRDefault="00FC15FC">
            <w:pPr>
              <w:jc w:val="right"/>
              <w:rPr>
                <w:rFonts w:cs="Arial"/>
                <w:sz w:val="20"/>
                <w:szCs w:val="20"/>
              </w:rPr>
            </w:pPr>
            <w:r>
              <w:rPr>
                <w:rFonts w:cs="Arial"/>
                <w:sz w:val="20"/>
                <w:szCs w:val="20"/>
              </w:rPr>
              <w:t>Underlying*</w:t>
            </w:r>
          </w:p>
        </w:tc>
        <w:tc>
          <w:tcPr>
            <w:tcW w:w="0" w:type="auto"/>
            <w:tcBorders>
              <w:top w:val="nil"/>
              <w:left w:val="nil"/>
              <w:bottom w:val="nil"/>
              <w:right w:val="nil"/>
            </w:tcBorders>
            <w:shd w:val="clear" w:color="000000" w:fill="C0C0C0"/>
            <w:noWrap/>
            <w:vAlign w:val="bottom"/>
            <w:hideMark/>
          </w:tcPr>
          <w:p w14:paraId="63686219" w14:textId="77777777" w:rsidR="00FC15FC" w:rsidRDefault="00FC15FC">
            <w:pPr>
              <w:jc w:val="right"/>
              <w:rPr>
                <w:rFonts w:cs="Arial"/>
                <w:sz w:val="20"/>
                <w:szCs w:val="20"/>
              </w:rPr>
            </w:pPr>
            <w:r>
              <w:rPr>
                <w:rFonts w:cs="Arial"/>
                <w:sz w:val="20"/>
                <w:szCs w:val="20"/>
              </w:rPr>
              <w:t>Underlying*</w:t>
            </w:r>
          </w:p>
        </w:tc>
      </w:tr>
      <w:tr w:rsidR="00FC15FC" w14:paraId="60DC3AFC" w14:textId="77777777" w:rsidTr="00FC15FC">
        <w:trPr>
          <w:trHeight w:val="561"/>
          <w:jc w:val="center"/>
        </w:trPr>
        <w:tc>
          <w:tcPr>
            <w:tcW w:w="2300" w:type="dxa"/>
            <w:tcBorders>
              <w:top w:val="nil"/>
              <w:left w:val="nil"/>
              <w:bottom w:val="nil"/>
              <w:right w:val="nil"/>
            </w:tcBorders>
            <w:shd w:val="clear" w:color="000000" w:fill="C0C0C0"/>
            <w:vAlign w:val="bottom"/>
            <w:hideMark/>
          </w:tcPr>
          <w:p w14:paraId="21E85B7A" w14:textId="77777777" w:rsidR="00FC15FC" w:rsidRDefault="00FC15FC">
            <w:pPr>
              <w:jc w:val="left"/>
              <w:rPr>
                <w:rFonts w:cs="Arial"/>
                <w:sz w:val="20"/>
                <w:szCs w:val="20"/>
              </w:rPr>
            </w:pPr>
            <w:r>
              <w:rPr>
                <w:rFonts w:cs="Arial"/>
                <w:sz w:val="20"/>
                <w:szCs w:val="20"/>
              </w:rPr>
              <w:t>Region</w:t>
            </w:r>
          </w:p>
        </w:tc>
        <w:tc>
          <w:tcPr>
            <w:tcW w:w="1720" w:type="dxa"/>
            <w:tcBorders>
              <w:top w:val="nil"/>
              <w:left w:val="nil"/>
              <w:bottom w:val="nil"/>
              <w:right w:val="nil"/>
            </w:tcBorders>
            <w:shd w:val="clear" w:color="000000" w:fill="C0C0C0"/>
            <w:vAlign w:val="bottom"/>
            <w:hideMark/>
          </w:tcPr>
          <w:p w14:paraId="6A0A25EB" w14:textId="77777777" w:rsidR="00FC15FC" w:rsidRDefault="00FC15FC">
            <w:pPr>
              <w:jc w:val="right"/>
              <w:rPr>
                <w:rFonts w:cs="Arial"/>
                <w:sz w:val="20"/>
                <w:szCs w:val="20"/>
              </w:rPr>
            </w:pPr>
            <w:r>
              <w:rPr>
                <w:rFonts w:cs="Arial"/>
                <w:sz w:val="20"/>
                <w:szCs w:val="20"/>
              </w:rPr>
              <w:t>transactions $millions</w:t>
            </w:r>
          </w:p>
        </w:tc>
        <w:tc>
          <w:tcPr>
            <w:tcW w:w="1720" w:type="dxa"/>
            <w:tcBorders>
              <w:top w:val="nil"/>
              <w:left w:val="nil"/>
              <w:bottom w:val="nil"/>
              <w:right w:val="nil"/>
            </w:tcBorders>
            <w:shd w:val="clear" w:color="000000" w:fill="C0C0C0"/>
            <w:vAlign w:val="bottom"/>
            <w:hideMark/>
          </w:tcPr>
          <w:p w14:paraId="225D96F8" w14:textId="77777777" w:rsidR="00FC15FC" w:rsidRDefault="00FC15FC">
            <w:pPr>
              <w:jc w:val="right"/>
              <w:rPr>
                <w:rFonts w:cs="Arial"/>
                <w:sz w:val="20"/>
                <w:szCs w:val="20"/>
              </w:rPr>
            </w:pPr>
            <w:r>
              <w:rPr>
                <w:rFonts w:cs="Arial"/>
                <w:sz w:val="20"/>
                <w:szCs w:val="20"/>
              </w:rPr>
              <w:t>Annual % change on 2023</w:t>
            </w:r>
          </w:p>
        </w:tc>
        <w:tc>
          <w:tcPr>
            <w:tcW w:w="1720" w:type="dxa"/>
            <w:tcBorders>
              <w:top w:val="nil"/>
              <w:left w:val="nil"/>
              <w:bottom w:val="nil"/>
              <w:right w:val="nil"/>
            </w:tcBorders>
            <w:shd w:val="clear" w:color="000000" w:fill="C0C0C0"/>
            <w:vAlign w:val="bottom"/>
            <w:hideMark/>
          </w:tcPr>
          <w:p w14:paraId="7B755F76" w14:textId="77777777" w:rsidR="00FC15FC" w:rsidRDefault="00FC15FC">
            <w:pPr>
              <w:jc w:val="right"/>
              <w:rPr>
                <w:rFonts w:cs="Arial"/>
                <w:sz w:val="20"/>
                <w:szCs w:val="20"/>
              </w:rPr>
            </w:pPr>
            <w:r>
              <w:rPr>
                <w:rFonts w:cs="Arial"/>
                <w:sz w:val="20"/>
                <w:szCs w:val="20"/>
              </w:rPr>
              <w:t>Annual % change on 2019</w:t>
            </w:r>
          </w:p>
        </w:tc>
      </w:tr>
      <w:tr w:rsidR="00FC15FC" w14:paraId="699203EC"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7BCFBEF8" w14:textId="77777777" w:rsidR="00FC15FC" w:rsidRDefault="00FC15FC">
            <w:pPr>
              <w:jc w:val="left"/>
              <w:rPr>
                <w:rFonts w:ascii="Calibri" w:hAnsi="Calibri" w:cs="Calibri"/>
                <w:color w:val="000000"/>
              </w:rPr>
            </w:pPr>
            <w:r>
              <w:rPr>
                <w:rFonts w:ascii="Calibri" w:hAnsi="Calibri" w:cs="Calibri"/>
                <w:color w:val="000000"/>
              </w:rPr>
              <w:t>Auckland/Northland</w:t>
            </w:r>
          </w:p>
        </w:tc>
        <w:tc>
          <w:tcPr>
            <w:tcW w:w="0" w:type="auto"/>
            <w:tcBorders>
              <w:top w:val="nil"/>
              <w:left w:val="nil"/>
              <w:bottom w:val="nil"/>
              <w:right w:val="nil"/>
            </w:tcBorders>
            <w:shd w:val="clear" w:color="auto" w:fill="auto"/>
            <w:noWrap/>
            <w:vAlign w:val="bottom"/>
            <w:hideMark/>
          </w:tcPr>
          <w:p w14:paraId="6BDE1FBC" w14:textId="77777777" w:rsidR="00FC15FC" w:rsidRDefault="00FC15FC">
            <w:pPr>
              <w:jc w:val="right"/>
              <w:rPr>
                <w:rFonts w:cs="Arial"/>
                <w:color w:val="auto"/>
                <w:sz w:val="20"/>
                <w:szCs w:val="20"/>
              </w:rPr>
            </w:pPr>
            <w:r>
              <w:rPr>
                <w:rFonts w:cs="Arial"/>
                <w:sz w:val="20"/>
                <w:szCs w:val="20"/>
              </w:rPr>
              <w:t>1,095</w:t>
            </w:r>
          </w:p>
        </w:tc>
        <w:tc>
          <w:tcPr>
            <w:tcW w:w="0" w:type="auto"/>
            <w:tcBorders>
              <w:top w:val="nil"/>
              <w:left w:val="nil"/>
              <w:bottom w:val="nil"/>
              <w:right w:val="nil"/>
            </w:tcBorders>
            <w:shd w:val="clear" w:color="auto" w:fill="auto"/>
            <w:noWrap/>
            <w:vAlign w:val="bottom"/>
            <w:hideMark/>
          </w:tcPr>
          <w:p w14:paraId="43746203" w14:textId="77777777" w:rsidR="00FC15FC" w:rsidRDefault="00FC15FC">
            <w:pPr>
              <w:jc w:val="right"/>
              <w:rPr>
                <w:rFonts w:cs="Arial"/>
                <w:color w:val="FF0000"/>
                <w:sz w:val="20"/>
                <w:szCs w:val="20"/>
              </w:rPr>
            </w:pPr>
            <w:r>
              <w:rPr>
                <w:rFonts w:cs="Arial"/>
                <w:color w:val="FF0000"/>
                <w:sz w:val="20"/>
                <w:szCs w:val="20"/>
              </w:rPr>
              <w:t>-0.2%</w:t>
            </w:r>
          </w:p>
        </w:tc>
        <w:tc>
          <w:tcPr>
            <w:tcW w:w="0" w:type="auto"/>
            <w:tcBorders>
              <w:top w:val="nil"/>
              <w:left w:val="nil"/>
              <w:bottom w:val="nil"/>
              <w:right w:val="nil"/>
            </w:tcBorders>
            <w:shd w:val="clear" w:color="auto" w:fill="auto"/>
            <w:noWrap/>
            <w:vAlign w:val="bottom"/>
            <w:hideMark/>
          </w:tcPr>
          <w:p w14:paraId="62E0EA86" w14:textId="77777777" w:rsidR="00FC15FC" w:rsidRDefault="00FC15FC">
            <w:pPr>
              <w:jc w:val="right"/>
              <w:rPr>
                <w:rFonts w:cs="Arial"/>
                <w:color w:val="FF0000"/>
                <w:sz w:val="20"/>
                <w:szCs w:val="20"/>
              </w:rPr>
            </w:pPr>
            <w:r>
              <w:rPr>
                <w:rFonts w:cs="Arial"/>
                <w:color w:val="FF0000"/>
                <w:sz w:val="20"/>
                <w:szCs w:val="20"/>
              </w:rPr>
              <w:t>11.6%</w:t>
            </w:r>
          </w:p>
        </w:tc>
      </w:tr>
      <w:tr w:rsidR="00FC15FC" w14:paraId="44F4FCE7"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21AD6E7F" w14:textId="77777777" w:rsidR="00FC15FC" w:rsidRDefault="00FC15FC">
            <w:pPr>
              <w:jc w:val="left"/>
              <w:rPr>
                <w:rFonts w:ascii="Calibri" w:hAnsi="Calibri" w:cs="Calibri"/>
                <w:color w:val="000000"/>
              </w:rPr>
            </w:pPr>
            <w:r>
              <w:rPr>
                <w:rFonts w:ascii="Calibri" w:hAnsi="Calibri" w:cs="Calibri"/>
                <w:color w:val="000000"/>
              </w:rPr>
              <w:t>Waikato</w:t>
            </w:r>
          </w:p>
        </w:tc>
        <w:tc>
          <w:tcPr>
            <w:tcW w:w="0" w:type="auto"/>
            <w:tcBorders>
              <w:top w:val="nil"/>
              <w:left w:val="nil"/>
              <w:bottom w:val="nil"/>
              <w:right w:val="nil"/>
            </w:tcBorders>
            <w:shd w:val="clear" w:color="auto" w:fill="auto"/>
            <w:noWrap/>
            <w:vAlign w:val="bottom"/>
            <w:hideMark/>
          </w:tcPr>
          <w:p w14:paraId="1574B7FC" w14:textId="77777777" w:rsidR="00FC15FC" w:rsidRDefault="00FC15FC">
            <w:pPr>
              <w:jc w:val="right"/>
              <w:rPr>
                <w:rFonts w:cs="Arial"/>
                <w:color w:val="auto"/>
                <w:sz w:val="20"/>
                <w:szCs w:val="20"/>
              </w:rPr>
            </w:pPr>
            <w:r>
              <w:rPr>
                <w:rFonts w:cs="Arial"/>
                <w:sz w:val="20"/>
                <w:szCs w:val="20"/>
              </w:rPr>
              <w:t>246</w:t>
            </w:r>
          </w:p>
        </w:tc>
        <w:tc>
          <w:tcPr>
            <w:tcW w:w="0" w:type="auto"/>
            <w:tcBorders>
              <w:top w:val="nil"/>
              <w:left w:val="nil"/>
              <w:bottom w:val="nil"/>
              <w:right w:val="nil"/>
            </w:tcBorders>
            <w:shd w:val="clear" w:color="auto" w:fill="auto"/>
            <w:noWrap/>
            <w:vAlign w:val="bottom"/>
            <w:hideMark/>
          </w:tcPr>
          <w:p w14:paraId="39C2FAB7" w14:textId="77777777" w:rsidR="00FC15FC" w:rsidRDefault="00FC15FC">
            <w:pPr>
              <w:jc w:val="right"/>
              <w:rPr>
                <w:rFonts w:cs="Arial"/>
                <w:color w:val="FF0000"/>
                <w:sz w:val="20"/>
                <w:szCs w:val="20"/>
              </w:rPr>
            </w:pPr>
            <w:r>
              <w:rPr>
                <w:rFonts w:cs="Arial"/>
                <w:color w:val="FF0000"/>
                <w:sz w:val="20"/>
                <w:szCs w:val="20"/>
              </w:rPr>
              <w:t>4.3%</w:t>
            </w:r>
          </w:p>
        </w:tc>
        <w:tc>
          <w:tcPr>
            <w:tcW w:w="0" w:type="auto"/>
            <w:tcBorders>
              <w:top w:val="nil"/>
              <w:left w:val="nil"/>
              <w:bottom w:val="nil"/>
              <w:right w:val="nil"/>
            </w:tcBorders>
            <w:shd w:val="clear" w:color="auto" w:fill="auto"/>
            <w:noWrap/>
            <w:vAlign w:val="bottom"/>
            <w:hideMark/>
          </w:tcPr>
          <w:p w14:paraId="081912DA" w14:textId="77777777" w:rsidR="00FC15FC" w:rsidRDefault="00FC15FC">
            <w:pPr>
              <w:jc w:val="right"/>
              <w:rPr>
                <w:rFonts w:cs="Arial"/>
                <w:color w:val="FF0000"/>
                <w:sz w:val="20"/>
                <w:szCs w:val="20"/>
              </w:rPr>
            </w:pPr>
            <w:r>
              <w:rPr>
                <w:rFonts w:cs="Arial"/>
                <w:color w:val="FF0000"/>
                <w:sz w:val="20"/>
                <w:szCs w:val="20"/>
              </w:rPr>
              <w:t>28.1%</w:t>
            </w:r>
          </w:p>
        </w:tc>
      </w:tr>
      <w:tr w:rsidR="00FC15FC" w14:paraId="3BB83CFB"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0596FD3E" w14:textId="77777777" w:rsidR="00FC15FC" w:rsidRDefault="00FC15FC">
            <w:pPr>
              <w:jc w:val="left"/>
              <w:rPr>
                <w:rFonts w:ascii="Calibri" w:hAnsi="Calibri" w:cs="Calibri"/>
                <w:color w:val="000000"/>
              </w:rPr>
            </w:pPr>
            <w:r>
              <w:rPr>
                <w:rFonts w:ascii="Calibri" w:hAnsi="Calibri" w:cs="Calibri"/>
                <w:color w:val="000000"/>
              </w:rPr>
              <w:t>BOP</w:t>
            </w:r>
          </w:p>
        </w:tc>
        <w:tc>
          <w:tcPr>
            <w:tcW w:w="0" w:type="auto"/>
            <w:tcBorders>
              <w:top w:val="nil"/>
              <w:left w:val="nil"/>
              <w:bottom w:val="nil"/>
              <w:right w:val="nil"/>
            </w:tcBorders>
            <w:shd w:val="clear" w:color="auto" w:fill="auto"/>
            <w:noWrap/>
            <w:vAlign w:val="bottom"/>
            <w:hideMark/>
          </w:tcPr>
          <w:p w14:paraId="0C7DE667" w14:textId="77777777" w:rsidR="00FC15FC" w:rsidRDefault="00FC15FC">
            <w:pPr>
              <w:jc w:val="right"/>
              <w:rPr>
                <w:rFonts w:cs="Arial"/>
                <w:color w:val="auto"/>
                <w:sz w:val="20"/>
                <w:szCs w:val="20"/>
              </w:rPr>
            </w:pPr>
            <w:r>
              <w:rPr>
                <w:rFonts w:cs="Arial"/>
                <w:sz w:val="20"/>
                <w:szCs w:val="20"/>
              </w:rPr>
              <w:t>193</w:t>
            </w:r>
          </w:p>
        </w:tc>
        <w:tc>
          <w:tcPr>
            <w:tcW w:w="0" w:type="auto"/>
            <w:tcBorders>
              <w:top w:val="nil"/>
              <w:left w:val="nil"/>
              <w:bottom w:val="nil"/>
              <w:right w:val="nil"/>
            </w:tcBorders>
            <w:shd w:val="clear" w:color="auto" w:fill="auto"/>
            <w:noWrap/>
            <w:vAlign w:val="bottom"/>
            <w:hideMark/>
          </w:tcPr>
          <w:p w14:paraId="54FCBDB5" w14:textId="77777777" w:rsidR="00FC15FC" w:rsidRDefault="00FC15FC">
            <w:pPr>
              <w:jc w:val="right"/>
              <w:rPr>
                <w:rFonts w:cs="Arial"/>
                <w:color w:val="FF0000"/>
                <w:sz w:val="20"/>
                <w:szCs w:val="20"/>
              </w:rPr>
            </w:pPr>
            <w:r>
              <w:rPr>
                <w:rFonts w:cs="Arial"/>
                <w:color w:val="FF0000"/>
                <w:sz w:val="20"/>
                <w:szCs w:val="20"/>
              </w:rPr>
              <w:t>-2.3%</w:t>
            </w:r>
          </w:p>
        </w:tc>
        <w:tc>
          <w:tcPr>
            <w:tcW w:w="0" w:type="auto"/>
            <w:tcBorders>
              <w:top w:val="nil"/>
              <w:left w:val="nil"/>
              <w:bottom w:val="nil"/>
              <w:right w:val="nil"/>
            </w:tcBorders>
            <w:shd w:val="clear" w:color="auto" w:fill="auto"/>
            <w:noWrap/>
            <w:vAlign w:val="bottom"/>
            <w:hideMark/>
          </w:tcPr>
          <w:p w14:paraId="7F069CBF" w14:textId="77777777" w:rsidR="00FC15FC" w:rsidRDefault="00FC15FC">
            <w:pPr>
              <w:jc w:val="right"/>
              <w:rPr>
                <w:rFonts w:cs="Arial"/>
                <w:color w:val="FF0000"/>
                <w:sz w:val="20"/>
                <w:szCs w:val="20"/>
              </w:rPr>
            </w:pPr>
            <w:r>
              <w:rPr>
                <w:rFonts w:cs="Arial"/>
                <w:color w:val="FF0000"/>
                <w:sz w:val="20"/>
                <w:szCs w:val="20"/>
              </w:rPr>
              <w:t>15.4%</w:t>
            </w:r>
          </w:p>
        </w:tc>
      </w:tr>
      <w:tr w:rsidR="00FC15FC" w14:paraId="1039DD0B"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26082ABF" w14:textId="77777777" w:rsidR="00FC15FC" w:rsidRDefault="00FC15FC">
            <w:pPr>
              <w:jc w:val="left"/>
              <w:rPr>
                <w:rFonts w:ascii="Calibri" w:hAnsi="Calibri" w:cs="Calibri"/>
                <w:color w:val="000000"/>
              </w:rPr>
            </w:pPr>
            <w:r>
              <w:rPr>
                <w:rFonts w:ascii="Calibri" w:hAnsi="Calibri" w:cs="Calibri"/>
                <w:color w:val="000000"/>
              </w:rPr>
              <w:t>Gisborne</w:t>
            </w:r>
          </w:p>
        </w:tc>
        <w:tc>
          <w:tcPr>
            <w:tcW w:w="0" w:type="auto"/>
            <w:tcBorders>
              <w:top w:val="nil"/>
              <w:left w:val="nil"/>
              <w:bottom w:val="nil"/>
              <w:right w:val="nil"/>
            </w:tcBorders>
            <w:shd w:val="clear" w:color="auto" w:fill="auto"/>
            <w:noWrap/>
            <w:vAlign w:val="bottom"/>
            <w:hideMark/>
          </w:tcPr>
          <w:p w14:paraId="225CB8C1" w14:textId="77777777" w:rsidR="00FC15FC" w:rsidRDefault="00FC15FC">
            <w:pPr>
              <w:jc w:val="right"/>
              <w:rPr>
                <w:rFonts w:cs="Arial"/>
                <w:color w:val="auto"/>
                <w:sz w:val="20"/>
                <w:szCs w:val="20"/>
              </w:rPr>
            </w:pPr>
            <w:r>
              <w:rPr>
                <w:rFonts w:cs="Arial"/>
                <w:sz w:val="20"/>
                <w:szCs w:val="20"/>
              </w:rPr>
              <w:t>26</w:t>
            </w:r>
          </w:p>
        </w:tc>
        <w:tc>
          <w:tcPr>
            <w:tcW w:w="0" w:type="auto"/>
            <w:tcBorders>
              <w:top w:val="nil"/>
              <w:left w:val="nil"/>
              <w:bottom w:val="nil"/>
              <w:right w:val="nil"/>
            </w:tcBorders>
            <w:shd w:val="clear" w:color="auto" w:fill="auto"/>
            <w:noWrap/>
            <w:vAlign w:val="bottom"/>
            <w:hideMark/>
          </w:tcPr>
          <w:p w14:paraId="5A289602" w14:textId="77777777" w:rsidR="00FC15FC" w:rsidRDefault="00FC15FC">
            <w:pPr>
              <w:jc w:val="right"/>
              <w:rPr>
                <w:rFonts w:cs="Arial"/>
                <w:color w:val="FF0000"/>
                <w:sz w:val="20"/>
                <w:szCs w:val="20"/>
              </w:rPr>
            </w:pPr>
            <w:r>
              <w:rPr>
                <w:rFonts w:cs="Arial"/>
                <w:color w:val="FF0000"/>
                <w:sz w:val="20"/>
                <w:szCs w:val="20"/>
              </w:rPr>
              <w:t>-2.1%</w:t>
            </w:r>
          </w:p>
        </w:tc>
        <w:tc>
          <w:tcPr>
            <w:tcW w:w="0" w:type="auto"/>
            <w:tcBorders>
              <w:top w:val="nil"/>
              <w:left w:val="nil"/>
              <w:bottom w:val="nil"/>
              <w:right w:val="nil"/>
            </w:tcBorders>
            <w:shd w:val="clear" w:color="auto" w:fill="auto"/>
            <w:noWrap/>
            <w:vAlign w:val="bottom"/>
            <w:hideMark/>
          </w:tcPr>
          <w:p w14:paraId="620FB905" w14:textId="77777777" w:rsidR="00FC15FC" w:rsidRDefault="00FC15FC">
            <w:pPr>
              <w:jc w:val="right"/>
              <w:rPr>
                <w:rFonts w:cs="Arial"/>
                <w:color w:val="FF0000"/>
                <w:sz w:val="20"/>
                <w:szCs w:val="20"/>
              </w:rPr>
            </w:pPr>
            <w:r>
              <w:rPr>
                <w:rFonts w:cs="Arial"/>
                <w:color w:val="FF0000"/>
                <w:sz w:val="20"/>
                <w:szCs w:val="20"/>
              </w:rPr>
              <w:t>11.1%</w:t>
            </w:r>
          </w:p>
        </w:tc>
      </w:tr>
      <w:tr w:rsidR="00FC15FC" w14:paraId="4185D4A6"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16E1BBE0" w14:textId="77777777" w:rsidR="00FC15FC" w:rsidRDefault="00FC15FC">
            <w:pPr>
              <w:jc w:val="left"/>
              <w:rPr>
                <w:rFonts w:ascii="Calibri" w:hAnsi="Calibri" w:cs="Calibri"/>
                <w:color w:val="000000"/>
              </w:rPr>
            </w:pPr>
            <w:r>
              <w:rPr>
                <w:rFonts w:ascii="Calibri" w:hAnsi="Calibri" w:cs="Calibri"/>
                <w:color w:val="000000"/>
              </w:rPr>
              <w:t>Taranaki</w:t>
            </w:r>
          </w:p>
        </w:tc>
        <w:tc>
          <w:tcPr>
            <w:tcW w:w="0" w:type="auto"/>
            <w:tcBorders>
              <w:top w:val="nil"/>
              <w:left w:val="nil"/>
              <w:bottom w:val="nil"/>
              <w:right w:val="nil"/>
            </w:tcBorders>
            <w:shd w:val="clear" w:color="auto" w:fill="auto"/>
            <w:noWrap/>
            <w:vAlign w:val="bottom"/>
            <w:hideMark/>
          </w:tcPr>
          <w:p w14:paraId="6CF141C9" w14:textId="77777777" w:rsidR="00FC15FC" w:rsidRDefault="00FC15FC">
            <w:pPr>
              <w:jc w:val="right"/>
              <w:rPr>
                <w:rFonts w:cs="Arial"/>
                <w:color w:val="auto"/>
                <w:sz w:val="20"/>
                <w:szCs w:val="20"/>
              </w:rPr>
            </w:pPr>
            <w:r>
              <w:rPr>
                <w:rFonts w:cs="Arial"/>
                <w:sz w:val="20"/>
                <w:szCs w:val="20"/>
              </w:rPr>
              <w:t>70</w:t>
            </w:r>
          </w:p>
        </w:tc>
        <w:tc>
          <w:tcPr>
            <w:tcW w:w="0" w:type="auto"/>
            <w:tcBorders>
              <w:top w:val="nil"/>
              <w:left w:val="nil"/>
              <w:bottom w:val="nil"/>
              <w:right w:val="nil"/>
            </w:tcBorders>
            <w:shd w:val="clear" w:color="auto" w:fill="auto"/>
            <w:noWrap/>
            <w:vAlign w:val="bottom"/>
            <w:hideMark/>
          </w:tcPr>
          <w:p w14:paraId="7E75ABCF" w14:textId="77777777" w:rsidR="00FC15FC" w:rsidRDefault="00FC15FC">
            <w:pPr>
              <w:jc w:val="right"/>
              <w:rPr>
                <w:rFonts w:cs="Arial"/>
                <w:color w:val="FF0000"/>
                <w:sz w:val="20"/>
                <w:szCs w:val="20"/>
              </w:rPr>
            </w:pPr>
            <w:r>
              <w:rPr>
                <w:rFonts w:cs="Arial"/>
                <w:color w:val="FF0000"/>
                <w:sz w:val="20"/>
                <w:szCs w:val="20"/>
              </w:rPr>
              <w:t>0.9%</w:t>
            </w:r>
          </w:p>
        </w:tc>
        <w:tc>
          <w:tcPr>
            <w:tcW w:w="0" w:type="auto"/>
            <w:tcBorders>
              <w:top w:val="nil"/>
              <w:left w:val="nil"/>
              <w:bottom w:val="nil"/>
              <w:right w:val="nil"/>
            </w:tcBorders>
            <w:shd w:val="clear" w:color="auto" w:fill="auto"/>
            <w:noWrap/>
            <w:vAlign w:val="bottom"/>
            <w:hideMark/>
          </w:tcPr>
          <w:p w14:paraId="034D24B5" w14:textId="77777777" w:rsidR="00FC15FC" w:rsidRDefault="00FC15FC">
            <w:pPr>
              <w:jc w:val="right"/>
              <w:rPr>
                <w:rFonts w:cs="Arial"/>
                <w:color w:val="FF0000"/>
                <w:sz w:val="20"/>
                <w:szCs w:val="20"/>
              </w:rPr>
            </w:pPr>
            <w:r>
              <w:rPr>
                <w:rFonts w:cs="Arial"/>
                <w:color w:val="FF0000"/>
                <w:sz w:val="20"/>
                <w:szCs w:val="20"/>
              </w:rPr>
              <w:t>28.4%</w:t>
            </w:r>
          </w:p>
        </w:tc>
      </w:tr>
      <w:tr w:rsidR="00FC15FC" w14:paraId="52B297F3"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463BB42E" w14:textId="77777777" w:rsidR="00FC15FC" w:rsidRDefault="00FC15FC">
            <w:pPr>
              <w:jc w:val="left"/>
              <w:rPr>
                <w:rFonts w:ascii="Calibri" w:hAnsi="Calibri" w:cs="Calibri"/>
                <w:color w:val="000000"/>
              </w:rPr>
            </w:pPr>
            <w:r>
              <w:rPr>
                <w:rFonts w:ascii="Calibri" w:hAnsi="Calibri" w:cs="Calibri"/>
                <w:color w:val="000000"/>
              </w:rPr>
              <w:t>Hawke's Bay</w:t>
            </w:r>
          </w:p>
        </w:tc>
        <w:tc>
          <w:tcPr>
            <w:tcW w:w="0" w:type="auto"/>
            <w:tcBorders>
              <w:top w:val="nil"/>
              <w:left w:val="nil"/>
              <w:bottom w:val="nil"/>
              <w:right w:val="nil"/>
            </w:tcBorders>
            <w:shd w:val="clear" w:color="auto" w:fill="auto"/>
            <w:noWrap/>
            <w:vAlign w:val="bottom"/>
            <w:hideMark/>
          </w:tcPr>
          <w:p w14:paraId="7B7C2B50" w14:textId="77777777" w:rsidR="00FC15FC" w:rsidRDefault="00FC15FC">
            <w:pPr>
              <w:jc w:val="right"/>
              <w:rPr>
                <w:rFonts w:cs="Arial"/>
                <w:color w:val="auto"/>
                <w:sz w:val="20"/>
                <w:szCs w:val="20"/>
              </w:rPr>
            </w:pPr>
            <w:r>
              <w:rPr>
                <w:rFonts w:cs="Arial"/>
                <w:sz w:val="20"/>
                <w:szCs w:val="20"/>
              </w:rPr>
              <w:t>111</w:t>
            </w:r>
          </w:p>
        </w:tc>
        <w:tc>
          <w:tcPr>
            <w:tcW w:w="0" w:type="auto"/>
            <w:tcBorders>
              <w:top w:val="nil"/>
              <w:left w:val="nil"/>
              <w:bottom w:val="nil"/>
              <w:right w:val="nil"/>
            </w:tcBorders>
            <w:shd w:val="clear" w:color="auto" w:fill="auto"/>
            <w:noWrap/>
            <w:vAlign w:val="bottom"/>
            <w:hideMark/>
          </w:tcPr>
          <w:p w14:paraId="65969DC3" w14:textId="77777777" w:rsidR="00FC15FC" w:rsidRDefault="00FC15FC">
            <w:pPr>
              <w:jc w:val="right"/>
              <w:rPr>
                <w:rFonts w:cs="Arial"/>
                <w:color w:val="FF0000"/>
                <w:sz w:val="20"/>
                <w:szCs w:val="20"/>
              </w:rPr>
            </w:pPr>
            <w:r>
              <w:rPr>
                <w:rFonts w:cs="Arial"/>
                <w:color w:val="FF0000"/>
                <w:sz w:val="20"/>
                <w:szCs w:val="20"/>
              </w:rPr>
              <w:t>2.2%</w:t>
            </w:r>
          </w:p>
        </w:tc>
        <w:tc>
          <w:tcPr>
            <w:tcW w:w="0" w:type="auto"/>
            <w:tcBorders>
              <w:top w:val="nil"/>
              <w:left w:val="nil"/>
              <w:bottom w:val="nil"/>
              <w:right w:val="nil"/>
            </w:tcBorders>
            <w:shd w:val="clear" w:color="auto" w:fill="auto"/>
            <w:noWrap/>
            <w:vAlign w:val="bottom"/>
            <w:hideMark/>
          </w:tcPr>
          <w:p w14:paraId="5E2F2BDD" w14:textId="77777777" w:rsidR="00FC15FC" w:rsidRDefault="00FC15FC">
            <w:pPr>
              <w:jc w:val="right"/>
              <w:rPr>
                <w:rFonts w:cs="Arial"/>
                <w:color w:val="FF0000"/>
                <w:sz w:val="20"/>
                <w:szCs w:val="20"/>
              </w:rPr>
            </w:pPr>
            <w:r>
              <w:rPr>
                <w:rFonts w:cs="Arial"/>
                <w:color w:val="FF0000"/>
                <w:sz w:val="20"/>
                <w:szCs w:val="20"/>
              </w:rPr>
              <w:t>28.3%</w:t>
            </w:r>
          </w:p>
        </w:tc>
      </w:tr>
      <w:tr w:rsidR="00FC15FC" w14:paraId="07D23D9B"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287C16E0" w14:textId="77777777" w:rsidR="00FC15FC" w:rsidRDefault="00FC15FC">
            <w:pPr>
              <w:jc w:val="left"/>
              <w:rPr>
                <w:rFonts w:ascii="Calibri" w:hAnsi="Calibri" w:cs="Calibri"/>
                <w:color w:val="000000"/>
              </w:rPr>
            </w:pPr>
            <w:r>
              <w:rPr>
                <w:rFonts w:ascii="Calibri" w:hAnsi="Calibri" w:cs="Calibri"/>
                <w:color w:val="000000"/>
              </w:rPr>
              <w:t>Whanganui</w:t>
            </w:r>
          </w:p>
        </w:tc>
        <w:tc>
          <w:tcPr>
            <w:tcW w:w="0" w:type="auto"/>
            <w:tcBorders>
              <w:top w:val="nil"/>
              <w:left w:val="nil"/>
              <w:bottom w:val="nil"/>
              <w:right w:val="nil"/>
            </w:tcBorders>
            <w:shd w:val="clear" w:color="auto" w:fill="auto"/>
            <w:noWrap/>
            <w:vAlign w:val="bottom"/>
            <w:hideMark/>
          </w:tcPr>
          <w:p w14:paraId="3B8661CC" w14:textId="77777777" w:rsidR="00FC15FC" w:rsidRDefault="00FC15FC">
            <w:pPr>
              <w:jc w:val="right"/>
              <w:rPr>
                <w:rFonts w:cs="Arial"/>
                <w:color w:val="auto"/>
                <w:sz w:val="20"/>
                <w:szCs w:val="20"/>
              </w:rPr>
            </w:pPr>
            <w:r>
              <w:rPr>
                <w:rFonts w:cs="Arial"/>
                <w:sz w:val="20"/>
                <w:szCs w:val="20"/>
              </w:rPr>
              <w:t>41</w:t>
            </w:r>
          </w:p>
        </w:tc>
        <w:tc>
          <w:tcPr>
            <w:tcW w:w="0" w:type="auto"/>
            <w:tcBorders>
              <w:top w:val="nil"/>
              <w:left w:val="nil"/>
              <w:bottom w:val="nil"/>
              <w:right w:val="nil"/>
            </w:tcBorders>
            <w:shd w:val="clear" w:color="auto" w:fill="auto"/>
            <w:noWrap/>
            <w:vAlign w:val="bottom"/>
            <w:hideMark/>
          </w:tcPr>
          <w:p w14:paraId="2D62A175" w14:textId="77777777" w:rsidR="00FC15FC" w:rsidRDefault="00FC15FC">
            <w:pPr>
              <w:jc w:val="right"/>
              <w:rPr>
                <w:rFonts w:cs="Arial"/>
                <w:color w:val="FF0000"/>
                <w:sz w:val="20"/>
                <w:szCs w:val="20"/>
              </w:rPr>
            </w:pPr>
            <w:r>
              <w:rPr>
                <w:rFonts w:cs="Arial"/>
                <w:color w:val="FF0000"/>
                <w:sz w:val="20"/>
                <w:szCs w:val="20"/>
              </w:rPr>
              <w:t>5.2%</w:t>
            </w:r>
          </w:p>
        </w:tc>
        <w:tc>
          <w:tcPr>
            <w:tcW w:w="0" w:type="auto"/>
            <w:tcBorders>
              <w:top w:val="nil"/>
              <w:left w:val="nil"/>
              <w:bottom w:val="nil"/>
              <w:right w:val="nil"/>
            </w:tcBorders>
            <w:shd w:val="clear" w:color="auto" w:fill="auto"/>
            <w:noWrap/>
            <w:vAlign w:val="bottom"/>
            <w:hideMark/>
          </w:tcPr>
          <w:p w14:paraId="3BD8D0E2" w14:textId="77777777" w:rsidR="00FC15FC" w:rsidRDefault="00FC15FC">
            <w:pPr>
              <w:jc w:val="right"/>
              <w:rPr>
                <w:rFonts w:cs="Arial"/>
                <w:color w:val="FF0000"/>
                <w:sz w:val="20"/>
                <w:szCs w:val="20"/>
              </w:rPr>
            </w:pPr>
            <w:r>
              <w:rPr>
                <w:rFonts w:cs="Arial"/>
                <w:color w:val="FF0000"/>
                <w:sz w:val="20"/>
                <w:szCs w:val="20"/>
              </w:rPr>
              <w:t>38.3%</w:t>
            </w:r>
          </w:p>
        </w:tc>
      </w:tr>
      <w:tr w:rsidR="00FC15FC" w14:paraId="178B7A08"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27920C12" w14:textId="77777777" w:rsidR="00FC15FC" w:rsidRDefault="00FC15FC">
            <w:pPr>
              <w:jc w:val="left"/>
              <w:rPr>
                <w:rFonts w:ascii="Calibri" w:hAnsi="Calibri" w:cs="Calibri"/>
                <w:color w:val="000000"/>
              </w:rPr>
            </w:pPr>
            <w:r>
              <w:rPr>
                <w:rFonts w:ascii="Calibri" w:hAnsi="Calibri" w:cs="Calibri"/>
                <w:color w:val="000000"/>
              </w:rPr>
              <w:t>Palmerston North</w:t>
            </w:r>
          </w:p>
        </w:tc>
        <w:tc>
          <w:tcPr>
            <w:tcW w:w="0" w:type="auto"/>
            <w:tcBorders>
              <w:top w:val="nil"/>
              <w:left w:val="nil"/>
              <w:bottom w:val="nil"/>
              <w:right w:val="nil"/>
            </w:tcBorders>
            <w:shd w:val="clear" w:color="auto" w:fill="auto"/>
            <w:noWrap/>
            <w:vAlign w:val="bottom"/>
            <w:hideMark/>
          </w:tcPr>
          <w:p w14:paraId="28E5E130" w14:textId="77777777" w:rsidR="00FC15FC" w:rsidRDefault="00FC15FC">
            <w:pPr>
              <w:jc w:val="right"/>
              <w:rPr>
                <w:rFonts w:cs="Arial"/>
                <w:color w:val="auto"/>
                <w:sz w:val="20"/>
                <w:szCs w:val="20"/>
              </w:rPr>
            </w:pPr>
            <w:r>
              <w:rPr>
                <w:rFonts w:cs="Arial"/>
                <w:sz w:val="20"/>
                <w:szCs w:val="20"/>
              </w:rPr>
              <w:t>92</w:t>
            </w:r>
          </w:p>
        </w:tc>
        <w:tc>
          <w:tcPr>
            <w:tcW w:w="0" w:type="auto"/>
            <w:tcBorders>
              <w:top w:val="nil"/>
              <w:left w:val="nil"/>
              <w:bottom w:val="nil"/>
              <w:right w:val="nil"/>
            </w:tcBorders>
            <w:shd w:val="clear" w:color="auto" w:fill="auto"/>
            <w:noWrap/>
            <w:vAlign w:val="bottom"/>
            <w:hideMark/>
          </w:tcPr>
          <w:p w14:paraId="15FCAF54" w14:textId="77777777" w:rsidR="00FC15FC" w:rsidRDefault="00FC15FC">
            <w:pPr>
              <w:jc w:val="right"/>
              <w:rPr>
                <w:rFonts w:cs="Arial"/>
                <w:color w:val="FF0000"/>
                <w:sz w:val="20"/>
                <w:szCs w:val="20"/>
              </w:rPr>
            </w:pPr>
            <w:r>
              <w:rPr>
                <w:rFonts w:cs="Arial"/>
                <w:color w:val="FF0000"/>
                <w:sz w:val="20"/>
                <w:szCs w:val="20"/>
              </w:rPr>
              <w:t>0.8%</w:t>
            </w:r>
          </w:p>
        </w:tc>
        <w:tc>
          <w:tcPr>
            <w:tcW w:w="0" w:type="auto"/>
            <w:tcBorders>
              <w:top w:val="nil"/>
              <w:left w:val="nil"/>
              <w:bottom w:val="nil"/>
              <w:right w:val="nil"/>
            </w:tcBorders>
            <w:shd w:val="clear" w:color="auto" w:fill="auto"/>
            <w:noWrap/>
            <w:vAlign w:val="bottom"/>
            <w:hideMark/>
          </w:tcPr>
          <w:p w14:paraId="19DEE888" w14:textId="77777777" w:rsidR="00FC15FC" w:rsidRDefault="00FC15FC">
            <w:pPr>
              <w:jc w:val="right"/>
              <w:rPr>
                <w:rFonts w:cs="Arial"/>
                <w:color w:val="FF0000"/>
                <w:sz w:val="20"/>
                <w:szCs w:val="20"/>
              </w:rPr>
            </w:pPr>
            <w:r>
              <w:rPr>
                <w:rFonts w:cs="Arial"/>
                <w:color w:val="FF0000"/>
                <w:sz w:val="20"/>
                <w:szCs w:val="20"/>
              </w:rPr>
              <w:t>25.2%</w:t>
            </w:r>
          </w:p>
        </w:tc>
      </w:tr>
      <w:tr w:rsidR="00FC15FC" w14:paraId="089974B6"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5CD54977" w14:textId="77777777" w:rsidR="00FC15FC" w:rsidRDefault="00FC15FC">
            <w:pPr>
              <w:jc w:val="left"/>
              <w:rPr>
                <w:rFonts w:ascii="Calibri" w:hAnsi="Calibri" w:cs="Calibri"/>
                <w:color w:val="000000"/>
              </w:rPr>
            </w:pPr>
            <w:r>
              <w:rPr>
                <w:rFonts w:ascii="Calibri" w:hAnsi="Calibri" w:cs="Calibri"/>
                <w:color w:val="000000"/>
              </w:rPr>
              <w:t>Wairarapa</w:t>
            </w:r>
          </w:p>
        </w:tc>
        <w:tc>
          <w:tcPr>
            <w:tcW w:w="0" w:type="auto"/>
            <w:tcBorders>
              <w:top w:val="nil"/>
              <w:left w:val="nil"/>
              <w:bottom w:val="nil"/>
              <w:right w:val="nil"/>
            </w:tcBorders>
            <w:shd w:val="clear" w:color="auto" w:fill="auto"/>
            <w:noWrap/>
            <w:vAlign w:val="bottom"/>
            <w:hideMark/>
          </w:tcPr>
          <w:p w14:paraId="7D703BC9" w14:textId="77777777" w:rsidR="00FC15FC" w:rsidRDefault="00FC15FC">
            <w:pPr>
              <w:jc w:val="right"/>
              <w:rPr>
                <w:rFonts w:cs="Arial"/>
                <w:color w:val="auto"/>
                <w:sz w:val="20"/>
                <w:szCs w:val="20"/>
              </w:rPr>
            </w:pPr>
            <w:r>
              <w:rPr>
                <w:rFonts w:cs="Arial"/>
                <w:sz w:val="20"/>
                <w:szCs w:val="20"/>
              </w:rPr>
              <w:t>38</w:t>
            </w:r>
          </w:p>
        </w:tc>
        <w:tc>
          <w:tcPr>
            <w:tcW w:w="0" w:type="auto"/>
            <w:tcBorders>
              <w:top w:val="nil"/>
              <w:left w:val="nil"/>
              <w:bottom w:val="nil"/>
              <w:right w:val="nil"/>
            </w:tcBorders>
            <w:shd w:val="clear" w:color="auto" w:fill="auto"/>
            <w:noWrap/>
            <w:vAlign w:val="bottom"/>
            <w:hideMark/>
          </w:tcPr>
          <w:p w14:paraId="55B27AE4" w14:textId="77777777" w:rsidR="00FC15FC" w:rsidRDefault="00FC15FC">
            <w:pPr>
              <w:jc w:val="right"/>
              <w:rPr>
                <w:rFonts w:cs="Arial"/>
                <w:color w:val="FF0000"/>
                <w:sz w:val="20"/>
                <w:szCs w:val="20"/>
              </w:rPr>
            </w:pPr>
            <w:r>
              <w:rPr>
                <w:rFonts w:cs="Arial"/>
                <w:color w:val="FF0000"/>
                <w:sz w:val="20"/>
                <w:szCs w:val="20"/>
              </w:rPr>
              <w:t>1.5%</w:t>
            </w:r>
          </w:p>
        </w:tc>
        <w:tc>
          <w:tcPr>
            <w:tcW w:w="0" w:type="auto"/>
            <w:tcBorders>
              <w:top w:val="nil"/>
              <w:left w:val="nil"/>
              <w:bottom w:val="nil"/>
              <w:right w:val="nil"/>
            </w:tcBorders>
            <w:shd w:val="clear" w:color="auto" w:fill="auto"/>
            <w:noWrap/>
            <w:vAlign w:val="bottom"/>
            <w:hideMark/>
          </w:tcPr>
          <w:p w14:paraId="3B2153D2" w14:textId="77777777" w:rsidR="00FC15FC" w:rsidRDefault="00FC15FC">
            <w:pPr>
              <w:jc w:val="right"/>
              <w:rPr>
                <w:rFonts w:cs="Arial"/>
                <w:color w:val="FF0000"/>
                <w:sz w:val="20"/>
                <w:szCs w:val="20"/>
              </w:rPr>
            </w:pPr>
            <w:r>
              <w:rPr>
                <w:rFonts w:cs="Arial"/>
                <w:color w:val="FF0000"/>
                <w:sz w:val="20"/>
                <w:szCs w:val="20"/>
              </w:rPr>
              <w:t>28.6%</w:t>
            </w:r>
          </w:p>
        </w:tc>
      </w:tr>
      <w:tr w:rsidR="00FC15FC" w14:paraId="11B46160"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021F204B" w14:textId="77777777" w:rsidR="00FC15FC" w:rsidRDefault="00FC15FC">
            <w:pPr>
              <w:jc w:val="left"/>
              <w:rPr>
                <w:rFonts w:ascii="Calibri" w:hAnsi="Calibri" w:cs="Calibri"/>
                <w:color w:val="000000"/>
              </w:rPr>
            </w:pPr>
            <w:r>
              <w:rPr>
                <w:rFonts w:ascii="Calibri" w:hAnsi="Calibri" w:cs="Calibri"/>
                <w:color w:val="000000"/>
              </w:rPr>
              <w:t>Wellington</w:t>
            </w:r>
          </w:p>
        </w:tc>
        <w:tc>
          <w:tcPr>
            <w:tcW w:w="0" w:type="auto"/>
            <w:tcBorders>
              <w:top w:val="nil"/>
              <w:left w:val="nil"/>
              <w:bottom w:val="nil"/>
              <w:right w:val="nil"/>
            </w:tcBorders>
            <w:shd w:val="clear" w:color="auto" w:fill="auto"/>
            <w:noWrap/>
            <w:vAlign w:val="bottom"/>
            <w:hideMark/>
          </w:tcPr>
          <w:p w14:paraId="7F269D3B" w14:textId="77777777" w:rsidR="00FC15FC" w:rsidRDefault="00FC15FC">
            <w:pPr>
              <w:jc w:val="right"/>
              <w:rPr>
                <w:rFonts w:cs="Arial"/>
                <w:color w:val="auto"/>
                <w:sz w:val="20"/>
                <w:szCs w:val="20"/>
              </w:rPr>
            </w:pPr>
            <w:r>
              <w:rPr>
                <w:rFonts w:cs="Arial"/>
                <w:sz w:val="20"/>
                <w:szCs w:val="20"/>
              </w:rPr>
              <w:t>262</w:t>
            </w:r>
          </w:p>
        </w:tc>
        <w:tc>
          <w:tcPr>
            <w:tcW w:w="0" w:type="auto"/>
            <w:tcBorders>
              <w:top w:val="nil"/>
              <w:left w:val="nil"/>
              <w:bottom w:val="nil"/>
              <w:right w:val="nil"/>
            </w:tcBorders>
            <w:shd w:val="clear" w:color="auto" w:fill="auto"/>
            <w:noWrap/>
            <w:vAlign w:val="bottom"/>
            <w:hideMark/>
          </w:tcPr>
          <w:p w14:paraId="076AE54A" w14:textId="77777777" w:rsidR="00FC15FC" w:rsidRDefault="00FC15FC">
            <w:pPr>
              <w:jc w:val="right"/>
              <w:rPr>
                <w:rFonts w:cs="Arial"/>
                <w:color w:val="FF0000"/>
                <w:sz w:val="20"/>
                <w:szCs w:val="20"/>
              </w:rPr>
            </w:pPr>
            <w:r>
              <w:rPr>
                <w:rFonts w:cs="Arial"/>
                <w:color w:val="FF0000"/>
                <w:sz w:val="20"/>
                <w:szCs w:val="20"/>
              </w:rPr>
              <w:t>2.0%</w:t>
            </w:r>
          </w:p>
        </w:tc>
        <w:tc>
          <w:tcPr>
            <w:tcW w:w="0" w:type="auto"/>
            <w:tcBorders>
              <w:top w:val="nil"/>
              <w:left w:val="nil"/>
              <w:bottom w:val="nil"/>
              <w:right w:val="nil"/>
            </w:tcBorders>
            <w:shd w:val="clear" w:color="auto" w:fill="auto"/>
            <w:noWrap/>
            <w:vAlign w:val="bottom"/>
            <w:hideMark/>
          </w:tcPr>
          <w:p w14:paraId="2AEAEDE0" w14:textId="77777777" w:rsidR="00FC15FC" w:rsidRDefault="00FC15FC">
            <w:pPr>
              <w:jc w:val="right"/>
              <w:rPr>
                <w:rFonts w:cs="Arial"/>
                <w:color w:val="FF0000"/>
                <w:sz w:val="20"/>
                <w:szCs w:val="20"/>
              </w:rPr>
            </w:pPr>
            <w:r>
              <w:rPr>
                <w:rFonts w:cs="Arial"/>
                <w:color w:val="FF0000"/>
                <w:sz w:val="20"/>
                <w:szCs w:val="20"/>
              </w:rPr>
              <w:t>13.1%</w:t>
            </w:r>
          </w:p>
        </w:tc>
      </w:tr>
      <w:tr w:rsidR="00FC15FC" w14:paraId="2538184D"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50085FCA" w14:textId="77777777" w:rsidR="00FC15FC" w:rsidRDefault="00FC15FC">
            <w:pPr>
              <w:jc w:val="left"/>
              <w:rPr>
                <w:rFonts w:ascii="Calibri" w:hAnsi="Calibri" w:cs="Calibri"/>
                <w:color w:val="000000"/>
              </w:rPr>
            </w:pPr>
            <w:r>
              <w:rPr>
                <w:rFonts w:ascii="Calibri" w:hAnsi="Calibri" w:cs="Calibri"/>
                <w:color w:val="000000"/>
              </w:rPr>
              <w:t>Nelson</w:t>
            </w:r>
          </w:p>
        </w:tc>
        <w:tc>
          <w:tcPr>
            <w:tcW w:w="0" w:type="auto"/>
            <w:tcBorders>
              <w:top w:val="nil"/>
              <w:left w:val="nil"/>
              <w:bottom w:val="nil"/>
              <w:right w:val="nil"/>
            </w:tcBorders>
            <w:shd w:val="clear" w:color="auto" w:fill="auto"/>
            <w:noWrap/>
            <w:vAlign w:val="bottom"/>
            <w:hideMark/>
          </w:tcPr>
          <w:p w14:paraId="6C4F9FE6" w14:textId="77777777" w:rsidR="00FC15FC" w:rsidRDefault="00FC15FC">
            <w:pPr>
              <w:jc w:val="right"/>
              <w:rPr>
                <w:rFonts w:cs="Arial"/>
                <w:color w:val="auto"/>
                <w:sz w:val="20"/>
                <w:szCs w:val="20"/>
              </w:rPr>
            </w:pPr>
            <w:r>
              <w:rPr>
                <w:rFonts w:cs="Arial"/>
                <w:sz w:val="20"/>
                <w:szCs w:val="20"/>
              </w:rPr>
              <w:t>59</w:t>
            </w:r>
          </w:p>
        </w:tc>
        <w:tc>
          <w:tcPr>
            <w:tcW w:w="0" w:type="auto"/>
            <w:tcBorders>
              <w:top w:val="nil"/>
              <w:left w:val="nil"/>
              <w:bottom w:val="nil"/>
              <w:right w:val="nil"/>
            </w:tcBorders>
            <w:shd w:val="clear" w:color="auto" w:fill="auto"/>
            <w:noWrap/>
            <w:vAlign w:val="bottom"/>
            <w:hideMark/>
          </w:tcPr>
          <w:p w14:paraId="45B61A63" w14:textId="77777777" w:rsidR="00FC15FC" w:rsidRDefault="00FC15FC">
            <w:pPr>
              <w:jc w:val="right"/>
              <w:rPr>
                <w:rFonts w:cs="Arial"/>
                <w:color w:val="FF0000"/>
                <w:sz w:val="20"/>
                <w:szCs w:val="20"/>
              </w:rPr>
            </w:pPr>
            <w:r>
              <w:rPr>
                <w:rFonts w:cs="Arial"/>
                <w:color w:val="FF0000"/>
                <w:sz w:val="20"/>
                <w:szCs w:val="20"/>
              </w:rPr>
              <w:t>2.3%</w:t>
            </w:r>
          </w:p>
        </w:tc>
        <w:tc>
          <w:tcPr>
            <w:tcW w:w="0" w:type="auto"/>
            <w:tcBorders>
              <w:top w:val="nil"/>
              <w:left w:val="nil"/>
              <w:bottom w:val="nil"/>
              <w:right w:val="nil"/>
            </w:tcBorders>
            <w:shd w:val="clear" w:color="auto" w:fill="auto"/>
            <w:noWrap/>
            <w:vAlign w:val="bottom"/>
            <w:hideMark/>
          </w:tcPr>
          <w:p w14:paraId="761F2E17" w14:textId="77777777" w:rsidR="00FC15FC" w:rsidRDefault="00FC15FC">
            <w:pPr>
              <w:jc w:val="right"/>
              <w:rPr>
                <w:rFonts w:cs="Arial"/>
                <w:color w:val="FF0000"/>
                <w:sz w:val="20"/>
                <w:szCs w:val="20"/>
              </w:rPr>
            </w:pPr>
            <w:r>
              <w:rPr>
                <w:rFonts w:cs="Arial"/>
                <w:color w:val="FF0000"/>
                <w:sz w:val="20"/>
                <w:szCs w:val="20"/>
              </w:rPr>
              <w:t>17.1%</w:t>
            </w:r>
          </w:p>
        </w:tc>
      </w:tr>
      <w:tr w:rsidR="00FC15FC" w14:paraId="7B745136"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740903D5" w14:textId="77777777" w:rsidR="00FC15FC" w:rsidRDefault="00FC15FC">
            <w:pPr>
              <w:jc w:val="left"/>
              <w:rPr>
                <w:rFonts w:ascii="Calibri" w:hAnsi="Calibri" w:cs="Calibri"/>
                <w:color w:val="000000"/>
              </w:rPr>
            </w:pPr>
            <w:r>
              <w:rPr>
                <w:rFonts w:ascii="Calibri" w:hAnsi="Calibri" w:cs="Calibri"/>
                <w:color w:val="000000"/>
              </w:rPr>
              <w:t>Marlborough</w:t>
            </w:r>
          </w:p>
        </w:tc>
        <w:tc>
          <w:tcPr>
            <w:tcW w:w="0" w:type="auto"/>
            <w:tcBorders>
              <w:top w:val="nil"/>
              <w:left w:val="nil"/>
              <w:bottom w:val="nil"/>
              <w:right w:val="nil"/>
            </w:tcBorders>
            <w:shd w:val="clear" w:color="auto" w:fill="auto"/>
            <w:noWrap/>
            <w:vAlign w:val="bottom"/>
            <w:hideMark/>
          </w:tcPr>
          <w:p w14:paraId="18E4F59F" w14:textId="77777777" w:rsidR="00FC15FC" w:rsidRDefault="00FC15FC">
            <w:pPr>
              <w:jc w:val="right"/>
              <w:rPr>
                <w:rFonts w:cs="Arial"/>
                <w:color w:val="auto"/>
                <w:sz w:val="20"/>
                <w:szCs w:val="20"/>
              </w:rPr>
            </w:pPr>
            <w:r>
              <w:rPr>
                <w:rFonts w:cs="Arial"/>
                <w:sz w:val="20"/>
                <w:szCs w:val="20"/>
              </w:rPr>
              <w:t>37</w:t>
            </w:r>
          </w:p>
        </w:tc>
        <w:tc>
          <w:tcPr>
            <w:tcW w:w="0" w:type="auto"/>
            <w:tcBorders>
              <w:top w:val="nil"/>
              <w:left w:val="nil"/>
              <w:bottom w:val="nil"/>
              <w:right w:val="nil"/>
            </w:tcBorders>
            <w:shd w:val="clear" w:color="auto" w:fill="auto"/>
            <w:noWrap/>
            <w:vAlign w:val="bottom"/>
            <w:hideMark/>
          </w:tcPr>
          <w:p w14:paraId="22AF9653" w14:textId="77777777" w:rsidR="00FC15FC" w:rsidRDefault="00FC15FC">
            <w:pPr>
              <w:jc w:val="right"/>
              <w:rPr>
                <w:rFonts w:cs="Arial"/>
                <w:color w:val="FF0000"/>
                <w:sz w:val="20"/>
                <w:szCs w:val="20"/>
              </w:rPr>
            </w:pPr>
            <w:r>
              <w:rPr>
                <w:rFonts w:cs="Arial"/>
                <w:color w:val="FF0000"/>
                <w:sz w:val="20"/>
                <w:szCs w:val="20"/>
              </w:rPr>
              <w:t>4.2%</w:t>
            </w:r>
          </w:p>
        </w:tc>
        <w:tc>
          <w:tcPr>
            <w:tcW w:w="0" w:type="auto"/>
            <w:tcBorders>
              <w:top w:val="nil"/>
              <w:left w:val="nil"/>
              <w:bottom w:val="nil"/>
              <w:right w:val="nil"/>
            </w:tcBorders>
            <w:shd w:val="clear" w:color="auto" w:fill="auto"/>
            <w:noWrap/>
            <w:vAlign w:val="bottom"/>
            <w:hideMark/>
          </w:tcPr>
          <w:p w14:paraId="4526C585" w14:textId="77777777" w:rsidR="00FC15FC" w:rsidRDefault="00FC15FC">
            <w:pPr>
              <w:jc w:val="right"/>
              <w:rPr>
                <w:rFonts w:cs="Arial"/>
                <w:color w:val="FF0000"/>
                <w:sz w:val="20"/>
                <w:szCs w:val="20"/>
              </w:rPr>
            </w:pPr>
            <w:r>
              <w:rPr>
                <w:rFonts w:cs="Arial"/>
                <w:color w:val="FF0000"/>
                <w:sz w:val="20"/>
                <w:szCs w:val="20"/>
              </w:rPr>
              <w:t>24.4%</w:t>
            </w:r>
          </w:p>
        </w:tc>
      </w:tr>
      <w:tr w:rsidR="00FC15FC" w14:paraId="60642AF4"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385C72EA" w14:textId="77777777" w:rsidR="00FC15FC" w:rsidRDefault="00FC15FC">
            <w:pPr>
              <w:jc w:val="left"/>
              <w:rPr>
                <w:rFonts w:ascii="Calibri" w:hAnsi="Calibri" w:cs="Calibri"/>
                <w:color w:val="000000"/>
              </w:rPr>
            </w:pPr>
            <w:r>
              <w:rPr>
                <w:rFonts w:ascii="Calibri" w:hAnsi="Calibri" w:cs="Calibri"/>
                <w:color w:val="000000"/>
              </w:rPr>
              <w:t>West Coast</w:t>
            </w:r>
          </w:p>
        </w:tc>
        <w:tc>
          <w:tcPr>
            <w:tcW w:w="0" w:type="auto"/>
            <w:tcBorders>
              <w:top w:val="nil"/>
              <w:left w:val="nil"/>
              <w:bottom w:val="nil"/>
              <w:right w:val="nil"/>
            </w:tcBorders>
            <w:shd w:val="clear" w:color="auto" w:fill="auto"/>
            <w:noWrap/>
            <w:vAlign w:val="bottom"/>
            <w:hideMark/>
          </w:tcPr>
          <w:p w14:paraId="4DB13CDF" w14:textId="77777777" w:rsidR="00FC15FC" w:rsidRDefault="00FC15FC">
            <w:pPr>
              <w:jc w:val="right"/>
              <w:rPr>
                <w:rFonts w:cs="Arial"/>
                <w:color w:val="auto"/>
                <w:sz w:val="20"/>
                <w:szCs w:val="20"/>
              </w:rPr>
            </w:pPr>
            <w:r>
              <w:rPr>
                <w:rFonts w:cs="Arial"/>
                <w:sz w:val="20"/>
                <w:szCs w:val="20"/>
              </w:rPr>
              <w:t>21</w:t>
            </w:r>
          </w:p>
        </w:tc>
        <w:tc>
          <w:tcPr>
            <w:tcW w:w="0" w:type="auto"/>
            <w:tcBorders>
              <w:top w:val="nil"/>
              <w:left w:val="nil"/>
              <w:bottom w:val="nil"/>
              <w:right w:val="nil"/>
            </w:tcBorders>
            <w:shd w:val="clear" w:color="auto" w:fill="auto"/>
            <w:noWrap/>
            <w:vAlign w:val="bottom"/>
            <w:hideMark/>
          </w:tcPr>
          <w:p w14:paraId="237903E4" w14:textId="77777777" w:rsidR="00FC15FC" w:rsidRDefault="00FC15FC">
            <w:pPr>
              <w:jc w:val="right"/>
              <w:rPr>
                <w:rFonts w:cs="Arial"/>
                <w:color w:val="FF0000"/>
                <w:sz w:val="20"/>
                <w:szCs w:val="20"/>
              </w:rPr>
            </w:pPr>
            <w:r>
              <w:rPr>
                <w:rFonts w:cs="Arial"/>
                <w:color w:val="FF0000"/>
                <w:sz w:val="20"/>
                <w:szCs w:val="20"/>
              </w:rPr>
              <w:t>5.6%</w:t>
            </w:r>
          </w:p>
        </w:tc>
        <w:tc>
          <w:tcPr>
            <w:tcW w:w="0" w:type="auto"/>
            <w:tcBorders>
              <w:top w:val="nil"/>
              <w:left w:val="nil"/>
              <w:bottom w:val="nil"/>
              <w:right w:val="nil"/>
            </w:tcBorders>
            <w:shd w:val="clear" w:color="auto" w:fill="auto"/>
            <w:noWrap/>
            <w:vAlign w:val="bottom"/>
            <w:hideMark/>
          </w:tcPr>
          <w:p w14:paraId="7497033D" w14:textId="77777777" w:rsidR="00FC15FC" w:rsidRDefault="00FC15FC">
            <w:pPr>
              <w:jc w:val="right"/>
              <w:rPr>
                <w:rFonts w:cs="Arial"/>
                <w:color w:val="FF0000"/>
                <w:sz w:val="20"/>
                <w:szCs w:val="20"/>
              </w:rPr>
            </w:pPr>
            <w:r>
              <w:rPr>
                <w:rFonts w:cs="Arial"/>
                <w:color w:val="FF0000"/>
                <w:sz w:val="20"/>
                <w:szCs w:val="20"/>
              </w:rPr>
              <w:t>32.1%</w:t>
            </w:r>
          </w:p>
        </w:tc>
      </w:tr>
      <w:tr w:rsidR="00FC15FC" w14:paraId="1906CD87"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7DD0ACC7" w14:textId="77777777" w:rsidR="00FC15FC" w:rsidRDefault="00FC15FC">
            <w:pPr>
              <w:jc w:val="left"/>
              <w:rPr>
                <w:rFonts w:ascii="Calibri" w:hAnsi="Calibri" w:cs="Calibri"/>
                <w:color w:val="000000"/>
              </w:rPr>
            </w:pPr>
            <w:r>
              <w:rPr>
                <w:rFonts w:ascii="Calibri" w:hAnsi="Calibri" w:cs="Calibri"/>
                <w:color w:val="000000"/>
              </w:rPr>
              <w:t>Canterbury</w:t>
            </w:r>
          </w:p>
        </w:tc>
        <w:tc>
          <w:tcPr>
            <w:tcW w:w="0" w:type="auto"/>
            <w:tcBorders>
              <w:top w:val="nil"/>
              <w:left w:val="nil"/>
              <w:bottom w:val="nil"/>
              <w:right w:val="nil"/>
            </w:tcBorders>
            <w:shd w:val="clear" w:color="auto" w:fill="auto"/>
            <w:noWrap/>
            <w:vAlign w:val="bottom"/>
            <w:hideMark/>
          </w:tcPr>
          <w:p w14:paraId="49813BD6" w14:textId="77777777" w:rsidR="00FC15FC" w:rsidRDefault="00FC15FC">
            <w:pPr>
              <w:jc w:val="right"/>
              <w:rPr>
                <w:rFonts w:cs="Arial"/>
                <w:color w:val="auto"/>
                <w:sz w:val="20"/>
                <w:szCs w:val="20"/>
              </w:rPr>
            </w:pPr>
            <w:r>
              <w:rPr>
                <w:rFonts w:cs="Arial"/>
                <w:sz w:val="20"/>
                <w:szCs w:val="20"/>
              </w:rPr>
              <w:t>364</w:t>
            </w:r>
          </w:p>
        </w:tc>
        <w:tc>
          <w:tcPr>
            <w:tcW w:w="0" w:type="auto"/>
            <w:tcBorders>
              <w:top w:val="nil"/>
              <w:left w:val="nil"/>
              <w:bottom w:val="nil"/>
              <w:right w:val="nil"/>
            </w:tcBorders>
            <w:shd w:val="clear" w:color="auto" w:fill="auto"/>
            <w:noWrap/>
            <w:vAlign w:val="bottom"/>
            <w:hideMark/>
          </w:tcPr>
          <w:p w14:paraId="7DE17028" w14:textId="77777777" w:rsidR="00FC15FC" w:rsidRDefault="00FC15FC">
            <w:pPr>
              <w:jc w:val="right"/>
              <w:rPr>
                <w:rFonts w:cs="Arial"/>
                <w:color w:val="FF0000"/>
                <w:sz w:val="20"/>
                <w:szCs w:val="20"/>
              </w:rPr>
            </w:pPr>
            <w:r>
              <w:rPr>
                <w:rFonts w:cs="Arial"/>
                <w:color w:val="FF0000"/>
                <w:sz w:val="20"/>
                <w:szCs w:val="20"/>
              </w:rPr>
              <w:t>1.7%</w:t>
            </w:r>
          </w:p>
        </w:tc>
        <w:tc>
          <w:tcPr>
            <w:tcW w:w="0" w:type="auto"/>
            <w:tcBorders>
              <w:top w:val="nil"/>
              <w:left w:val="nil"/>
              <w:bottom w:val="nil"/>
              <w:right w:val="nil"/>
            </w:tcBorders>
            <w:shd w:val="clear" w:color="auto" w:fill="auto"/>
            <w:noWrap/>
            <w:vAlign w:val="bottom"/>
            <w:hideMark/>
          </w:tcPr>
          <w:p w14:paraId="4C98B28E" w14:textId="77777777" w:rsidR="00FC15FC" w:rsidRDefault="00FC15FC">
            <w:pPr>
              <w:jc w:val="right"/>
              <w:rPr>
                <w:rFonts w:cs="Arial"/>
                <w:color w:val="FF0000"/>
                <w:sz w:val="20"/>
                <w:szCs w:val="20"/>
              </w:rPr>
            </w:pPr>
            <w:r>
              <w:rPr>
                <w:rFonts w:cs="Arial"/>
                <w:color w:val="FF0000"/>
                <w:sz w:val="20"/>
                <w:szCs w:val="20"/>
              </w:rPr>
              <w:t>22.0%</w:t>
            </w:r>
          </w:p>
        </w:tc>
      </w:tr>
      <w:tr w:rsidR="00FC15FC" w14:paraId="624FA64B"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350762A6" w14:textId="77777777" w:rsidR="00FC15FC" w:rsidRDefault="00FC15FC">
            <w:pPr>
              <w:jc w:val="left"/>
              <w:rPr>
                <w:rFonts w:ascii="Calibri" w:hAnsi="Calibri" w:cs="Calibri"/>
                <w:color w:val="000000"/>
              </w:rPr>
            </w:pPr>
            <w:r>
              <w:rPr>
                <w:rFonts w:ascii="Calibri" w:hAnsi="Calibri" w:cs="Calibri"/>
                <w:color w:val="000000"/>
              </w:rPr>
              <w:t>South Canterbury</w:t>
            </w:r>
          </w:p>
        </w:tc>
        <w:tc>
          <w:tcPr>
            <w:tcW w:w="0" w:type="auto"/>
            <w:tcBorders>
              <w:top w:val="nil"/>
              <w:left w:val="nil"/>
              <w:bottom w:val="nil"/>
              <w:right w:val="nil"/>
            </w:tcBorders>
            <w:shd w:val="clear" w:color="auto" w:fill="auto"/>
            <w:noWrap/>
            <w:vAlign w:val="bottom"/>
            <w:hideMark/>
          </w:tcPr>
          <w:p w14:paraId="77605364" w14:textId="77777777" w:rsidR="00FC15FC" w:rsidRDefault="00FC15FC">
            <w:pPr>
              <w:jc w:val="right"/>
              <w:rPr>
                <w:rFonts w:cs="Arial"/>
                <w:color w:val="auto"/>
                <w:sz w:val="20"/>
                <w:szCs w:val="20"/>
              </w:rPr>
            </w:pPr>
            <w:r>
              <w:rPr>
                <w:rFonts w:cs="Arial"/>
                <w:sz w:val="20"/>
                <w:szCs w:val="20"/>
              </w:rPr>
              <w:t>51</w:t>
            </w:r>
          </w:p>
        </w:tc>
        <w:tc>
          <w:tcPr>
            <w:tcW w:w="0" w:type="auto"/>
            <w:tcBorders>
              <w:top w:val="nil"/>
              <w:left w:val="nil"/>
              <w:bottom w:val="nil"/>
              <w:right w:val="nil"/>
            </w:tcBorders>
            <w:shd w:val="clear" w:color="auto" w:fill="auto"/>
            <w:noWrap/>
            <w:vAlign w:val="bottom"/>
            <w:hideMark/>
          </w:tcPr>
          <w:p w14:paraId="456C2268" w14:textId="77777777" w:rsidR="00FC15FC" w:rsidRDefault="00FC15FC">
            <w:pPr>
              <w:jc w:val="right"/>
              <w:rPr>
                <w:rFonts w:cs="Arial"/>
                <w:color w:val="FF0000"/>
                <w:sz w:val="20"/>
                <w:szCs w:val="20"/>
              </w:rPr>
            </w:pPr>
            <w:r>
              <w:rPr>
                <w:rFonts w:cs="Arial"/>
                <w:color w:val="FF0000"/>
                <w:sz w:val="20"/>
                <w:szCs w:val="20"/>
              </w:rPr>
              <w:t>0.8%</w:t>
            </w:r>
          </w:p>
        </w:tc>
        <w:tc>
          <w:tcPr>
            <w:tcW w:w="0" w:type="auto"/>
            <w:tcBorders>
              <w:top w:val="nil"/>
              <w:left w:val="nil"/>
              <w:bottom w:val="nil"/>
              <w:right w:val="nil"/>
            </w:tcBorders>
            <w:shd w:val="clear" w:color="auto" w:fill="auto"/>
            <w:noWrap/>
            <w:vAlign w:val="bottom"/>
            <w:hideMark/>
          </w:tcPr>
          <w:p w14:paraId="6070CC04" w14:textId="77777777" w:rsidR="00FC15FC" w:rsidRDefault="00FC15FC">
            <w:pPr>
              <w:jc w:val="right"/>
              <w:rPr>
                <w:rFonts w:cs="Arial"/>
                <w:color w:val="FF0000"/>
                <w:sz w:val="20"/>
                <w:szCs w:val="20"/>
              </w:rPr>
            </w:pPr>
            <w:r>
              <w:rPr>
                <w:rFonts w:cs="Arial"/>
                <w:color w:val="FF0000"/>
                <w:sz w:val="20"/>
                <w:szCs w:val="20"/>
              </w:rPr>
              <w:t>23.5%</w:t>
            </w:r>
          </w:p>
        </w:tc>
      </w:tr>
      <w:tr w:rsidR="00FC15FC" w14:paraId="10DAEDDE"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24AB7A38" w14:textId="77777777" w:rsidR="00FC15FC" w:rsidRDefault="00FC15FC">
            <w:pPr>
              <w:jc w:val="left"/>
              <w:rPr>
                <w:rFonts w:ascii="Calibri" w:hAnsi="Calibri" w:cs="Calibri"/>
                <w:color w:val="000000"/>
              </w:rPr>
            </w:pPr>
            <w:r>
              <w:rPr>
                <w:rFonts w:ascii="Calibri" w:hAnsi="Calibri" w:cs="Calibri"/>
                <w:color w:val="000000"/>
              </w:rPr>
              <w:t>Otago</w:t>
            </w:r>
          </w:p>
        </w:tc>
        <w:tc>
          <w:tcPr>
            <w:tcW w:w="0" w:type="auto"/>
            <w:tcBorders>
              <w:top w:val="nil"/>
              <w:left w:val="nil"/>
              <w:bottom w:val="nil"/>
              <w:right w:val="nil"/>
            </w:tcBorders>
            <w:shd w:val="clear" w:color="auto" w:fill="auto"/>
            <w:noWrap/>
            <w:vAlign w:val="bottom"/>
            <w:hideMark/>
          </w:tcPr>
          <w:p w14:paraId="617C6A31" w14:textId="77777777" w:rsidR="00FC15FC" w:rsidRDefault="00FC15FC">
            <w:pPr>
              <w:jc w:val="right"/>
              <w:rPr>
                <w:rFonts w:cs="Arial"/>
                <w:color w:val="auto"/>
                <w:sz w:val="20"/>
                <w:szCs w:val="20"/>
              </w:rPr>
            </w:pPr>
            <w:r>
              <w:rPr>
                <w:rFonts w:cs="Arial"/>
                <w:sz w:val="20"/>
                <w:szCs w:val="20"/>
              </w:rPr>
              <w:t>161</w:t>
            </w:r>
          </w:p>
        </w:tc>
        <w:tc>
          <w:tcPr>
            <w:tcW w:w="0" w:type="auto"/>
            <w:tcBorders>
              <w:top w:val="nil"/>
              <w:left w:val="nil"/>
              <w:bottom w:val="nil"/>
              <w:right w:val="nil"/>
            </w:tcBorders>
            <w:shd w:val="clear" w:color="auto" w:fill="auto"/>
            <w:noWrap/>
            <w:vAlign w:val="bottom"/>
            <w:hideMark/>
          </w:tcPr>
          <w:p w14:paraId="7D02CE50" w14:textId="77777777" w:rsidR="00FC15FC" w:rsidRDefault="00FC15FC">
            <w:pPr>
              <w:jc w:val="right"/>
              <w:rPr>
                <w:rFonts w:cs="Arial"/>
                <w:color w:val="FF0000"/>
                <w:sz w:val="20"/>
                <w:szCs w:val="20"/>
              </w:rPr>
            </w:pPr>
            <w:r>
              <w:rPr>
                <w:rFonts w:cs="Arial"/>
                <w:color w:val="FF0000"/>
                <w:sz w:val="20"/>
                <w:szCs w:val="20"/>
              </w:rPr>
              <w:t>2.7%</w:t>
            </w:r>
          </w:p>
        </w:tc>
        <w:tc>
          <w:tcPr>
            <w:tcW w:w="0" w:type="auto"/>
            <w:tcBorders>
              <w:top w:val="nil"/>
              <w:left w:val="nil"/>
              <w:bottom w:val="nil"/>
              <w:right w:val="nil"/>
            </w:tcBorders>
            <w:shd w:val="clear" w:color="auto" w:fill="auto"/>
            <w:noWrap/>
            <w:vAlign w:val="bottom"/>
            <w:hideMark/>
          </w:tcPr>
          <w:p w14:paraId="6FB1BE35" w14:textId="77777777" w:rsidR="00FC15FC" w:rsidRDefault="00FC15FC">
            <w:pPr>
              <w:jc w:val="right"/>
              <w:rPr>
                <w:rFonts w:cs="Arial"/>
                <w:color w:val="FF0000"/>
                <w:sz w:val="20"/>
                <w:szCs w:val="20"/>
              </w:rPr>
            </w:pPr>
            <w:r>
              <w:rPr>
                <w:rFonts w:cs="Arial"/>
                <w:color w:val="FF0000"/>
                <w:sz w:val="20"/>
                <w:szCs w:val="20"/>
              </w:rPr>
              <w:t>20.0%</w:t>
            </w:r>
          </w:p>
        </w:tc>
      </w:tr>
      <w:tr w:rsidR="00FC15FC" w14:paraId="7FD26733"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39E425CE" w14:textId="77777777" w:rsidR="00FC15FC" w:rsidRDefault="00FC15FC">
            <w:pPr>
              <w:jc w:val="left"/>
              <w:rPr>
                <w:rFonts w:ascii="Calibri" w:hAnsi="Calibri" w:cs="Calibri"/>
                <w:color w:val="000000"/>
              </w:rPr>
            </w:pPr>
            <w:r>
              <w:rPr>
                <w:rFonts w:ascii="Calibri" w:hAnsi="Calibri" w:cs="Calibri"/>
                <w:color w:val="000000"/>
              </w:rPr>
              <w:t>Southland</w:t>
            </w:r>
          </w:p>
        </w:tc>
        <w:tc>
          <w:tcPr>
            <w:tcW w:w="0" w:type="auto"/>
            <w:tcBorders>
              <w:top w:val="nil"/>
              <w:left w:val="nil"/>
              <w:bottom w:val="nil"/>
              <w:right w:val="nil"/>
            </w:tcBorders>
            <w:shd w:val="clear" w:color="auto" w:fill="auto"/>
            <w:noWrap/>
            <w:vAlign w:val="bottom"/>
            <w:hideMark/>
          </w:tcPr>
          <w:p w14:paraId="008B269B" w14:textId="77777777" w:rsidR="00FC15FC" w:rsidRDefault="00FC15FC">
            <w:pPr>
              <w:jc w:val="right"/>
              <w:rPr>
                <w:rFonts w:cs="Arial"/>
                <w:color w:val="auto"/>
                <w:sz w:val="20"/>
                <w:szCs w:val="20"/>
              </w:rPr>
            </w:pPr>
            <w:r>
              <w:rPr>
                <w:rFonts w:cs="Arial"/>
                <w:sz w:val="20"/>
                <w:szCs w:val="20"/>
              </w:rPr>
              <w:t>66</w:t>
            </w:r>
          </w:p>
        </w:tc>
        <w:tc>
          <w:tcPr>
            <w:tcW w:w="0" w:type="auto"/>
            <w:tcBorders>
              <w:top w:val="nil"/>
              <w:left w:val="nil"/>
              <w:bottom w:val="nil"/>
              <w:right w:val="nil"/>
            </w:tcBorders>
            <w:shd w:val="clear" w:color="auto" w:fill="auto"/>
            <w:noWrap/>
            <w:vAlign w:val="bottom"/>
            <w:hideMark/>
          </w:tcPr>
          <w:p w14:paraId="7554C8D2" w14:textId="77777777" w:rsidR="00FC15FC" w:rsidRDefault="00FC15FC">
            <w:pPr>
              <w:jc w:val="right"/>
              <w:rPr>
                <w:rFonts w:cs="Arial"/>
                <w:color w:val="FF0000"/>
                <w:sz w:val="20"/>
                <w:szCs w:val="20"/>
              </w:rPr>
            </w:pPr>
            <w:r>
              <w:rPr>
                <w:rFonts w:cs="Arial"/>
                <w:color w:val="FF0000"/>
                <w:sz w:val="20"/>
                <w:szCs w:val="20"/>
              </w:rPr>
              <w:t>-6.8%</w:t>
            </w:r>
          </w:p>
        </w:tc>
        <w:tc>
          <w:tcPr>
            <w:tcW w:w="0" w:type="auto"/>
            <w:tcBorders>
              <w:top w:val="nil"/>
              <w:left w:val="nil"/>
              <w:bottom w:val="nil"/>
              <w:right w:val="nil"/>
            </w:tcBorders>
            <w:shd w:val="clear" w:color="auto" w:fill="auto"/>
            <w:noWrap/>
            <w:vAlign w:val="bottom"/>
            <w:hideMark/>
          </w:tcPr>
          <w:p w14:paraId="50A90930" w14:textId="77777777" w:rsidR="00FC15FC" w:rsidRDefault="00FC15FC">
            <w:pPr>
              <w:jc w:val="right"/>
              <w:rPr>
                <w:rFonts w:cs="Arial"/>
                <w:color w:val="FF0000"/>
                <w:sz w:val="20"/>
                <w:szCs w:val="20"/>
              </w:rPr>
            </w:pPr>
            <w:r>
              <w:rPr>
                <w:rFonts w:cs="Arial"/>
                <w:color w:val="FF0000"/>
                <w:sz w:val="20"/>
                <w:szCs w:val="20"/>
              </w:rPr>
              <w:t>12.4%</w:t>
            </w:r>
          </w:p>
        </w:tc>
      </w:tr>
      <w:tr w:rsidR="00FC15FC" w14:paraId="4782641B" w14:textId="77777777" w:rsidTr="00FC15FC">
        <w:trPr>
          <w:trHeight w:val="290"/>
          <w:jc w:val="center"/>
        </w:trPr>
        <w:tc>
          <w:tcPr>
            <w:tcW w:w="0" w:type="auto"/>
            <w:tcBorders>
              <w:top w:val="nil"/>
              <w:left w:val="nil"/>
              <w:bottom w:val="nil"/>
              <w:right w:val="nil"/>
            </w:tcBorders>
            <w:shd w:val="clear" w:color="auto" w:fill="auto"/>
            <w:noWrap/>
            <w:vAlign w:val="bottom"/>
            <w:hideMark/>
          </w:tcPr>
          <w:p w14:paraId="45CE1DE4" w14:textId="77777777" w:rsidR="00FC15FC" w:rsidRDefault="00FC15FC">
            <w:pPr>
              <w:jc w:val="left"/>
              <w:rPr>
                <w:rFonts w:cs="Arial"/>
                <w:b/>
                <w:bCs/>
                <w:color w:val="auto"/>
                <w:sz w:val="20"/>
                <w:szCs w:val="20"/>
              </w:rPr>
            </w:pPr>
            <w:r>
              <w:rPr>
                <w:rFonts w:cs="Arial"/>
                <w:b/>
                <w:bCs/>
                <w:sz w:val="20"/>
                <w:szCs w:val="20"/>
              </w:rPr>
              <w:t>New Zealand</w:t>
            </w:r>
          </w:p>
        </w:tc>
        <w:tc>
          <w:tcPr>
            <w:tcW w:w="0" w:type="auto"/>
            <w:tcBorders>
              <w:top w:val="nil"/>
              <w:left w:val="nil"/>
              <w:bottom w:val="nil"/>
              <w:right w:val="nil"/>
            </w:tcBorders>
            <w:shd w:val="clear" w:color="auto" w:fill="auto"/>
            <w:noWrap/>
            <w:vAlign w:val="bottom"/>
            <w:hideMark/>
          </w:tcPr>
          <w:p w14:paraId="0F5D922B" w14:textId="77777777" w:rsidR="00FC15FC" w:rsidRDefault="00FC15FC">
            <w:pPr>
              <w:jc w:val="right"/>
              <w:rPr>
                <w:rFonts w:cs="Arial"/>
                <w:b/>
                <w:bCs/>
                <w:sz w:val="20"/>
                <w:szCs w:val="20"/>
              </w:rPr>
            </w:pPr>
            <w:r>
              <w:rPr>
                <w:rFonts w:cs="Arial"/>
                <w:b/>
                <w:bCs/>
                <w:sz w:val="20"/>
                <w:szCs w:val="20"/>
              </w:rPr>
              <w:t>2,933</w:t>
            </w:r>
          </w:p>
        </w:tc>
        <w:tc>
          <w:tcPr>
            <w:tcW w:w="0" w:type="auto"/>
            <w:tcBorders>
              <w:top w:val="nil"/>
              <w:left w:val="nil"/>
              <w:bottom w:val="nil"/>
              <w:right w:val="nil"/>
            </w:tcBorders>
            <w:shd w:val="clear" w:color="auto" w:fill="auto"/>
            <w:noWrap/>
            <w:vAlign w:val="bottom"/>
            <w:hideMark/>
          </w:tcPr>
          <w:p w14:paraId="13BD2309" w14:textId="77777777" w:rsidR="00FC15FC" w:rsidRDefault="00FC15FC">
            <w:pPr>
              <w:jc w:val="right"/>
              <w:rPr>
                <w:rFonts w:cs="Arial"/>
                <w:b/>
                <w:bCs/>
                <w:color w:val="FF0000"/>
                <w:sz w:val="20"/>
                <w:szCs w:val="20"/>
              </w:rPr>
            </w:pPr>
            <w:r>
              <w:rPr>
                <w:rFonts w:cs="Arial"/>
                <w:b/>
                <w:bCs/>
                <w:color w:val="FF0000"/>
                <w:sz w:val="20"/>
                <w:szCs w:val="20"/>
              </w:rPr>
              <w:t>0.8%</w:t>
            </w:r>
          </w:p>
        </w:tc>
        <w:tc>
          <w:tcPr>
            <w:tcW w:w="0" w:type="auto"/>
            <w:tcBorders>
              <w:top w:val="nil"/>
              <w:left w:val="nil"/>
              <w:bottom w:val="nil"/>
              <w:right w:val="nil"/>
            </w:tcBorders>
            <w:shd w:val="clear" w:color="auto" w:fill="auto"/>
            <w:noWrap/>
            <w:vAlign w:val="bottom"/>
            <w:hideMark/>
          </w:tcPr>
          <w:p w14:paraId="59F5D893" w14:textId="77777777" w:rsidR="00FC15FC" w:rsidRDefault="00FC15FC">
            <w:pPr>
              <w:jc w:val="right"/>
              <w:rPr>
                <w:rFonts w:cs="Arial"/>
                <w:b/>
                <w:bCs/>
                <w:color w:val="FF0000"/>
                <w:sz w:val="20"/>
                <w:szCs w:val="20"/>
              </w:rPr>
            </w:pPr>
            <w:r>
              <w:rPr>
                <w:rFonts w:cs="Arial"/>
                <w:b/>
                <w:bCs/>
                <w:color w:val="FF0000"/>
                <w:sz w:val="20"/>
                <w:szCs w:val="20"/>
              </w:rPr>
              <w:t>17.4%</w:t>
            </w:r>
          </w:p>
        </w:tc>
      </w:tr>
    </w:tbl>
    <w:p w14:paraId="555AAFBD" w14:textId="3EF2A861" w:rsidR="00694CF3" w:rsidRDefault="00694CF3" w:rsidP="00694CF3">
      <w:pPr>
        <w:pStyle w:val="BodytextWorldline"/>
        <w:rPr>
          <w:lang w:val="en-US"/>
        </w:rPr>
      </w:pPr>
      <w:r w:rsidRPr="00710DF2">
        <w:rPr>
          <w:sz w:val="16"/>
          <w:szCs w:val="16"/>
        </w:rPr>
        <w:t xml:space="preserve">Figure </w:t>
      </w:r>
      <w:r w:rsidR="005A0482">
        <w:rPr>
          <w:sz w:val="16"/>
          <w:szCs w:val="16"/>
        </w:rPr>
        <w:t>2</w:t>
      </w:r>
      <w:r w:rsidRPr="00710DF2">
        <w:rPr>
          <w:sz w:val="16"/>
          <w:szCs w:val="16"/>
        </w:rPr>
        <w:t xml:space="preserve">: All Cards NZ underlying* spending through Worldline </w:t>
      </w:r>
      <w:r w:rsidR="00CE03C5">
        <w:rPr>
          <w:sz w:val="16"/>
          <w:szCs w:val="16"/>
        </w:rPr>
        <w:t xml:space="preserve">in </w:t>
      </w:r>
      <w:r w:rsidR="005C0247">
        <w:rPr>
          <w:sz w:val="16"/>
          <w:szCs w:val="16"/>
        </w:rPr>
        <w:t>May</w:t>
      </w:r>
      <w:r w:rsidR="00FC269D">
        <w:rPr>
          <w:sz w:val="16"/>
          <w:szCs w:val="16"/>
        </w:rPr>
        <w:t xml:space="preserve"> 2024</w:t>
      </w:r>
      <w:r w:rsidR="00CE03C5">
        <w:rPr>
          <w:sz w:val="16"/>
          <w:szCs w:val="16"/>
        </w:rPr>
        <w:t xml:space="preserve"> </w:t>
      </w:r>
      <w:r w:rsidRPr="00710DF2">
        <w:rPr>
          <w:sz w:val="16"/>
          <w:szCs w:val="16"/>
        </w:rPr>
        <w:t>for core retail excluding hospitality</w:t>
      </w:r>
      <w:r>
        <w:rPr>
          <w:sz w:val="16"/>
          <w:szCs w:val="16"/>
        </w:rPr>
        <w:t xml:space="preserve"> </w:t>
      </w:r>
      <w:r w:rsidRPr="00710DF2">
        <w:rPr>
          <w:sz w:val="16"/>
          <w:szCs w:val="16"/>
        </w:rPr>
        <w:t>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lastRenderedPageBreak/>
        <w:t>- ENDS -</w:t>
      </w:r>
    </w:p>
    <w:p w14:paraId="1F40E430" w14:textId="77777777"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77777777" w:rsidR="005348A3" w:rsidRDefault="005348A3" w:rsidP="005348A3">
      <w:pPr>
        <w:pStyle w:val="BodytextWorldline"/>
        <w:rPr>
          <w:sz w:val="19"/>
          <w:szCs w:val="19"/>
          <w:u w:val="single"/>
          <w:lang w:val="en-US"/>
        </w:rPr>
      </w:pPr>
      <w:r w:rsidRPr="00A6603C">
        <w:rPr>
          <w:sz w:val="19"/>
          <w:szCs w:val="19"/>
          <w:lang w:val="en-US"/>
        </w:rPr>
        <w:t xml:space="preserve">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4.4 billion euros revenue in 2022. </w:t>
      </w:r>
      <w:r w:rsidRPr="00A6603C">
        <w:rPr>
          <w:sz w:val="19"/>
          <w:szCs w:val="19"/>
          <w:u w:val="single"/>
          <w:lang w:val="en-US"/>
        </w:rPr>
        <w:t>worldline.com</w:t>
      </w:r>
    </w:p>
    <w:p w14:paraId="267C0C9D" w14:textId="77777777" w:rsidR="005348A3" w:rsidRPr="00564F23" w:rsidRDefault="005348A3" w:rsidP="005348A3">
      <w:pPr>
        <w:pStyle w:val="BodytextWorldline"/>
        <w:rPr>
          <w:sz w:val="19"/>
        </w:rPr>
      </w:pPr>
      <w:r w:rsidRPr="00564F23">
        <w:rPr>
          <w:sz w:val="19"/>
        </w:rPr>
        <w:t xml:space="preserve">Read our </w:t>
      </w:r>
      <w:hyperlink r:id="rId13" w:history="1">
        <w:r w:rsidRPr="006B181C">
          <w:rPr>
            <w:rStyle w:val="Hyperlink"/>
            <w:sz w:val="19"/>
          </w:rPr>
          <w:t>2022 Integrated Report</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2D9A4B6"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6287D12"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16E0984"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471B6B4"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4CA8969"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2ADB697"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59901" w14:textId="77777777" w:rsidR="001042BE" w:rsidRPr="00A1281B" w:rsidRDefault="001042BE" w:rsidP="00A1281B">
      <w:pPr>
        <w:pStyle w:val="Footer"/>
      </w:pPr>
    </w:p>
  </w:endnote>
  <w:endnote w:type="continuationSeparator" w:id="0">
    <w:p w14:paraId="286FE50D" w14:textId="77777777" w:rsidR="001042BE" w:rsidRPr="00A1281B" w:rsidRDefault="001042BE"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6EE91" w14:textId="77777777" w:rsidR="001042BE" w:rsidRPr="00A1281B" w:rsidRDefault="001042BE" w:rsidP="00A1281B">
      <w:pPr>
        <w:pStyle w:val="Footer"/>
      </w:pPr>
    </w:p>
  </w:footnote>
  <w:footnote w:type="continuationSeparator" w:id="0">
    <w:p w14:paraId="0C4E4906" w14:textId="77777777" w:rsidR="001042BE" w:rsidRPr="00A1281B" w:rsidRDefault="001042BE"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69876BE"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552D"/>
    <w:rsid w:val="00005D91"/>
    <w:rsid w:val="0000663D"/>
    <w:rsid w:val="00006723"/>
    <w:rsid w:val="00006B14"/>
    <w:rsid w:val="00007326"/>
    <w:rsid w:val="00007FF2"/>
    <w:rsid w:val="0001062A"/>
    <w:rsid w:val="00010D95"/>
    <w:rsid w:val="00011BFA"/>
    <w:rsid w:val="0001226E"/>
    <w:rsid w:val="00013D63"/>
    <w:rsid w:val="0001461A"/>
    <w:rsid w:val="00014717"/>
    <w:rsid w:val="00014E7F"/>
    <w:rsid w:val="00015339"/>
    <w:rsid w:val="0001542B"/>
    <w:rsid w:val="00015687"/>
    <w:rsid w:val="00017BBB"/>
    <w:rsid w:val="00021CCB"/>
    <w:rsid w:val="00021EDA"/>
    <w:rsid w:val="00022269"/>
    <w:rsid w:val="000224C9"/>
    <w:rsid w:val="000241E7"/>
    <w:rsid w:val="00024D1A"/>
    <w:rsid w:val="000251B2"/>
    <w:rsid w:val="0002609F"/>
    <w:rsid w:val="00027FF9"/>
    <w:rsid w:val="000304CF"/>
    <w:rsid w:val="00030F21"/>
    <w:rsid w:val="00031E34"/>
    <w:rsid w:val="00032274"/>
    <w:rsid w:val="00033B4E"/>
    <w:rsid w:val="00033C5F"/>
    <w:rsid w:val="00033E91"/>
    <w:rsid w:val="00033F01"/>
    <w:rsid w:val="00033F83"/>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563"/>
    <w:rsid w:val="00076C3C"/>
    <w:rsid w:val="0007716D"/>
    <w:rsid w:val="00077318"/>
    <w:rsid w:val="00077575"/>
    <w:rsid w:val="00077C07"/>
    <w:rsid w:val="00080780"/>
    <w:rsid w:val="00082115"/>
    <w:rsid w:val="00082809"/>
    <w:rsid w:val="00083CC4"/>
    <w:rsid w:val="00084A3F"/>
    <w:rsid w:val="000852BF"/>
    <w:rsid w:val="00085627"/>
    <w:rsid w:val="00085AC8"/>
    <w:rsid w:val="00085CA4"/>
    <w:rsid w:val="00085F93"/>
    <w:rsid w:val="00086E73"/>
    <w:rsid w:val="00090277"/>
    <w:rsid w:val="00090B26"/>
    <w:rsid w:val="00091142"/>
    <w:rsid w:val="00093B09"/>
    <w:rsid w:val="00094907"/>
    <w:rsid w:val="000953A0"/>
    <w:rsid w:val="0009575E"/>
    <w:rsid w:val="00096409"/>
    <w:rsid w:val="0009657F"/>
    <w:rsid w:val="00096930"/>
    <w:rsid w:val="0009698A"/>
    <w:rsid w:val="00097DB3"/>
    <w:rsid w:val="000A02EB"/>
    <w:rsid w:val="000A1012"/>
    <w:rsid w:val="000A112F"/>
    <w:rsid w:val="000A1B78"/>
    <w:rsid w:val="000A2014"/>
    <w:rsid w:val="000A31A5"/>
    <w:rsid w:val="000A338D"/>
    <w:rsid w:val="000A3D96"/>
    <w:rsid w:val="000A5E4C"/>
    <w:rsid w:val="000A7516"/>
    <w:rsid w:val="000B0A9E"/>
    <w:rsid w:val="000B1A99"/>
    <w:rsid w:val="000B1EB5"/>
    <w:rsid w:val="000B240A"/>
    <w:rsid w:val="000B2478"/>
    <w:rsid w:val="000B25BE"/>
    <w:rsid w:val="000B2835"/>
    <w:rsid w:val="000B3B7D"/>
    <w:rsid w:val="000B3C59"/>
    <w:rsid w:val="000B4AC3"/>
    <w:rsid w:val="000B4C29"/>
    <w:rsid w:val="000B4EC4"/>
    <w:rsid w:val="000B6CA4"/>
    <w:rsid w:val="000B724B"/>
    <w:rsid w:val="000B7B86"/>
    <w:rsid w:val="000C18EE"/>
    <w:rsid w:val="000C1A1A"/>
    <w:rsid w:val="000C219A"/>
    <w:rsid w:val="000C21A5"/>
    <w:rsid w:val="000C280D"/>
    <w:rsid w:val="000C4C18"/>
    <w:rsid w:val="000C5510"/>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DFE"/>
    <w:rsid w:val="000E2FF7"/>
    <w:rsid w:val="000E3344"/>
    <w:rsid w:val="000E413B"/>
    <w:rsid w:val="000E4C90"/>
    <w:rsid w:val="000E51C7"/>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42BE"/>
    <w:rsid w:val="001046AE"/>
    <w:rsid w:val="001046D9"/>
    <w:rsid w:val="00104E2B"/>
    <w:rsid w:val="0010573C"/>
    <w:rsid w:val="00106301"/>
    <w:rsid w:val="00106503"/>
    <w:rsid w:val="00106601"/>
    <w:rsid w:val="00106A93"/>
    <w:rsid w:val="00107A63"/>
    <w:rsid w:val="001104B2"/>
    <w:rsid w:val="001108E8"/>
    <w:rsid w:val="00110995"/>
    <w:rsid w:val="00110A9F"/>
    <w:rsid w:val="00110C3C"/>
    <w:rsid w:val="00110DF7"/>
    <w:rsid w:val="00111691"/>
    <w:rsid w:val="00111EFF"/>
    <w:rsid w:val="00113457"/>
    <w:rsid w:val="0011608C"/>
    <w:rsid w:val="001170AE"/>
    <w:rsid w:val="00117867"/>
    <w:rsid w:val="00117A89"/>
    <w:rsid w:val="00117AD4"/>
    <w:rsid w:val="00117B4C"/>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46"/>
    <w:rsid w:val="00142CCC"/>
    <w:rsid w:val="00143C3B"/>
    <w:rsid w:val="00144110"/>
    <w:rsid w:val="001442BD"/>
    <w:rsid w:val="0014441E"/>
    <w:rsid w:val="0014472C"/>
    <w:rsid w:val="00144A76"/>
    <w:rsid w:val="00144E14"/>
    <w:rsid w:val="00145B8E"/>
    <w:rsid w:val="0014640F"/>
    <w:rsid w:val="001473C8"/>
    <w:rsid w:val="0015099C"/>
    <w:rsid w:val="0015197D"/>
    <w:rsid w:val="0015240D"/>
    <w:rsid w:val="00154326"/>
    <w:rsid w:val="0015455D"/>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1F73"/>
    <w:rsid w:val="00172F43"/>
    <w:rsid w:val="00175D1E"/>
    <w:rsid w:val="00177464"/>
    <w:rsid w:val="00180AEB"/>
    <w:rsid w:val="0018131E"/>
    <w:rsid w:val="00181E7E"/>
    <w:rsid w:val="0018202B"/>
    <w:rsid w:val="00182079"/>
    <w:rsid w:val="001825E4"/>
    <w:rsid w:val="001838C5"/>
    <w:rsid w:val="001840FD"/>
    <w:rsid w:val="00184ADA"/>
    <w:rsid w:val="00185202"/>
    <w:rsid w:val="00185332"/>
    <w:rsid w:val="00185D8D"/>
    <w:rsid w:val="001863A5"/>
    <w:rsid w:val="00186BBE"/>
    <w:rsid w:val="00186D05"/>
    <w:rsid w:val="00186EA6"/>
    <w:rsid w:val="00187A4B"/>
    <w:rsid w:val="00187CEB"/>
    <w:rsid w:val="00190946"/>
    <w:rsid w:val="00190CD4"/>
    <w:rsid w:val="00190F07"/>
    <w:rsid w:val="00192BD5"/>
    <w:rsid w:val="00192BD9"/>
    <w:rsid w:val="00193313"/>
    <w:rsid w:val="00193BD4"/>
    <w:rsid w:val="00194216"/>
    <w:rsid w:val="00195E52"/>
    <w:rsid w:val="00195E96"/>
    <w:rsid w:val="00197100"/>
    <w:rsid w:val="00197F76"/>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19"/>
    <w:rsid w:val="001B0E4A"/>
    <w:rsid w:val="001B1B37"/>
    <w:rsid w:val="001B2181"/>
    <w:rsid w:val="001B3F25"/>
    <w:rsid w:val="001B4685"/>
    <w:rsid w:val="001B4C7E"/>
    <w:rsid w:val="001B5B18"/>
    <w:rsid w:val="001B5DE0"/>
    <w:rsid w:val="001B5F8C"/>
    <w:rsid w:val="001B6104"/>
    <w:rsid w:val="001B6615"/>
    <w:rsid w:val="001B7A9D"/>
    <w:rsid w:val="001C095A"/>
    <w:rsid w:val="001C11BE"/>
    <w:rsid w:val="001C12CA"/>
    <w:rsid w:val="001C1645"/>
    <w:rsid w:val="001C2722"/>
    <w:rsid w:val="001C2D97"/>
    <w:rsid w:val="001C3095"/>
    <w:rsid w:val="001C494E"/>
    <w:rsid w:val="001C6573"/>
    <w:rsid w:val="001C6BDB"/>
    <w:rsid w:val="001C6F33"/>
    <w:rsid w:val="001C7DA4"/>
    <w:rsid w:val="001D1443"/>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756"/>
    <w:rsid w:val="001E491A"/>
    <w:rsid w:val="001E4D61"/>
    <w:rsid w:val="001E5ADD"/>
    <w:rsid w:val="001E5D2D"/>
    <w:rsid w:val="001E68F3"/>
    <w:rsid w:val="001E6AC1"/>
    <w:rsid w:val="001E72CC"/>
    <w:rsid w:val="001F00A5"/>
    <w:rsid w:val="001F16FC"/>
    <w:rsid w:val="001F25EB"/>
    <w:rsid w:val="001F3282"/>
    <w:rsid w:val="001F376F"/>
    <w:rsid w:val="001F3BB3"/>
    <w:rsid w:val="001F407C"/>
    <w:rsid w:val="001F5B4F"/>
    <w:rsid w:val="001F5C42"/>
    <w:rsid w:val="001F6A32"/>
    <w:rsid w:val="001F789B"/>
    <w:rsid w:val="0020080A"/>
    <w:rsid w:val="00200817"/>
    <w:rsid w:val="00201C6E"/>
    <w:rsid w:val="00201ED9"/>
    <w:rsid w:val="002030CD"/>
    <w:rsid w:val="00204EFD"/>
    <w:rsid w:val="002052DA"/>
    <w:rsid w:val="002053D6"/>
    <w:rsid w:val="0020548B"/>
    <w:rsid w:val="00205EAA"/>
    <w:rsid w:val="0020607F"/>
    <w:rsid w:val="002074B2"/>
    <w:rsid w:val="002075EC"/>
    <w:rsid w:val="00207CBD"/>
    <w:rsid w:val="002101C8"/>
    <w:rsid w:val="0021047D"/>
    <w:rsid w:val="00210C27"/>
    <w:rsid w:val="00211A8E"/>
    <w:rsid w:val="00211C4E"/>
    <w:rsid w:val="00211E9D"/>
    <w:rsid w:val="00211EDD"/>
    <w:rsid w:val="00213C5F"/>
    <w:rsid w:val="002154D5"/>
    <w:rsid w:val="002155ED"/>
    <w:rsid w:val="0021572A"/>
    <w:rsid w:val="0021654B"/>
    <w:rsid w:val="002166BE"/>
    <w:rsid w:val="00220A9C"/>
    <w:rsid w:val="002210BD"/>
    <w:rsid w:val="00222248"/>
    <w:rsid w:val="00222543"/>
    <w:rsid w:val="002225C2"/>
    <w:rsid w:val="00223026"/>
    <w:rsid w:val="002230CF"/>
    <w:rsid w:val="00224CF5"/>
    <w:rsid w:val="00224DCD"/>
    <w:rsid w:val="00226533"/>
    <w:rsid w:val="00226CB6"/>
    <w:rsid w:val="002308A3"/>
    <w:rsid w:val="00230B64"/>
    <w:rsid w:val="00231246"/>
    <w:rsid w:val="00231580"/>
    <w:rsid w:val="00232C0D"/>
    <w:rsid w:val="002331E7"/>
    <w:rsid w:val="00233B11"/>
    <w:rsid w:val="00233F72"/>
    <w:rsid w:val="002343BE"/>
    <w:rsid w:val="00234B00"/>
    <w:rsid w:val="00235EDE"/>
    <w:rsid w:val="00236058"/>
    <w:rsid w:val="002367DA"/>
    <w:rsid w:val="00236DE9"/>
    <w:rsid w:val="00237D0C"/>
    <w:rsid w:val="00240382"/>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17F2"/>
    <w:rsid w:val="00261E2A"/>
    <w:rsid w:val="0026239E"/>
    <w:rsid w:val="0026269B"/>
    <w:rsid w:val="00263223"/>
    <w:rsid w:val="00263A97"/>
    <w:rsid w:val="00264E04"/>
    <w:rsid w:val="00264E81"/>
    <w:rsid w:val="00265C83"/>
    <w:rsid w:val="002679E4"/>
    <w:rsid w:val="00267E33"/>
    <w:rsid w:val="00270CA5"/>
    <w:rsid w:val="002712EA"/>
    <w:rsid w:val="0027233A"/>
    <w:rsid w:val="00273B10"/>
    <w:rsid w:val="002744A2"/>
    <w:rsid w:val="002751E9"/>
    <w:rsid w:val="002770E9"/>
    <w:rsid w:val="00281126"/>
    <w:rsid w:val="00281135"/>
    <w:rsid w:val="0028122E"/>
    <w:rsid w:val="0028209C"/>
    <w:rsid w:val="00282456"/>
    <w:rsid w:val="00282A0A"/>
    <w:rsid w:val="00282AFF"/>
    <w:rsid w:val="00284E10"/>
    <w:rsid w:val="0028544C"/>
    <w:rsid w:val="002856B6"/>
    <w:rsid w:val="00285736"/>
    <w:rsid w:val="00285A13"/>
    <w:rsid w:val="00285B84"/>
    <w:rsid w:val="002866C7"/>
    <w:rsid w:val="00286914"/>
    <w:rsid w:val="00287581"/>
    <w:rsid w:val="00291131"/>
    <w:rsid w:val="00291AD4"/>
    <w:rsid w:val="00292092"/>
    <w:rsid w:val="00292B96"/>
    <w:rsid w:val="00293672"/>
    <w:rsid w:val="00293D3E"/>
    <w:rsid w:val="002944BE"/>
    <w:rsid w:val="00294542"/>
    <w:rsid w:val="00296213"/>
    <w:rsid w:val="00296B15"/>
    <w:rsid w:val="00297A87"/>
    <w:rsid w:val="002A0163"/>
    <w:rsid w:val="002A0AB4"/>
    <w:rsid w:val="002A0C2D"/>
    <w:rsid w:val="002A0C6B"/>
    <w:rsid w:val="002A1445"/>
    <w:rsid w:val="002A288F"/>
    <w:rsid w:val="002A33B5"/>
    <w:rsid w:val="002A3D3F"/>
    <w:rsid w:val="002A3F20"/>
    <w:rsid w:val="002A402A"/>
    <w:rsid w:val="002A4757"/>
    <w:rsid w:val="002A4C26"/>
    <w:rsid w:val="002A6391"/>
    <w:rsid w:val="002A67F2"/>
    <w:rsid w:val="002A7295"/>
    <w:rsid w:val="002A7AD3"/>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64EE"/>
    <w:rsid w:val="002B7445"/>
    <w:rsid w:val="002B74D0"/>
    <w:rsid w:val="002B77EF"/>
    <w:rsid w:val="002C084E"/>
    <w:rsid w:val="002C1073"/>
    <w:rsid w:val="002C1729"/>
    <w:rsid w:val="002C1F01"/>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53B1"/>
    <w:rsid w:val="002F5671"/>
    <w:rsid w:val="002F7077"/>
    <w:rsid w:val="002F7275"/>
    <w:rsid w:val="002F7388"/>
    <w:rsid w:val="002F74A3"/>
    <w:rsid w:val="002F7B77"/>
    <w:rsid w:val="002F7C3F"/>
    <w:rsid w:val="003000CC"/>
    <w:rsid w:val="00300F57"/>
    <w:rsid w:val="0030139D"/>
    <w:rsid w:val="00302156"/>
    <w:rsid w:val="00302577"/>
    <w:rsid w:val="00302F18"/>
    <w:rsid w:val="00303DA3"/>
    <w:rsid w:val="003040CD"/>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C33"/>
    <w:rsid w:val="00350AB2"/>
    <w:rsid w:val="00350DC1"/>
    <w:rsid w:val="00351E07"/>
    <w:rsid w:val="00351EDA"/>
    <w:rsid w:val="00353524"/>
    <w:rsid w:val="003536C1"/>
    <w:rsid w:val="00353FD2"/>
    <w:rsid w:val="00356D5D"/>
    <w:rsid w:val="00357B3C"/>
    <w:rsid w:val="0036025F"/>
    <w:rsid w:val="00360495"/>
    <w:rsid w:val="00361ABF"/>
    <w:rsid w:val="00362A7A"/>
    <w:rsid w:val="00364AD4"/>
    <w:rsid w:val="00364F63"/>
    <w:rsid w:val="00365254"/>
    <w:rsid w:val="00365327"/>
    <w:rsid w:val="0036588A"/>
    <w:rsid w:val="00365D29"/>
    <w:rsid w:val="00365E07"/>
    <w:rsid w:val="003679DD"/>
    <w:rsid w:val="00370078"/>
    <w:rsid w:val="003706B3"/>
    <w:rsid w:val="00370890"/>
    <w:rsid w:val="0037128A"/>
    <w:rsid w:val="00371F0E"/>
    <w:rsid w:val="00372696"/>
    <w:rsid w:val="00373329"/>
    <w:rsid w:val="00373640"/>
    <w:rsid w:val="003748D6"/>
    <w:rsid w:val="00374FB9"/>
    <w:rsid w:val="003752F1"/>
    <w:rsid w:val="00377612"/>
    <w:rsid w:val="00377CB5"/>
    <w:rsid w:val="00377E12"/>
    <w:rsid w:val="0038041D"/>
    <w:rsid w:val="00380BED"/>
    <w:rsid w:val="00380E97"/>
    <w:rsid w:val="0038100C"/>
    <w:rsid w:val="003819F2"/>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52EB"/>
    <w:rsid w:val="003955BC"/>
    <w:rsid w:val="00395A7C"/>
    <w:rsid w:val="00395E43"/>
    <w:rsid w:val="00395FAC"/>
    <w:rsid w:val="00396273"/>
    <w:rsid w:val="0039656A"/>
    <w:rsid w:val="003969AA"/>
    <w:rsid w:val="00396B89"/>
    <w:rsid w:val="00397202"/>
    <w:rsid w:val="00397866"/>
    <w:rsid w:val="00397EA3"/>
    <w:rsid w:val="003A04EF"/>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C00F1"/>
    <w:rsid w:val="003C0B1C"/>
    <w:rsid w:val="003C0F10"/>
    <w:rsid w:val="003C11BD"/>
    <w:rsid w:val="003C1345"/>
    <w:rsid w:val="003C135E"/>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7D8"/>
    <w:rsid w:val="003D2D28"/>
    <w:rsid w:val="003D2DC3"/>
    <w:rsid w:val="003D41A5"/>
    <w:rsid w:val="003D4FBD"/>
    <w:rsid w:val="003D6688"/>
    <w:rsid w:val="003E059B"/>
    <w:rsid w:val="003E0740"/>
    <w:rsid w:val="003E121B"/>
    <w:rsid w:val="003E1E35"/>
    <w:rsid w:val="003E3AC1"/>
    <w:rsid w:val="003E3B7D"/>
    <w:rsid w:val="003E3B95"/>
    <w:rsid w:val="003E4B0D"/>
    <w:rsid w:val="003E6411"/>
    <w:rsid w:val="003E67C5"/>
    <w:rsid w:val="003E724F"/>
    <w:rsid w:val="003E741E"/>
    <w:rsid w:val="003F0A04"/>
    <w:rsid w:val="003F3A19"/>
    <w:rsid w:val="003F4233"/>
    <w:rsid w:val="003F4EC5"/>
    <w:rsid w:val="003F516E"/>
    <w:rsid w:val="00400D82"/>
    <w:rsid w:val="00401D65"/>
    <w:rsid w:val="00401EE4"/>
    <w:rsid w:val="0040260E"/>
    <w:rsid w:val="00403073"/>
    <w:rsid w:val="00403140"/>
    <w:rsid w:val="004041C5"/>
    <w:rsid w:val="0040439A"/>
    <w:rsid w:val="00405B4F"/>
    <w:rsid w:val="00406BD4"/>
    <w:rsid w:val="00407198"/>
    <w:rsid w:val="0040732C"/>
    <w:rsid w:val="004073C6"/>
    <w:rsid w:val="0041153B"/>
    <w:rsid w:val="00411978"/>
    <w:rsid w:val="0041346F"/>
    <w:rsid w:val="004134FE"/>
    <w:rsid w:val="004139BB"/>
    <w:rsid w:val="00414BC5"/>
    <w:rsid w:val="00415272"/>
    <w:rsid w:val="00415B2A"/>
    <w:rsid w:val="00416155"/>
    <w:rsid w:val="0041674F"/>
    <w:rsid w:val="004170FE"/>
    <w:rsid w:val="00417111"/>
    <w:rsid w:val="004172A0"/>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748E"/>
    <w:rsid w:val="00430EE8"/>
    <w:rsid w:val="00431E63"/>
    <w:rsid w:val="004329A4"/>
    <w:rsid w:val="0043408A"/>
    <w:rsid w:val="004350B4"/>
    <w:rsid w:val="00436C76"/>
    <w:rsid w:val="00436FD8"/>
    <w:rsid w:val="004400ED"/>
    <w:rsid w:val="004406B4"/>
    <w:rsid w:val="00440D7E"/>
    <w:rsid w:val="0044108E"/>
    <w:rsid w:val="00441491"/>
    <w:rsid w:val="00442063"/>
    <w:rsid w:val="00442477"/>
    <w:rsid w:val="004444F0"/>
    <w:rsid w:val="00445522"/>
    <w:rsid w:val="004459AE"/>
    <w:rsid w:val="00446114"/>
    <w:rsid w:val="00446809"/>
    <w:rsid w:val="0044792A"/>
    <w:rsid w:val="00451BF5"/>
    <w:rsid w:val="00451FDB"/>
    <w:rsid w:val="0045254C"/>
    <w:rsid w:val="00452A74"/>
    <w:rsid w:val="004534DD"/>
    <w:rsid w:val="004536F0"/>
    <w:rsid w:val="00453D72"/>
    <w:rsid w:val="00453F5E"/>
    <w:rsid w:val="00454276"/>
    <w:rsid w:val="004564A6"/>
    <w:rsid w:val="00457869"/>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518D"/>
    <w:rsid w:val="00475688"/>
    <w:rsid w:val="00480ABA"/>
    <w:rsid w:val="0048114B"/>
    <w:rsid w:val="00482117"/>
    <w:rsid w:val="00482BF8"/>
    <w:rsid w:val="004839ED"/>
    <w:rsid w:val="00483D81"/>
    <w:rsid w:val="00484833"/>
    <w:rsid w:val="00486738"/>
    <w:rsid w:val="00486C2C"/>
    <w:rsid w:val="00487395"/>
    <w:rsid w:val="00487543"/>
    <w:rsid w:val="004875E2"/>
    <w:rsid w:val="00487818"/>
    <w:rsid w:val="00490600"/>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A78CD"/>
    <w:rsid w:val="004B033D"/>
    <w:rsid w:val="004B0CCB"/>
    <w:rsid w:val="004B0CE1"/>
    <w:rsid w:val="004B3A72"/>
    <w:rsid w:val="004B3B1F"/>
    <w:rsid w:val="004B3B99"/>
    <w:rsid w:val="004B4C46"/>
    <w:rsid w:val="004B592E"/>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16F"/>
    <w:rsid w:val="004D1722"/>
    <w:rsid w:val="004D1F43"/>
    <w:rsid w:val="004D22BC"/>
    <w:rsid w:val="004D259B"/>
    <w:rsid w:val="004D32FF"/>
    <w:rsid w:val="004D4931"/>
    <w:rsid w:val="004D4E9B"/>
    <w:rsid w:val="004D556E"/>
    <w:rsid w:val="004D7771"/>
    <w:rsid w:val="004D78DE"/>
    <w:rsid w:val="004E0806"/>
    <w:rsid w:val="004E083C"/>
    <w:rsid w:val="004E1505"/>
    <w:rsid w:val="004E29B5"/>
    <w:rsid w:val="004E2ABD"/>
    <w:rsid w:val="004E2DA9"/>
    <w:rsid w:val="004E327F"/>
    <w:rsid w:val="004E3367"/>
    <w:rsid w:val="004E5E68"/>
    <w:rsid w:val="004E6EFC"/>
    <w:rsid w:val="004E78F6"/>
    <w:rsid w:val="004F03FB"/>
    <w:rsid w:val="004F0CD7"/>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276B"/>
    <w:rsid w:val="00542CEB"/>
    <w:rsid w:val="00546095"/>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752F"/>
    <w:rsid w:val="00557AD8"/>
    <w:rsid w:val="00560A19"/>
    <w:rsid w:val="00560A4F"/>
    <w:rsid w:val="00561514"/>
    <w:rsid w:val="005615BE"/>
    <w:rsid w:val="00562339"/>
    <w:rsid w:val="005627C8"/>
    <w:rsid w:val="00562D03"/>
    <w:rsid w:val="00562D27"/>
    <w:rsid w:val="00562E3D"/>
    <w:rsid w:val="00563DF7"/>
    <w:rsid w:val="00564B08"/>
    <w:rsid w:val="00565A68"/>
    <w:rsid w:val="00565BF6"/>
    <w:rsid w:val="00565D72"/>
    <w:rsid w:val="005667E0"/>
    <w:rsid w:val="00566DC1"/>
    <w:rsid w:val="00567B47"/>
    <w:rsid w:val="00567D2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DC2"/>
    <w:rsid w:val="005821DD"/>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47"/>
    <w:rsid w:val="005C02BB"/>
    <w:rsid w:val="005C0A32"/>
    <w:rsid w:val="005C0ED4"/>
    <w:rsid w:val="005C0F3C"/>
    <w:rsid w:val="005C1D6C"/>
    <w:rsid w:val="005C2330"/>
    <w:rsid w:val="005C2349"/>
    <w:rsid w:val="005C24C2"/>
    <w:rsid w:val="005C3158"/>
    <w:rsid w:val="005C33A0"/>
    <w:rsid w:val="005C4A11"/>
    <w:rsid w:val="005C5CC8"/>
    <w:rsid w:val="005C5F4F"/>
    <w:rsid w:val="005C6668"/>
    <w:rsid w:val="005C6E02"/>
    <w:rsid w:val="005D03B1"/>
    <w:rsid w:val="005D043F"/>
    <w:rsid w:val="005D12B7"/>
    <w:rsid w:val="005D2D2C"/>
    <w:rsid w:val="005D3358"/>
    <w:rsid w:val="005D3796"/>
    <w:rsid w:val="005D4151"/>
    <w:rsid w:val="005D45EB"/>
    <w:rsid w:val="005D5E21"/>
    <w:rsid w:val="005D62B8"/>
    <w:rsid w:val="005D6DEB"/>
    <w:rsid w:val="005D7296"/>
    <w:rsid w:val="005E122D"/>
    <w:rsid w:val="005E1739"/>
    <w:rsid w:val="005E19D8"/>
    <w:rsid w:val="005E1B51"/>
    <w:rsid w:val="005E2013"/>
    <w:rsid w:val="005E26C1"/>
    <w:rsid w:val="005E3A32"/>
    <w:rsid w:val="005E40E6"/>
    <w:rsid w:val="005E4288"/>
    <w:rsid w:val="005E5FEA"/>
    <w:rsid w:val="005E60EF"/>
    <w:rsid w:val="005E6789"/>
    <w:rsid w:val="005E685B"/>
    <w:rsid w:val="005E7E2A"/>
    <w:rsid w:val="005F0391"/>
    <w:rsid w:val="005F1040"/>
    <w:rsid w:val="005F1433"/>
    <w:rsid w:val="005F1DA4"/>
    <w:rsid w:val="005F1EA8"/>
    <w:rsid w:val="005F21D0"/>
    <w:rsid w:val="005F24FC"/>
    <w:rsid w:val="005F2A24"/>
    <w:rsid w:val="005F32EE"/>
    <w:rsid w:val="005F3D0F"/>
    <w:rsid w:val="005F4C98"/>
    <w:rsid w:val="005F5842"/>
    <w:rsid w:val="005F5996"/>
    <w:rsid w:val="006007C7"/>
    <w:rsid w:val="006024C0"/>
    <w:rsid w:val="00602856"/>
    <w:rsid w:val="00603EAB"/>
    <w:rsid w:val="006040DB"/>
    <w:rsid w:val="006048F3"/>
    <w:rsid w:val="00605D29"/>
    <w:rsid w:val="00605E76"/>
    <w:rsid w:val="00606241"/>
    <w:rsid w:val="006070C1"/>
    <w:rsid w:val="00607630"/>
    <w:rsid w:val="00607699"/>
    <w:rsid w:val="006076E5"/>
    <w:rsid w:val="0060773B"/>
    <w:rsid w:val="00611556"/>
    <w:rsid w:val="0061163E"/>
    <w:rsid w:val="00611931"/>
    <w:rsid w:val="00611F55"/>
    <w:rsid w:val="006128F2"/>
    <w:rsid w:val="0061291A"/>
    <w:rsid w:val="00612951"/>
    <w:rsid w:val="00612C22"/>
    <w:rsid w:val="00612CB2"/>
    <w:rsid w:val="00613B9B"/>
    <w:rsid w:val="006142B3"/>
    <w:rsid w:val="006151D5"/>
    <w:rsid w:val="00615331"/>
    <w:rsid w:val="0061542D"/>
    <w:rsid w:val="00616ED8"/>
    <w:rsid w:val="00617546"/>
    <w:rsid w:val="00620E0E"/>
    <w:rsid w:val="0062133A"/>
    <w:rsid w:val="0062281F"/>
    <w:rsid w:val="006242D9"/>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5601"/>
    <w:rsid w:val="006663E9"/>
    <w:rsid w:val="006708BD"/>
    <w:rsid w:val="00671611"/>
    <w:rsid w:val="00671909"/>
    <w:rsid w:val="00671BE5"/>
    <w:rsid w:val="006722C6"/>
    <w:rsid w:val="00672BAA"/>
    <w:rsid w:val="00672D03"/>
    <w:rsid w:val="0067318B"/>
    <w:rsid w:val="00674CC0"/>
    <w:rsid w:val="00675F67"/>
    <w:rsid w:val="006767B2"/>
    <w:rsid w:val="00681579"/>
    <w:rsid w:val="006817AD"/>
    <w:rsid w:val="00682463"/>
    <w:rsid w:val="00682541"/>
    <w:rsid w:val="006831B1"/>
    <w:rsid w:val="00684D03"/>
    <w:rsid w:val="00684DD1"/>
    <w:rsid w:val="00685EED"/>
    <w:rsid w:val="00685F37"/>
    <w:rsid w:val="0068618F"/>
    <w:rsid w:val="006863F5"/>
    <w:rsid w:val="00686824"/>
    <w:rsid w:val="00686C62"/>
    <w:rsid w:val="00686D21"/>
    <w:rsid w:val="00686EFD"/>
    <w:rsid w:val="006914A0"/>
    <w:rsid w:val="00692607"/>
    <w:rsid w:val="006929A5"/>
    <w:rsid w:val="00694CF3"/>
    <w:rsid w:val="006953A2"/>
    <w:rsid w:val="006959A4"/>
    <w:rsid w:val="00695AB7"/>
    <w:rsid w:val="006A1391"/>
    <w:rsid w:val="006A1E15"/>
    <w:rsid w:val="006A2848"/>
    <w:rsid w:val="006A3437"/>
    <w:rsid w:val="006A43AD"/>
    <w:rsid w:val="006A440C"/>
    <w:rsid w:val="006A469B"/>
    <w:rsid w:val="006A4B4F"/>
    <w:rsid w:val="006A6C24"/>
    <w:rsid w:val="006A7051"/>
    <w:rsid w:val="006A74DB"/>
    <w:rsid w:val="006A7D5E"/>
    <w:rsid w:val="006B163E"/>
    <w:rsid w:val="006B18B1"/>
    <w:rsid w:val="006B1FDB"/>
    <w:rsid w:val="006B23AB"/>
    <w:rsid w:val="006B2723"/>
    <w:rsid w:val="006B28B3"/>
    <w:rsid w:val="006B2B83"/>
    <w:rsid w:val="006B2BE9"/>
    <w:rsid w:val="006B39EA"/>
    <w:rsid w:val="006B4A75"/>
    <w:rsid w:val="006B4D79"/>
    <w:rsid w:val="006B66D3"/>
    <w:rsid w:val="006B694D"/>
    <w:rsid w:val="006B777A"/>
    <w:rsid w:val="006B78A5"/>
    <w:rsid w:val="006B78D6"/>
    <w:rsid w:val="006B7A7B"/>
    <w:rsid w:val="006C04DE"/>
    <w:rsid w:val="006C0FFE"/>
    <w:rsid w:val="006C27D2"/>
    <w:rsid w:val="006C440A"/>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6DDC"/>
    <w:rsid w:val="006D7AEB"/>
    <w:rsid w:val="006E00BB"/>
    <w:rsid w:val="006E02FD"/>
    <w:rsid w:val="006E0FB2"/>
    <w:rsid w:val="006E1629"/>
    <w:rsid w:val="006E1BE7"/>
    <w:rsid w:val="006E1CA1"/>
    <w:rsid w:val="006E1D8C"/>
    <w:rsid w:val="006E1F6B"/>
    <w:rsid w:val="006E2121"/>
    <w:rsid w:val="006E239F"/>
    <w:rsid w:val="006E3F98"/>
    <w:rsid w:val="006E4DA4"/>
    <w:rsid w:val="006E52A1"/>
    <w:rsid w:val="006E52DE"/>
    <w:rsid w:val="006E5C60"/>
    <w:rsid w:val="006E5D98"/>
    <w:rsid w:val="006F2B62"/>
    <w:rsid w:val="006F35F9"/>
    <w:rsid w:val="006F5BDE"/>
    <w:rsid w:val="006F6340"/>
    <w:rsid w:val="006F69F8"/>
    <w:rsid w:val="006F74C4"/>
    <w:rsid w:val="006F755E"/>
    <w:rsid w:val="006F783D"/>
    <w:rsid w:val="007002F8"/>
    <w:rsid w:val="00700323"/>
    <w:rsid w:val="007006B7"/>
    <w:rsid w:val="007018E3"/>
    <w:rsid w:val="00701E17"/>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5152"/>
    <w:rsid w:val="007156B4"/>
    <w:rsid w:val="007156C3"/>
    <w:rsid w:val="00715D6D"/>
    <w:rsid w:val="00717D8E"/>
    <w:rsid w:val="00717DD3"/>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2A1D"/>
    <w:rsid w:val="007332CC"/>
    <w:rsid w:val="00734316"/>
    <w:rsid w:val="00734B4A"/>
    <w:rsid w:val="00734E5C"/>
    <w:rsid w:val="0073516F"/>
    <w:rsid w:val="00735700"/>
    <w:rsid w:val="007358BA"/>
    <w:rsid w:val="007361EE"/>
    <w:rsid w:val="00741308"/>
    <w:rsid w:val="00741CC3"/>
    <w:rsid w:val="00741E2F"/>
    <w:rsid w:val="00741E43"/>
    <w:rsid w:val="00742897"/>
    <w:rsid w:val="00742A30"/>
    <w:rsid w:val="00742CAC"/>
    <w:rsid w:val="00742CD8"/>
    <w:rsid w:val="0074340B"/>
    <w:rsid w:val="00743A51"/>
    <w:rsid w:val="00744366"/>
    <w:rsid w:val="0074581D"/>
    <w:rsid w:val="00745D07"/>
    <w:rsid w:val="00745D16"/>
    <w:rsid w:val="00745F85"/>
    <w:rsid w:val="007466AE"/>
    <w:rsid w:val="00746A4F"/>
    <w:rsid w:val="0074791F"/>
    <w:rsid w:val="0074799E"/>
    <w:rsid w:val="00750327"/>
    <w:rsid w:val="00750699"/>
    <w:rsid w:val="00750BD6"/>
    <w:rsid w:val="00750E8A"/>
    <w:rsid w:val="00751002"/>
    <w:rsid w:val="00751149"/>
    <w:rsid w:val="00751813"/>
    <w:rsid w:val="00751CE5"/>
    <w:rsid w:val="00751DF0"/>
    <w:rsid w:val="00752D1B"/>
    <w:rsid w:val="00752E31"/>
    <w:rsid w:val="00754422"/>
    <w:rsid w:val="0075479A"/>
    <w:rsid w:val="007566DA"/>
    <w:rsid w:val="00756C31"/>
    <w:rsid w:val="00757522"/>
    <w:rsid w:val="0075759E"/>
    <w:rsid w:val="00757DDB"/>
    <w:rsid w:val="007601A2"/>
    <w:rsid w:val="00760C27"/>
    <w:rsid w:val="00761602"/>
    <w:rsid w:val="00761A35"/>
    <w:rsid w:val="00762719"/>
    <w:rsid w:val="007638B7"/>
    <w:rsid w:val="00763B35"/>
    <w:rsid w:val="00763BD5"/>
    <w:rsid w:val="007645E7"/>
    <w:rsid w:val="007649B9"/>
    <w:rsid w:val="00764AA9"/>
    <w:rsid w:val="0076596C"/>
    <w:rsid w:val="00765C59"/>
    <w:rsid w:val="00766E99"/>
    <w:rsid w:val="0076722D"/>
    <w:rsid w:val="00767BAF"/>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5DC9"/>
    <w:rsid w:val="00776618"/>
    <w:rsid w:val="00777B6E"/>
    <w:rsid w:val="00780154"/>
    <w:rsid w:val="00780DBB"/>
    <w:rsid w:val="0078351A"/>
    <w:rsid w:val="007835CD"/>
    <w:rsid w:val="00784146"/>
    <w:rsid w:val="00785624"/>
    <w:rsid w:val="0078597C"/>
    <w:rsid w:val="00785D28"/>
    <w:rsid w:val="00785D67"/>
    <w:rsid w:val="00785E4A"/>
    <w:rsid w:val="0078722E"/>
    <w:rsid w:val="00787B55"/>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CB"/>
    <w:rsid w:val="007A3F24"/>
    <w:rsid w:val="007A5039"/>
    <w:rsid w:val="007A53E8"/>
    <w:rsid w:val="007A56AA"/>
    <w:rsid w:val="007A6324"/>
    <w:rsid w:val="007A71E2"/>
    <w:rsid w:val="007A77AB"/>
    <w:rsid w:val="007B0A78"/>
    <w:rsid w:val="007B1166"/>
    <w:rsid w:val="007B1399"/>
    <w:rsid w:val="007B1783"/>
    <w:rsid w:val="007B2578"/>
    <w:rsid w:val="007B2C50"/>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3AE1"/>
    <w:rsid w:val="007D3C16"/>
    <w:rsid w:val="007D4D34"/>
    <w:rsid w:val="007D539D"/>
    <w:rsid w:val="007D7D7C"/>
    <w:rsid w:val="007E04AD"/>
    <w:rsid w:val="007E08B9"/>
    <w:rsid w:val="007E20A0"/>
    <w:rsid w:val="007E2E6A"/>
    <w:rsid w:val="007E329C"/>
    <w:rsid w:val="007E32D5"/>
    <w:rsid w:val="007E379C"/>
    <w:rsid w:val="007E453E"/>
    <w:rsid w:val="007E4ECC"/>
    <w:rsid w:val="007E6420"/>
    <w:rsid w:val="007E7651"/>
    <w:rsid w:val="007E7724"/>
    <w:rsid w:val="007E7770"/>
    <w:rsid w:val="007E7879"/>
    <w:rsid w:val="007E7A56"/>
    <w:rsid w:val="007F107E"/>
    <w:rsid w:val="007F16A4"/>
    <w:rsid w:val="007F3EC5"/>
    <w:rsid w:val="007F48F0"/>
    <w:rsid w:val="007F4A49"/>
    <w:rsid w:val="007F56AC"/>
    <w:rsid w:val="007F59E9"/>
    <w:rsid w:val="007F653F"/>
    <w:rsid w:val="007F76DC"/>
    <w:rsid w:val="007F7DF8"/>
    <w:rsid w:val="007F7F29"/>
    <w:rsid w:val="0080008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12B"/>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338C"/>
    <w:rsid w:val="008245F8"/>
    <w:rsid w:val="00824AF4"/>
    <w:rsid w:val="00824DD7"/>
    <w:rsid w:val="0082537E"/>
    <w:rsid w:val="008257CD"/>
    <w:rsid w:val="00826992"/>
    <w:rsid w:val="00826B1E"/>
    <w:rsid w:val="00826B61"/>
    <w:rsid w:val="00826EA4"/>
    <w:rsid w:val="0082776C"/>
    <w:rsid w:val="00827DE9"/>
    <w:rsid w:val="0083048B"/>
    <w:rsid w:val="00830574"/>
    <w:rsid w:val="0083063E"/>
    <w:rsid w:val="00830C9F"/>
    <w:rsid w:val="008317AA"/>
    <w:rsid w:val="00831B4B"/>
    <w:rsid w:val="00832239"/>
    <w:rsid w:val="0083227C"/>
    <w:rsid w:val="00832946"/>
    <w:rsid w:val="0083310D"/>
    <w:rsid w:val="008331A0"/>
    <w:rsid w:val="00833ABE"/>
    <w:rsid w:val="00834974"/>
    <w:rsid w:val="008359A9"/>
    <w:rsid w:val="00836504"/>
    <w:rsid w:val="00837557"/>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71D"/>
    <w:rsid w:val="00855FAA"/>
    <w:rsid w:val="00856655"/>
    <w:rsid w:val="0085676C"/>
    <w:rsid w:val="008569B3"/>
    <w:rsid w:val="00856DC0"/>
    <w:rsid w:val="008573DE"/>
    <w:rsid w:val="0085763A"/>
    <w:rsid w:val="00860452"/>
    <w:rsid w:val="0086137E"/>
    <w:rsid w:val="0086180C"/>
    <w:rsid w:val="00861CE0"/>
    <w:rsid w:val="00861DA0"/>
    <w:rsid w:val="00861E4B"/>
    <w:rsid w:val="00863D9B"/>
    <w:rsid w:val="008641C6"/>
    <w:rsid w:val="0086434E"/>
    <w:rsid w:val="00864989"/>
    <w:rsid w:val="00864AD8"/>
    <w:rsid w:val="00867476"/>
    <w:rsid w:val="0087002E"/>
    <w:rsid w:val="0087152A"/>
    <w:rsid w:val="00871606"/>
    <w:rsid w:val="008724FF"/>
    <w:rsid w:val="008727C7"/>
    <w:rsid w:val="00873168"/>
    <w:rsid w:val="0087460F"/>
    <w:rsid w:val="0087489A"/>
    <w:rsid w:val="00875319"/>
    <w:rsid w:val="00875714"/>
    <w:rsid w:val="008764D9"/>
    <w:rsid w:val="00876719"/>
    <w:rsid w:val="008772F6"/>
    <w:rsid w:val="00877BF0"/>
    <w:rsid w:val="008815D2"/>
    <w:rsid w:val="00883CCC"/>
    <w:rsid w:val="00884722"/>
    <w:rsid w:val="00884B0C"/>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EEF"/>
    <w:rsid w:val="00893934"/>
    <w:rsid w:val="00893F2D"/>
    <w:rsid w:val="00894487"/>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FFC"/>
    <w:rsid w:val="008B08B0"/>
    <w:rsid w:val="008B0A8B"/>
    <w:rsid w:val="008B0AD6"/>
    <w:rsid w:val="008B13A0"/>
    <w:rsid w:val="008B13F7"/>
    <w:rsid w:val="008B15A4"/>
    <w:rsid w:val="008B1B30"/>
    <w:rsid w:val="008B1F37"/>
    <w:rsid w:val="008B4440"/>
    <w:rsid w:val="008B5CD1"/>
    <w:rsid w:val="008B6497"/>
    <w:rsid w:val="008B6EF1"/>
    <w:rsid w:val="008B72D1"/>
    <w:rsid w:val="008C0CCB"/>
    <w:rsid w:val="008C1568"/>
    <w:rsid w:val="008C20E8"/>
    <w:rsid w:val="008C32A1"/>
    <w:rsid w:val="008C3D8A"/>
    <w:rsid w:val="008C6595"/>
    <w:rsid w:val="008C6B25"/>
    <w:rsid w:val="008C7197"/>
    <w:rsid w:val="008C7A7E"/>
    <w:rsid w:val="008D23F0"/>
    <w:rsid w:val="008D2CB8"/>
    <w:rsid w:val="008D3077"/>
    <w:rsid w:val="008D374C"/>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5571"/>
    <w:rsid w:val="008E57DE"/>
    <w:rsid w:val="008E703A"/>
    <w:rsid w:val="008E7DBB"/>
    <w:rsid w:val="008F0982"/>
    <w:rsid w:val="008F1052"/>
    <w:rsid w:val="008F1181"/>
    <w:rsid w:val="008F1881"/>
    <w:rsid w:val="008F18C0"/>
    <w:rsid w:val="008F1BAB"/>
    <w:rsid w:val="008F3E69"/>
    <w:rsid w:val="008F43F8"/>
    <w:rsid w:val="008F4B45"/>
    <w:rsid w:val="008F646C"/>
    <w:rsid w:val="008F6EFE"/>
    <w:rsid w:val="008F76FC"/>
    <w:rsid w:val="008F7A9D"/>
    <w:rsid w:val="00900053"/>
    <w:rsid w:val="0090040D"/>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775"/>
    <w:rsid w:val="00923BFD"/>
    <w:rsid w:val="0093108A"/>
    <w:rsid w:val="009310B0"/>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21EE"/>
    <w:rsid w:val="009528A3"/>
    <w:rsid w:val="0095331E"/>
    <w:rsid w:val="009534C6"/>
    <w:rsid w:val="00953B97"/>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17AC"/>
    <w:rsid w:val="00962B1E"/>
    <w:rsid w:val="00962C57"/>
    <w:rsid w:val="00962F29"/>
    <w:rsid w:val="00963789"/>
    <w:rsid w:val="00963973"/>
    <w:rsid w:val="00964BA6"/>
    <w:rsid w:val="00964E70"/>
    <w:rsid w:val="00966189"/>
    <w:rsid w:val="009673ED"/>
    <w:rsid w:val="00967519"/>
    <w:rsid w:val="00967E42"/>
    <w:rsid w:val="009702C9"/>
    <w:rsid w:val="00970D98"/>
    <w:rsid w:val="00971121"/>
    <w:rsid w:val="0097225F"/>
    <w:rsid w:val="009726CE"/>
    <w:rsid w:val="009728B5"/>
    <w:rsid w:val="009730C3"/>
    <w:rsid w:val="00973D15"/>
    <w:rsid w:val="00973DAD"/>
    <w:rsid w:val="009746D8"/>
    <w:rsid w:val="00975931"/>
    <w:rsid w:val="00975EDA"/>
    <w:rsid w:val="009770D8"/>
    <w:rsid w:val="009771C4"/>
    <w:rsid w:val="00980032"/>
    <w:rsid w:val="00980F05"/>
    <w:rsid w:val="0098104B"/>
    <w:rsid w:val="009817C6"/>
    <w:rsid w:val="009820FF"/>
    <w:rsid w:val="00982DFB"/>
    <w:rsid w:val="00984D10"/>
    <w:rsid w:val="00985585"/>
    <w:rsid w:val="00986233"/>
    <w:rsid w:val="0098707E"/>
    <w:rsid w:val="0099007A"/>
    <w:rsid w:val="00991079"/>
    <w:rsid w:val="00991323"/>
    <w:rsid w:val="00991DF7"/>
    <w:rsid w:val="00994049"/>
    <w:rsid w:val="00994E50"/>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13A"/>
    <w:rsid w:val="009B277E"/>
    <w:rsid w:val="009B29C5"/>
    <w:rsid w:val="009B2A04"/>
    <w:rsid w:val="009B3822"/>
    <w:rsid w:val="009B4219"/>
    <w:rsid w:val="009B47E2"/>
    <w:rsid w:val="009B4B1E"/>
    <w:rsid w:val="009B71C0"/>
    <w:rsid w:val="009B753D"/>
    <w:rsid w:val="009B77AE"/>
    <w:rsid w:val="009C05BF"/>
    <w:rsid w:val="009C06B4"/>
    <w:rsid w:val="009C0AC0"/>
    <w:rsid w:val="009C11A5"/>
    <w:rsid w:val="009C24B5"/>
    <w:rsid w:val="009C2967"/>
    <w:rsid w:val="009C33DF"/>
    <w:rsid w:val="009C3939"/>
    <w:rsid w:val="009C3A96"/>
    <w:rsid w:val="009C3FA7"/>
    <w:rsid w:val="009C5AF7"/>
    <w:rsid w:val="009C5B7A"/>
    <w:rsid w:val="009C7880"/>
    <w:rsid w:val="009C7909"/>
    <w:rsid w:val="009C7B50"/>
    <w:rsid w:val="009D147A"/>
    <w:rsid w:val="009D1A68"/>
    <w:rsid w:val="009D27A4"/>
    <w:rsid w:val="009D3E59"/>
    <w:rsid w:val="009D5280"/>
    <w:rsid w:val="009D6542"/>
    <w:rsid w:val="009D68A9"/>
    <w:rsid w:val="009D72A1"/>
    <w:rsid w:val="009E03FF"/>
    <w:rsid w:val="009E0939"/>
    <w:rsid w:val="009E0971"/>
    <w:rsid w:val="009E179C"/>
    <w:rsid w:val="009E2899"/>
    <w:rsid w:val="009E2C50"/>
    <w:rsid w:val="009E3612"/>
    <w:rsid w:val="009E3E93"/>
    <w:rsid w:val="009E5D02"/>
    <w:rsid w:val="009E60D1"/>
    <w:rsid w:val="009E6652"/>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03C9"/>
    <w:rsid w:val="00A0047F"/>
    <w:rsid w:val="00A0064B"/>
    <w:rsid w:val="00A0135E"/>
    <w:rsid w:val="00A02DDF"/>
    <w:rsid w:val="00A0495C"/>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AF8"/>
    <w:rsid w:val="00A16F43"/>
    <w:rsid w:val="00A17496"/>
    <w:rsid w:val="00A20975"/>
    <w:rsid w:val="00A21956"/>
    <w:rsid w:val="00A22D67"/>
    <w:rsid w:val="00A23616"/>
    <w:rsid w:val="00A24189"/>
    <w:rsid w:val="00A24A64"/>
    <w:rsid w:val="00A24C1C"/>
    <w:rsid w:val="00A25CB5"/>
    <w:rsid w:val="00A26C7F"/>
    <w:rsid w:val="00A272BE"/>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A06"/>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7BBA"/>
    <w:rsid w:val="00A60021"/>
    <w:rsid w:val="00A6016A"/>
    <w:rsid w:val="00A60B4E"/>
    <w:rsid w:val="00A60E17"/>
    <w:rsid w:val="00A623F0"/>
    <w:rsid w:val="00A624B7"/>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C47"/>
    <w:rsid w:val="00A90EAC"/>
    <w:rsid w:val="00A914F9"/>
    <w:rsid w:val="00A924AA"/>
    <w:rsid w:val="00A92C7A"/>
    <w:rsid w:val="00A92DF2"/>
    <w:rsid w:val="00A92EF8"/>
    <w:rsid w:val="00A93471"/>
    <w:rsid w:val="00A9356F"/>
    <w:rsid w:val="00A93678"/>
    <w:rsid w:val="00A939B8"/>
    <w:rsid w:val="00A93DFC"/>
    <w:rsid w:val="00A94D9C"/>
    <w:rsid w:val="00A954D4"/>
    <w:rsid w:val="00A966E2"/>
    <w:rsid w:val="00A96C58"/>
    <w:rsid w:val="00AA02AE"/>
    <w:rsid w:val="00AA0614"/>
    <w:rsid w:val="00AA1C21"/>
    <w:rsid w:val="00AA21EF"/>
    <w:rsid w:val="00AA3363"/>
    <w:rsid w:val="00AA46AC"/>
    <w:rsid w:val="00AA4847"/>
    <w:rsid w:val="00AA50E9"/>
    <w:rsid w:val="00AB1878"/>
    <w:rsid w:val="00AB1E21"/>
    <w:rsid w:val="00AB1E30"/>
    <w:rsid w:val="00AB2477"/>
    <w:rsid w:val="00AB24A1"/>
    <w:rsid w:val="00AB3BEC"/>
    <w:rsid w:val="00AB48F7"/>
    <w:rsid w:val="00AB56F0"/>
    <w:rsid w:val="00AB5DBD"/>
    <w:rsid w:val="00AB78D6"/>
    <w:rsid w:val="00AC0FC3"/>
    <w:rsid w:val="00AC1537"/>
    <w:rsid w:val="00AC1812"/>
    <w:rsid w:val="00AC2572"/>
    <w:rsid w:val="00AC34C4"/>
    <w:rsid w:val="00AC372E"/>
    <w:rsid w:val="00AC3F0F"/>
    <w:rsid w:val="00AC3FC8"/>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B56"/>
    <w:rsid w:val="00B0677C"/>
    <w:rsid w:val="00B10DD0"/>
    <w:rsid w:val="00B1134D"/>
    <w:rsid w:val="00B114A3"/>
    <w:rsid w:val="00B116FB"/>
    <w:rsid w:val="00B11A1F"/>
    <w:rsid w:val="00B11A76"/>
    <w:rsid w:val="00B12AC6"/>
    <w:rsid w:val="00B1402E"/>
    <w:rsid w:val="00B1415E"/>
    <w:rsid w:val="00B15724"/>
    <w:rsid w:val="00B162F5"/>
    <w:rsid w:val="00B17407"/>
    <w:rsid w:val="00B1766E"/>
    <w:rsid w:val="00B1798F"/>
    <w:rsid w:val="00B20422"/>
    <w:rsid w:val="00B204F7"/>
    <w:rsid w:val="00B21F90"/>
    <w:rsid w:val="00B22AA3"/>
    <w:rsid w:val="00B239FA"/>
    <w:rsid w:val="00B24080"/>
    <w:rsid w:val="00B24F62"/>
    <w:rsid w:val="00B26253"/>
    <w:rsid w:val="00B26991"/>
    <w:rsid w:val="00B27098"/>
    <w:rsid w:val="00B2716F"/>
    <w:rsid w:val="00B279EC"/>
    <w:rsid w:val="00B27DA3"/>
    <w:rsid w:val="00B319C9"/>
    <w:rsid w:val="00B322F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3809"/>
    <w:rsid w:val="00B43AC8"/>
    <w:rsid w:val="00B4571F"/>
    <w:rsid w:val="00B45720"/>
    <w:rsid w:val="00B45CC1"/>
    <w:rsid w:val="00B4602F"/>
    <w:rsid w:val="00B460C2"/>
    <w:rsid w:val="00B46E5D"/>
    <w:rsid w:val="00B5061B"/>
    <w:rsid w:val="00B51848"/>
    <w:rsid w:val="00B51928"/>
    <w:rsid w:val="00B52010"/>
    <w:rsid w:val="00B520AB"/>
    <w:rsid w:val="00B520EA"/>
    <w:rsid w:val="00B53784"/>
    <w:rsid w:val="00B537AD"/>
    <w:rsid w:val="00B5388C"/>
    <w:rsid w:val="00B539CC"/>
    <w:rsid w:val="00B54FE4"/>
    <w:rsid w:val="00B56BD5"/>
    <w:rsid w:val="00B57004"/>
    <w:rsid w:val="00B5703B"/>
    <w:rsid w:val="00B5773A"/>
    <w:rsid w:val="00B60AB0"/>
    <w:rsid w:val="00B60C22"/>
    <w:rsid w:val="00B6256F"/>
    <w:rsid w:val="00B6343B"/>
    <w:rsid w:val="00B63566"/>
    <w:rsid w:val="00B63CBD"/>
    <w:rsid w:val="00B64B07"/>
    <w:rsid w:val="00B651EF"/>
    <w:rsid w:val="00B65DB7"/>
    <w:rsid w:val="00B6612C"/>
    <w:rsid w:val="00B66E96"/>
    <w:rsid w:val="00B67EDE"/>
    <w:rsid w:val="00B67F83"/>
    <w:rsid w:val="00B70E93"/>
    <w:rsid w:val="00B7152D"/>
    <w:rsid w:val="00B71EA4"/>
    <w:rsid w:val="00B72481"/>
    <w:rsid w:val="00B72A3C"/>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60F4"/>
    <w:rsid w:val="00B86444"/>
    <w:rsid w:val="00B8667A"/>
    <w:rsid w:val="00B8772A"/>
    <w:rsid w:val="00B878E1"/>
    <w:rsid w:val="00B904A0"/>
    <w:rsid w:val="00B90535"/>
    <w:rsid w:val="00B90956"/>
    <w:rsid w:val="00B90BCA"/>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272"/>
    <w:rsid w:val="00BB0381"/>
    <w:rsid w:val="00BB176F"/>
    <w:rsid w:val="00BB20D7"/>
    <w:rsid w:val="00BB225F"/>
    <w:rsid w:val="00BB27A6"/>
    <w:rsid w:val="00BB2839"/>
    <w:rsid w:val="00BB31CE"/>
    <w:rsid w:val="00BB5464"/>
    <w:rsid w:val="00BB5E32"/>
    <w:rsid w:val="00BC0188"/>
    <w:rsid w:val="00BC01B1"/>
    <w:rsid w:val="00BC08CA"/>
    <w:rsid w:val="00BC0A7A"/>
    <w:rsid w:val="00BC179D"/>
    <w:rsid w:val="00BC1B57"/>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838"/>
    <w:rsid w:val="00BF0AFB"/>
    <w:rsid w:val="00BF0EA0"/>
    <w:rsid w:val="00BF135E"/>
    <w:rsid w:val="00BF14A4"/>
    <w:rsid w:val="00BF259B"/>
    <w:rsid w:val="00BF30A4"/>
    <w:rsid w:val="00BF3262"/>
    <w:rsid w:val="00BF3467"/>
    <w:rsid w:val="00BF36FE"/>
    <w:rsid w:val="00BF421F"/>
    <w:rsid w:val="00BF4BC9"/>
    <w:rsid w:val="00BF4FA3"/>
    <w:rsid w:val="00BF513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623"/>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FAA"/>
    <w:rsid w:val="00C27009"/>
    <w:rsid w:val="00C277EE"/>
    <w:rsid w:val="00C27B38"/>
    <w:rsid w:val="00C27E7E"/>
    <w:rsid w:val="00C27EAA"/>
    <w:rsid w:val="00C304B8"/>
    <w:rsid w:val="00C3066F"/>
    <w:rsid w:val="00C30E34"/>
    <w:rsid w:val="00C31D06"/>
    <w:rsid w:val="00C32027"/>
    <w:rsid w:val="00C32369"/>
    <w:rsid w:val="00C32BD8"/>
    <w:rsid w:val="00C33308"/>
    <w:rsid w:val="00C35005"/>
    <w:rsid w:val="00C350BE"/>
    <w:rsid w:val="00C35368"/>
    <w:rsid w:val="00C355AB"/>
    <w:rsid w:val="00C35F3E"/>
    <w:rsid w:val="00C36324"/>
    <w:rsid w:val="00C3776D"/>
    <w:rsid w:val="00C37F8F"/>
    <w:rsid w:val="00C403F5"/>
    <w:rsid w:val="00C40480"/>
    <w:rsid w:val="00C40D6B"/>
    <w:rsid w:val="00C4117F"/>
    <w:rsid w:val="00C41422"/>
    <w:rsid w:val="00C41B10"/>
    <w:rsid w:val="00C424F7"/>
    <w:rsid w:val="00C43AE2"/>
    <w:rsid w:val="00C43EDB"/>
    <w:rsid w:val="00C44DF0"/>
    <w:rsid w:val="00C45865"/>
    <w:rsid w:val="00C46D3F"/>
    <w:rsid w:val="00C47558"/>
    <w:rsid w:val="00C50600"/>
    <w:rsid w:val="00C50DAB"/>
    <w:rsid w:val="00C5204D"/>
    <w:rsid w:val="00C520C4"/>
    <w:rsid w:val="00C54080"/>
    <w:rsid w:val="00C560C0"/>
    <w:rsid w:val="00C56268"/>
    <w:rsid w:val="00C56317"/>
    <w:rsid w:val="00C56D97"/>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25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82F"/>
    <w:rsid w:val="00C86C52"/>
    <w:rsid w:val="00C878C5"/>
    <w:rsid w:val="00C909E2"/>
    <w:rsid w:val="00C90EA7"/>
    <w:rsid w:val="00C92532"/>
    <w:rsid w:val="00C92E08"/>
    <w:rsid w:val="00C9329A"/>
    <w:rsid w:val="00C93473"/>
    <w:rsid w:val="00C93521"/>
    <w:rsid w:val="00C946DB"/>
    <w:rsid w:val="00C94D39"/>
    <w:rsid w:val="00C95A4B"/>
    <w:rsid w:val="00C967D7"/>
    <w:rsid w:val="00C96802"/>
    <w:rsid w:val="00C97532"/>
    <w:rsid w:val="00CA0045"/>
    <w:rsid w:val="00CA0129"/>
    <w:rsid w:val="00CA048C"/>
    <w:rsid w:val="00CA075A"/>
    <w:rsid w:val="00CA0CBD"/>
    <w:rsid w:val="00CA2860"/>
    <w:rsid w:val="00CA2E74"/>
    <w:rsid w:val="00CA309C"/>
    <w:rsid w:val="00CA332D"/>
    <w:rsid w:val="00CA3904"/>
    <w:rsid w:val="00CA3AD3"/>
    <w:rsid w:val="00CA41AB"/>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55EE"/>
    <w:rsid w:val="00CB632B"/>
    <w:rsid w:val="00CB6881"/>
    <w:rsid w:val="00CB6E4D"/>
    <w:rsid w:val="00CB7600"/>
    <w:rsid w:val="00CB7AB2"/>
    <w:rsid w:val="00CB7EFB"/>
    <w:rsid w:val="00CC07ED"/>
    <w:rsid w:val="00CC1F4D"/>
    <w:rsid w:val="00CC34F1"/>
    <w:rsid w:val="00CC4578"/>
    <w:rsid w:val="00CC53D9"/>
    <w:rsid w:val="00CC564D"/>
    <w:rsid w:val="00CC5A21"/>
    <w:rsid w:val="00CC689E"/>
    <w:rsid w:val="00CC6928"/>
    <w:rsid w:val="00CC6DCA"/>
    <w:rsid w:val="00CC75AE"/>
    <w:rsid w:val="00CC7883"/>
    <w:rsid w:val="00CC7AED"/>
    <w:rsid w:val="00CD1A02"/>
    <w:rsid w:val="00CD2861"/>
    <w:rsid w:val="00CD2DE3"/>
    <w:rsid w:val="00CD330C"/>
    <w:rsid w:val="00CD3555"/>
    <w:rsid w:val="00CD3E5E"/>
    <w:rsid w:val="00CD3F1F"/>
    <w:rsid w:val="00CD3F5B"/>
    <w:rsid w:val="00CD427E"/>
    <w:rsid w:val="00CD6B84"/>
    <w:rsid w:val="00CE03C5"/>
    <w:rsid w:val="00CE0886"/>
    <w:rsid w:val="00CE1623"/>
    <w:rsid w:val="00CE2BA6"/>
    <w:rsid w:val="00CE2BEE"/>
    <w:rsid w:val="00CE3A53"/>
    <w:rsid w:val="00CE421B"/>
    <w:rsid w:val="00CE436F"/>
    <w:rsid w:val="00CE45B4"/>
    <w:rsid w:val="00CE4BCC"/>
    <w:rsid w:val="00CE4F06"/>
    <w:rsid w:val="00CE5D63"/>
    <w:rsid w:val="00CE5E89"/>
    <w:rsid w:val="00CE6A94"/>
    <w:rsid w:val="00CE71E4"/>
    <w:rsid w:val="00CE7D41"/>
    <w:rsid w:val="00CF067D"/>
    <w:rsid w:val="00CF122F"/>
    <w:rsid w:val="00CF1824"/>
    <w:rsid w:val="00CF2197"/>
    <w:rsid w:val="00CF41F4"/>
    <w:rsid w:val="00CF4ED3"/>
    <w:rsid w:val="00CF799A"/>
    <w:rsid w:val="00CF7FD0"/>
    <w:rsid w:val="00D0085A"/>
    <w:rsid w:val="00D0183E"/>
    <w:rsid w:val="00D02065"/>
    <w:rsid w:val="00D02138"/>
    <w:rsid w:val="00D023A0"/>
    <w:rsid w:val="00D02BEC"/>
    <w:rsid w:val="00D02EAA"/>
    <w:rsid w:val="00D035B3"/>
    <w:rsid w:val="00D03FA8"/>
    <w:rsid w:val="00D0422B"/>
    <w:rsid w:val="00D04CB4"/>
    <w:rsid w:val="00D04EB4"/>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47C48"/>
    <w:rsid w:val="00D50909"/>
    <w:rsid w:val="00D50A49"/>
    <w:rsid w:val="00D51E44"/>
    <w:rsid w:val="00D51F15"/>
    <w:rsid w:val="00D520E9"/>
    <w:rsid w:val="00D52828"/>
    <w:rsid w:val="00D52857"/>
    <w:rsid w:val="00D52B70"/>
    <w:rsid w:val="00D52C68"/>
    <w:rsid w:val="00D5327A"/>
    <w:rsid w:val="00D539FE"/>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35C"/>
    <w:rsid w:val="00D65BC3"/>
    <w:rsid w:val="00D65EFE"/>
    <w:rsid w:val="00D669E4"/>
    <w:rsid w:val="00D67AB5"/>
    <w:rsid w:val="00D70314"/>
    <w:rsid w:val="00D7135A"/>
    <w:rsid w:val="00D71C80"/>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E66"/>
    <w:rsid w:val="00D84288"/>
    <w:rsid w:val="00D8455A"/>
    <w:rsid w:val="00D84A27"/>
    <w:rsid w:val="00D85633"/>
    <w:rsid w:val="00D86B7F"/>
    <w:rsid w:val="00D86C3E"/>
    <w:rsid w:val="00D86CA6"/>
    <w:rsid w:val="00D8708B"/>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9730D"/>
    <w:rsid w:val="00DA0785"/>
    <w:rsid w:val="00DA124B"/>
    <w:rsid w:val="00DA1914"/>
    <w:rsid w:val="00DA1B2C"/>
    <w:rsid w:val="00DA3FAB"/>
    <w:rsid w:val="00DA7436"/>
    <w:rsid w:val="00DA7A62"/>
    <w:rsid w:val="00DB062B"/>
    <w:rsid w:val="00DB0E0C"/>
    <w:rsid w:val="00DB1C7A"/>
    <w:rsid w:val="00DB1FA5"/>
    <w:rsid w:val="00DB2E16"/>
    <w:rsid w:val="00DB3B45"/>
    <w:rsid w:val="00DB4EC7"/>
    <w:rsid w:val="00DB6583"/>
    <w:rsid w:val="00DB6601"/>
    <w:rsid w:val="00DB7F76"/>
    <w:rsid w:val="00DC012C"/>
    <w:rsid w:val="00DC12E0"/>
    <w:rsid w:val="00DC2C0B"/>
    <w:rsid w:val="00DC2D7F"/>
    <w:rsid w:val="00DC2F99"/>
    <w:rsid w:val="00DC3A9E"/>
    <w:rsid w:val="00DC3DF2"/>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756E"/>
    <w:rsid w:val="00DD7CBA"/>
    <w:rsid w:val="00DE009F"/>
    <w:rsid w:val="00DE03C0"/>
    <w:rsid w:val="00DE0700"/>
    <w:rsid w:val="00DE087B"/>
    <w:rsid w:val="00DE1012"/>
    <w:rsid w:val="00DE1061"/>
    <w:rsid w:val="00DE2331"/>
    <w:rsid w:val="00DE282C"/>
    <w:rsid w:val="00DE2F77"/>
    <w:rsid w:val="00DE2FD1"/>
    <w:rsid w:val="00DE388F"/>
    <w:rsid w:val="00DE3A62"/>
    <w:rsid w:val="00DE403B"/>
    <w:rsid w:val="00DE40D7"/>
    <w:rsid w:val="00DE5067"/>
    <w:rsid w:val="00DE50BA"/>
    <w:rsid w:val="00DE5EA2"/>
    <w:rsid w:val="00DE729C"/>
    <w:rsid w:val="00DE73A1"/>
    <w:rsid w:val="00DF0179"/>
    <w:rsid w:val="00DF04D3"/>
    <w:rsid w:val="00DF0699"/>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11CD"/>
    <w:rsid w:val="00E01792"/>
    <w:rsid w:val="00E022CA"/>
    <w:rsid w:val="00E02580"/>
    <w:rsid w:val="00E02851"/>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6CC"/>
    <w:rsid w:val="00E1281E"/>
    <w:rsid w:val="00E12935"/>
    <w:rsid w:val="00E14159"/>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785B"/>
    <w:rsid w:val="00E309FC"/>
    <w:rsid w:val="00E31AFD"/>
    <w:rsid w:val="00E36B37"/>
    <w:rsid w:val="00E3748E"/>
    <w:rsid w:val="00E408A6"/>
    <w:rsid w:val="00E4104A"/>
    <w:rsid w:val="00E411B6"/>
    <w:rsid w:val="00E414C3"/>
    <w:rsid w:val="00E41631"/>
    <w:rsid w:val="00E41C4B"/>
    <w:rsid w:val="00E4262B"/>
    <w:rsid w:val="00E42D52"/>
    <w:rsid w:val="00E42E0D"/>
    <w:rsid w:val="00E430F3"/>
    <w:rsid w:val="00E43471"/>
    <w:rsid w:val="00E436C9"/>
    <w:rsid w:val="00E43BC8"/>
    <w:rsid w:val="00E46174"/>
    <w:rsid w:val="00E46B5A"/>
    <w:rsid w:val="00E46BA0"/>
    <w:rsid w:val="00E46EB1"/>
    <w:rsid w:val="00E479C0"/>
    <w:rsid w:val="00E47E08"/>
    <w:rsid w:val="00E51518"/>
    <w:rsid w:val="00E5270A"/>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5F6"/>
    <w:rsid w:val="00E64BFF"/>
    <w:rsid w:val="00E65D32"/>
    <w:rsid w:val="00E66800"/>
    <w:rsid w:val="00E672F6"/>
    <w:rsid w:val="00E676C9"/>
    <w:rsid w:val="00E6776F"/>
    <w:rsid w:val="00E678A0"/>
    <w:rsid w:val="00E67E7A"/>
    <w:rsid w:val="00E70258"/>
    <w:rsid w:val="00E7085E"/>
    <w:rsid w:val="00E70915"/>
    <w:rsid w:val="00E715A8"/>
    <w:rsid w:val="00E73878"/>
    <w:rsid w:val="00E73C2C"/>
    <w:rsid w:val="00E745CC"/>
    <w:rsid w:val="00E7620E"/>
    <w:rsid w:val="00E7647E"/>
    <w:rsid w:val="00E773FB"/>
    <w:rsid w:val="00E77FD5"/>
    <w:rsid w:val="00E80B3D"/>
    <w:rsid w:val="00E80D0D"/>
    <w:rsid w:val="00E8255D"/>
    <w:rsid w:val="00E83256"/>
    <w:rsid w:val="00E8425F"/>
    <w:rsid w:val="00E8534F"/>
    <w:rsid w:val="00E85520"/>
    <w:rsid w:val="00E85D39"/>
    <w:rsid w:val="00E85E76"/>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D3D"/>
    <w:rsid w:val="00EA2407"/>
    <w:rsid w:val="00EA2710"/>
    <w:rsid w:val="00EA2B71"/>
    <w:rsid w:val="00EA3301"/>
    <w:rsid w:val="00EA4411"/>
    <w:rsid w:val="00EA44B8"/>
    <w:rsid w:val="00EA58E0"/>
    <w:rsid w:val="00EA5D87"/>
    <w:rsid w:val="00EA631F"/>
    <w:rsid w:val="00EA641C"/>
    <w:rsid w:val="00EA6649"/>
    <w:rsid w:val="00EA6B3F"/>
    <w:rsid w:val="00EA7645"/>
    <w:rsid w:val="00EA7EA9"/>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3215"/>
    <w:rsid w:val="00EE50B7"/>
    <w:rsid w:val="00EE552C"/>
    <w:rsid w:val="00EE588C"/>
    <w:rsid w:val="00EE5D77"/>
    <w:rsid w:val="00EE6568"/>
    <w:rsid w:val="00EE66F9"/>
    <w:rsid w:val="00EE6A58"/>
    <w:rsid w:val="00EE7A1D"/>
    <w:rsid w:val="00EF09CA"/>
    <w:rsid w:val="00EF0E75"/>
    <w:rsid w:val="00EF39C4"/>
    <w:rsid w:val="00EF40BA"/>
    <w:rsid w:val="00EF50FC"/>
    <w:rsid w:val="00EF5831"/>
    <w:rsid w:val="00EF5944"/>
    <w:rsid w:val="00EF6E3B"/>
    <w:rsid w:val="00F005C9"/>
    <w:rsid w:val="00F0250C"/>
    <w:rsid w:val="00F0293A"/>
    <w:rsid w:val="00F02953"/>
    <w:rsid w:val="00F02A19"/>
    <w:rsid w:val="00F03972"/>
    <w:rsid w:val="00F04A96"/>
    <w:rsid w:val="00F06CEB"/>
    <w:rsid w:val="00F072A0"/>
    <w:rsid w:val="00F076F4"/>
    <w:rsid w:val="00F07819"/>
    <w:rsid w:val="00F07DAF"/>
    <w:rsid w:val="00F101C1"/>
    <w:rsid w:val="00F11E21"/>
    <w:rsid w:val="00F12938"/>
    <w:rsid w:val="00F12C05"/>
    <w:rsid w:val="00F140CD"/>
    <w:rsid w:val="00F14F96"/>
    <w:rsid w:val="00F15DA2"/>
    <w:rsid w:val="00F16B2B"/>
    <w:rsid w:val="00F16EDB"/>
    <w:rsid w:val="00F2022D"/>
    <w:rsid w:val="00F205E0"/>
    <w:rsid w:val="00F208DC"/>
    <w:rsid w:val="00F21069"/>
    <w:rsid w:val="00F21717"/>
    <w:rsid w:val="00F21B7C"/>
    <w:rsid w:val="00F21FD1"/>
    <w:rsid w:val="00F22CB3"/>
    <w:rsid w:val="00F23A7B"/>
    <w:rsid w:val="00F24136"/>
    <w:rsid w:val="00F24B42"/>
    <w:rsid w:val="00F24D26"/>
    <w:rsid w:val="00F269FA"/>
    <w:rsid w:val="00F27601"/>
    <w:rsid w:val="00F30509"/>
    <w:rsid w:val="00F31821"/>
    <w:rsid w:val="00F319B9"/>
    <w:rsid w:val="00F31B4D"/>
    <w:rsid w:val="00F32B26"/>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606C"/>
    <w:rsid w:val="00F471BB"/>
    <w:rsid w:val="00F47405"/>
    <w:rsid w:val="00F4762F"/>
    <w:rsid w:val="00F50656"/>
    <w:rsid w:val="00F519B9"/>
    <w:rsid w:val="00F51E28"/>
    <w:rsid w:val="00F51EB5"/>
    <w:rsid w:val="00F52017"/>
    <w:rsid w:val="00F54268"/>
    <w:rsid w:val="00F55E8B"/>
    <w:rsid w:val="00F564F9"/>
    <w:rsid w:val="00F5760C"/>
    <w:rsid w:val="00F576D6"/>
    <w:rsid w:val="00F61FE1"/>
    <w:rsid w:val="00F62295"/>
    <w:rsid w:val="00F624B5"/>
    <w:rsid w:val="00F62FAC"/>
    <w:rsid w:val="00F63A69"/>
    <w:rsid w:val="00F64275"/>
    <w:rsid w:val="00F64C01"/>
    <w:rsid w:val="00F64FFD"/>
    <w:rsid w:val="00F6550E"/>
    <w:rsid w:val="00F6599C"/>
    <w:rsid w:val="00F66A92"/>
    <w:rsid w:val="00F673B9"/>
    <w:rsid w:val="00F675F0"/>
    <w:rsid w:val="00F700FF"/>
    <w:rsid w:val="00F70B93"/>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504F"/>
    <w:rsid w:val="00F85C86"/>
    <w:rsid w:val="00F8622E"/>
    <w:rsid w:val="00F8693B"/>
    <w:rsid w:val="00F8739B"/>
    <w:rsid w:val="00F90B90"/>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0306"/>
    <w:rsid w:val="00FC06A9"/>
    <w:rsid w:val="00FC15FC"/>
    <w:rsid w:val="00FC1A0A"/>
    <w:rsid w:val="00FC1B1D"/>
    <w:rsid w:val="00FC1BD8"/>
    <w:rsid w:val="00FC1E52"/>
    <w:rsid w:val="00FC269D"/>
    <w:rsid w:val="00FC3A7E"/>
    <w:rsid w:val="00FC3BD9"/>
    <w:rsid w:val="00FC3CD5"/>
    <w:rsid w:val="00FC3D95"/>
    <w:rsid w:val="00FC5014"/>
    <w:rsid w:val="00FC59B9"/>
    <w:rsid w:val="00FC6736"/>
    <w:rsid w:val="00FC6C73"/>
    <w:rsid w:val="00FC7219"/>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33F1"/>
    <w:rsid w:val="00FE42CF"/>
    <w:rsid w:val="00FE5946"/>
    <w:rsid w:val="00FE5DFB"/>
    <w:rsid w:val="00FE60DD"/>
    <w:rsid w:val="00FE6609"/>
    <w:rsid w:val="00FE688E"/>
    <w:rsid w:val="00FE6A1F"/>
    <w:rsid w:val="00FE6DBD"/>
    <w:rsid w:val="00FE72C3"/>
    <w:rsid w:val="00FE78ED"/>
    <w:rsid w:val="00FE7C84"/>
    <w:rsid w:val="00FF063C"/>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ors.worldline.com/content/dam/investors-worldline-com/assets/documents/reports/EN-URD-RI-2022-web.pdf"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TotalTime>
  <Pages>3</Pages>
  <Words>986</Words>
  <Characters>5623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4</cp:revision>
  <cp:lastPrinted>2021-08-27T11:21:00Z</cp:lastPrinted>
  <dcterms:created xsi:type="dcterms:W3CDTF">2024-06-06T21:59:00Z</dcterms:created>
  <dcterms:modified xsi:type="dcterms:W3CDTF">2024-06-06T22:01:00Z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