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E80" w:rsidRPr="00EC0BE0" w:rsidRDefault="00597E80" w:rsidP="009638C3">
      <w:pPr>
        <w:jc w:val="center"/>
        <w:rPr>
          <w:rFonts w:cs="Arial"/>
          <w:b/>
          <w:sz w:val="40"/>
          <w:szCs w:val="40"/>
          <w:vertAlign w:val="subscript"/>
        </w:rPr>
      </w:pPr>
    </w:p>
    <w:p w:rsidR="007F72C7" w:rsidRDefault="007F72C7" w:rsidP="009638C3">
      <w:pPr>
        <w:jc w:val="center"/>
        <w:rPr>
          <w:rFonts w:cs="Arial"/>
          <w:b/>
          <w:sz w:val="40"/>
          <w:szCs w:val="40"/>
        </w:rPr>
      </w:pPr>
    </w:p>
    <w:p w:rsidR="005237E8" w:rsidRDefault="005237E8" w:rsidP="009638C3">
      <w:pPr>
        <w:jc w:val="center"/>
        <w:rPr>
          <w:rFonts w:cs="Arial"/>
          <w:b/>
          <w:sz w:val="40"/>
          <w:szCs w:val="40"/>
        </w:rPr>
      </w:pPr>
    </w:p>
    <w:p w:rsidR="005237E8" w:rsidRDefault="005237E8" w:rsidP="009638C3">
      <w:pPr>
        <w:jc w:val="center"/>
        <w:rPr>
          <w:rFonts w:cs="Arial"/>
          <w:b/>
          <w:sz w:val="40"/>
          <w:szCs w:val="40"/>
        </w:rPr>
      </w:pPr>
    </w:p>
    <w:p w:rsidR="005237E8" w:rsidRDefault="005237E8" w:rsidP="009638C3">
      <w:pPr>
        <w:jc w:val="center"/>
        <w:rPr>
          <w:rFonts w:cs="Arial"/>
          <w:b/>
          <w:sz w:val="40"/>
          <w:szCs w:val="40"/>
        </w:rPr>
      </w:pPr>
    </w:p>
    <w:p w:rsidR="001420E5" w:rsidRDefault="001420E5" w:rsidP="009638C3">
      <w:pPr>
        <w:jc w:val="center"/>
        <w:rPr>
          <w:rFonts w:cs="Arial"/>
          <w:b/>
          <w:sz w:val="40"/>
          <w:szCs w:val="40"/>
        </w:rPr>
      </w:pPr>
    </w:p>
    <w:p w:rsidR="005237E8" w:rsidRDefault="005237E8" w:rsidP="009638C3">
      <w:pPr>
        <w:jc w:val="center"/>
        <w:rPr>
          <w:rFonts w:cs="Arial"/>
          <w:b/>
          <w:sz w:val="40"/>
          <w:szCs w:val="40"/>
        </w:rPr>
      </w:pPr>
    </w:p>
    <w:p w:rsidR="005237E8" w:rsidRDefault="005237E8" w:rsidP="009638C3">
      <w:pPr>
        <w:jc w:val="center"/>
        <w:rPr>
          <w:rFonts w:cs="Arial"/>
          <w:b/>
          <w:sz w:val="40"/>
          <w:szCs w:val="40"/>
        </w:rPr>
      </w:pPr>
    </w:p>
    <w:p w:rsidR="005237E8" w:rsidRDefault="005237E8" w:rsidP="009638C3">
      <w:pPr>
        <w:jc w:val="center"/>
        <w:rPr>
          <w:rFonts w:cs="Arial"/>
          <w:b/>
          <w:sz w:val="40"/>
          <w:szCs w:val="40"/>
        </w:rPr>
      </w:pPr>
    </w:p>
    <w:p w:rsidR="009638C3" w:rsidRDefault="00CE4F0E" w:rsidP="009638C3">
      <w:pPr>
        <w:jc w:val="center"/>
        <w:rPr>
          <w:rFonts w:cs="Arial"/>
          <w:b/>
          <w:sz w:val="40"/>
          <w:szCs w:val="40"/>
        </w:rPr>
      </w:pPr>
      <w:r>
        <w:rPr>
          <w:rFonts w:cs="Arial"/>
          <w:b/>
          <w:sz w:val="40"/>
          <w:szCs w:val="40"/>
        </w:rPr>
        <w:t xml:space="preserve">Household incomes in </w:t>
      </w:r>
      <w:smartTag w:uri="urn:schemas-microsoft-com:office:smarttags" w:element="place">
        <w:smartTag w:uri="urn:schemas-microsoft-com:office:smarttags" w:element="country-region">
          <w:r>
            <w:rPr>
              <w:rFonts w:cs="Arial"/>
              <w:b/>
              <w:sz w:val="40"/>
              <w:szCs w:val="40"/>
            </w:rPr>
            <w:t>New Zealand</w:t>
          </w:r>
        </w:smartTag>
      </w:smartTag>
      <w:r>
        <w:rPr>
          <w:rFonts w:cs="Arial"/>
          <w:b/>
          <w:sz w:val="40"/>
          <w:szCs w:val="40"/>
        </w:rPr>
        <w:t>:</w:t>
      </w:r>
    </w:p>
    <w:p w:rsidR="00CE4F0E" w:rsidRDefault="00EB1A7B" w:rsidP="009638C3">
      <w:pPr>
        <w:jc w:val="center"/>
        <w:rPr>
          <w:rFonts w:cs="Arial"/>
          <w:b/>
          <w:sz w:val="40"/>
          <w:szCs w:val="40"/>
        </w:rPr>
      </w:pPr>
      <w:r>
        <w:rPr>
          <w:rFonts w:cs="Arial"/>
          <w:b/>
          <w:sz w:val="40"/>
          <w:szCs w:val="40"/>
        </w:rPr>
        <w:t>T</w:t>
      </w:r>
      <w:r w:rsidR="00CE4F0E">
        <w:rPr>
          <w:rFonts w:cs="Arial"/>
          <w:b/>
          <w:sz w:val="40"/>
          <w:szCs w:val="40"/>
        </w:rPr>
        <w:t xml:space="preserve">rends in indicators of </w:t>
      </w:r>
      <w:r w:rsidR="004E0D3B">
        <w:rPr>
          <w:rFonts w:cs="Arial"/>
          <w:b/>
          <w:sz w:val="40"/>
          <w:szCs w:val="40"/>
        </w:rPr>
        <w:t>inequality and hardship</w:t>
      </w:r>
    </w:p>
    <w:p w:rsidR="00CE4F0E" w:rsidRPr="001420E5" w:rsidRDefault="00CE4F0E" w:rsidP="009638C3">
      <w:pPr>
        <w:jc w:val="center"/>
        <w:rPr>
          <w:rFonts w:cs="Arial"/>
          <w:b/>
          <w:color w:val="0000FF"/>
          <w:sz w:val="28"/>
          <w:szCs w:val="28"/>
        </w:rPr>
      </w:pPr>
      <w:r>
        <w:rPr>
          <w:rFonts w:cs="Arial"/>
          <w:b/>
          <w:sz w:val="40"/>
          <w:szCs w:val="40"/>
        </w:rPr>
        <w:t>1982 to 20</w:t>
      </w:r>
      <w:r w:rsidR="00E43DDE">
        <w:rPr>
          <w:rFonts w:cs="Arial"/>
          <w:b/>
          <w:sz w:val="40"/>
          <w:szCs w:val="40"/>
        </w:rPr>
        <w:t>1</w:t>
      </w:r>
      <w:r w:rsidR="00946B6A">
        <w:rPr>
          <w:rFonts w:cs="Arial"/>
          <w:b/>
          <w:sz w:val="40"/>
          <w:szCs w:val="40"/>
        </w:rPr>
        <w:t>1</w:t>
      </w:r>
    </w:p>
    <w:p w:rsidR="002E26D6" w:rsidRDefault="002E26D6" w:rsidP="009638C3">
      <w:pPr>
        <w:jc w:val="center"/>
        <w:rPr>
          <w:rFonts w:cs="Arial"/>
          <w:b/>
          <w:sz w:val="40"/>
          <w:szCs w:val="40"/>
        </w:rPr>
      </w:pPr>
    </w:p>
    <w:p w:rsidR="002E26D6" w:rsidRPr="005F672E" w:rsidRDefault="002E26D6" w:rsidP="009638C3">
      <w:pPr>
        <w:jc w:val="center"/>
        <w:rPr>
          <w:rFonts w:cs="Arial"/>
          <w:b/>
          <w:sz w:val="20"/>
        </w:rPr>
      </w:pPr>
    </w:p>
    <w:p w:rsidR="002E26D6" w:rsidRDefault="002E26D6" w:rsidP="009638C3">
      <w:pPr>
        <w:jc w:val="center"/>
        <w:rPr>
          <w:rFonts w:cs="Arial"/>
          <w:b/>
          <w:sz w:val="40"/>
          <w:szCs w:val="40"/>
        </w:rPr>
      </w:pPr>
    </w:p>
    <w:p w:rsidR="002E26D6" w:rsidRDefault="002E26D6" w:rsidP="009638C3">
      <w:pPr>
        <w:jc w:val="center"/>
        <w:rPr>
          <w:rFonts w:cs="Arial"/>
          <w:b/>
          <w:sz w:val="40"/>
          <w:szCs w:val="40"/>
        </w:rPr>
      </w:pPr>
    </w:p>
    <w:p w:rsidR="008F184B" w:rsidRDefault="008F184B" w:rsidP="003D7F68">
      <w:pPr>
        <w:jc w:val="center"/>
        <w:rPr>
          <w:rFonts w:cs="Arial"/>
          <w:b/>
          <w:sz w:val="28"/>
          <w:szCs w:val="28"/>
        </w:rPr>
      </w:pPr>
    </w:p>
    <w:p w:rsidR="004C1A8A" w:rsidRPr="00B41AE5" w:rsidRDefault="004C1A8A" w:rsidP="003D7F68">
      <w:pPr>
        <w:jc w:val="center"/>
        <w:rPr>
          <w:rFonts w:cs="Arial"/>
          <w:b/>
          <w:sz w:val="24"/>
          <w:szCs w:val="24"/>
        </w:rPr>
      </w:pPr>
      <w:r w:rsidRPr="00B41AE5">
        <w:rPr>
          <w:rFonts w:cs="Arial"/>
          <w:b/>
          <w:sz w:val="24"/>
          <w:szCs w:val="24"/>
        </w:rPr>
        <w:t>Prepared by</w:t>
      </w:r>
      <w:r w:rsidR="003D7F68" w:rsidRPr="00B41AE5">
        <w:rPr>
          <w:rFonts w:cs="Arial"/>
          <w:b/>
          <w:sz w:val="24"/>
          <w:szCs w:val="24"/>
        </w:rPr>
        <w:t xml:space="preserve"> </w:t>
      </w:r>
      <w:smartTag w:uri="urn:schemas-microsoft-com:office:smarttags" w:element="PersonName">
        <w:r w:rsidRPr="00B41AE5">
          <w:rPr>
            <w:rFonts w:cs="Arial"/>
            <w:b/>
            <w:sz w:val="24"/>
            <w:szCs w:val="24"/>
          </w:rPr>
          <w:t>Bryan Perry</w:t>
        </w:r>
      </w:smartTag>
    </w:p>
    <w:p w:rsidR="003D7F68" w:rsidRPr="003D7F68" w:rsidRDefault="003D7F68" w:rsidP="003D7F68">
      <w:pPr>
        <w:jc w:val="center"/>
        <w:rPr>
          <w:rFonts w:cs="Arial"/>
          <w:b/>
          <w:szCs w:val="22"/>
        </w:rPr>
      </w:pPr>
    </w:p>
    <w:p w:rsidR="00587084" w:rsidRDefault="00587084" w:rsidP="004C1A8A">
      <w:pPr>
        <w:jc w:val="center"/>
        <w:rPr>
          <w:rFonts w:cs="Arial"/>
          <w:b/>
          <w:sz w:val="24"/>
          <w:szCs w:val="24"/>
        </w:rPr>
      </w:pPr>
    </w:p>
    <w:p w:rsidR="00A61CA9" w:rsidRDefault="00A61CA9" w:rsidP="004C1A8A">
      <w:pPr>
        <w:jc w:val="center"/>
        <w:rPr>
          <w:rFonts w:cs="Arial"/>
          <w:b/>
          <w:sz w:val="24"/>
          <w:szCs w:val="24"/>
        </w:rPr>
      </w:pPr>
    </w:p>
    <w:p w:rsidR="008F184B" w:rsidRDefault="008F184B" w:rsidP="004C1A8A">
      <w:pPr>
        <w:jc w:val="center"/>
        <w:rPr>
          <w:rFonts w:cs="Arial"/>
          <w:b/>
          <w:sz w:val="24"/>
          <w:szCs w:val="24"/>
        </w:rPr>
      </w:pPr>
    </w:p>
    <w:p w:rsidR="00A61CA9" w:rsidRDefault="00A61CA9" w:rsidP="004C1A8A">
      <w:pPr>
        <w:jc w:val="center"/>
        <w:rPr>
          <w:rFonts w:cs="Arial"/>
          <w:b/>
          <w:sz w:val="24"/>
          <w:szCs w:val="24"/>
        </w:rPr>
      </w:pPr>
    </w:p>
    <w:p w:rsidR="004C1A8A" w:rsidRDefault="004C1A8A" w:rsidP="004C1A8A">
      <w:pPr>
        <w:jc w:val="center"/>
        <w:rPr>
          <w:rFonts w:cs="Arial"/>
          <w:b/>
          <w:sz w:val="24"/>
          <w:szCs w:val="24"/>
        </w:rPr>
      </w:pPr>
      <w:r w:rsidRPr="00192713">
        <w:rPr>
          <w:rFonts w:cs="Arial"/>
          <w:b/>
          <w:sz w:val="24"/>
          <w:szCs w:val="24"/>
        </w:rPr>
        <w:t>Ministry of Social Development</w:t>
      </w:r>
    </w:p>
    <w:p w:rsidR="00EE2F27" w:rsidRPr="00192713" w:rsidRDefault="00EE2F27" w:rsidP="004C1A8A">
      <w:pPr>
        <w:jc w:val="center"/>
        <w:rPr>
          <w:rFonts w:cs="Arial"/>
          <w:b/>
          <w:sz w:val="24"/>
          <w:szCs w:val="24"/>
        </w:rPr>
      </w:pPr>
      <w:smartTag w:uri="urn:schemas-microsoft-com:office:smarttags" w:element="place">
        <w:smartTag w:uri="urn:schemas-microsoft-com:office:smarttags" w:element="City">
          <w:r>
            <w:rPr>
              <w:rFonts w:cs="Arial"/>
              <w:b/>
              <w:sz w:val="24"/>
              <w:szCs w:val="24"/>
            </w:rPr>
            <w:t>Wellington</w:t>
          </w:r>
        </w:smartTag>
      </w:smartTag>
    </w:p>
    <w:p w:rsidR="00C06FAE" w:rsidRDefault="00C06FAE" w:rsidP="004C1A8A">
      <w:pPr>
        <w:jc w:val="center"/>
        <w:rPr>
          <w:rFonts w:cs="Arial"/>
          <w:b/>
          <w:szCs w:val="22"/>
        </w:rPr>
      </w:pPr>
    </w:p>
    <w:p w:rsidR="00192713" w:rsidRPr="004D0F30" w:rsidRDefault="00B41AE5" w:rsidP="004C1A8A">
      <w:pPr>
        <w:jc w:val="center"/>
        <w:rPr>
          <w:rFonts w:cs="Arial"/>
          <w:sz w:val="18"/>
          <w:szCs w:val="18"/>
        </w:rPr>
      </w:pPr>
      <w:r>
        <w:rPr>
          <w:rFonts w:cs="Arial"/>
          <w:b/>
          <w:szCs w:val="22"/>
        </w:rPr>
        <w:t>August</w:t>
      </w:r>
      <w:r w:rsidR="00541DD3">
        <w:rPr>
          <w:rFonts w:cs="Arial"/>
          <w:b/>
          <w:szCs w:val="22"/>
        </w:rPr>
        <w:t xml:space="preserve"> 20</w:t>
      </w:r>
      <w:r w:rsidR="00282B05">
        <w:rPr>
          <w:rFonts w:cs="Arial"/>
          <w:b/>
          <w:szCs w:val="22"/>
        </w:rPr>
        <w:t>1</w:t>
      </w:r>
      <w:r w:rsidR="00946B6A">
        <w:rPr>
          <w:rFonts w:cs="Arial"/>
          <w:b/>
          <w:szCs w:val="22"/>
        </w:rPr>
        <w:t>2</w:t>
      </w:r>
    </w:p>
    <w:p w:rsidR="00FA22F8" w:rsidRDefault="00FA22F8" w:rsidP="004C1A8A">
      <w:pPr>
        <w:jc w:val="center"/>
        <w:rPr>
          <w:rFonts w:cs="Arial"/>
          <w:b/>
          <w:szCs w:val="22"/>
        </w:rPr>
      </w:pPr>
    </w:p>
    <w:p w:rsidR="00FA22F8" w:rsidRDefault="00FA22F8" w:rsidP="004C1A8A">
      <w:pPr>
        <w:jc w:val="center"/>
        <w:rPr>
          <w:rFonts w:cs="Arial"/>
          <w:b/>
          <w:szCs w:val="22"/>
        </w:rPr>
      </w:pPr>
    </w:p>
    <w:p w:rsidR="00C06FAE" w:rsidRDefault="00C42A24" w:rsidP="004C1A8A">
      <w:pPr>
        <w:jc w:val="center"/>
        <w:rPr>
          <w:rFonts w:cs="Arial"/>
          <w:b/>
          <w:szCs w:val="22"/>
        </w:rPr>
      </w:pPr>
      <w:r>
        <w:rPr>
          <w:rFonts w:cs="Arial"/>
          <w:b/>
          <w:szCs w:val="22"/>
        </w:rPr>
        <w:t xml:space="preserve"> </w:t>
      </w:r>
    </w:p>
    <w:p w:rsidR="00A61CA9" w:rsidRDefault="00A61CA9" w:rsidP="004C1A8A">
      <w:pPr>
        <w:jc w:val="center"/>
        <w:rPr>
          <w:rFonts w:cs="Arial"/>
          <w:b/>
          <w:szCs w:val="22"/>
        </w:rPr>
      </w:pPr>
    </w:p>
    <w:p w:rsidR="008F184B" w:rsidRDefault="008F184B" w:rsidP="004C1A8A">
      <w:pPr>
        <w:jc w:val="center"/>
        <w:rPr>
          <w:rFonts w:cs="Arial"/>
          <w:b/>
          <w:szCs w:val="22"/>
        </w:rPr>
      </w:pPr>
    </w:p>
    <w:p w:rsidR="00C06FAE" w:rsidRDefault="00C06FAE" w:rsidP="004C1A8A">
      <w:pPr>
        <w:jc w:val="center"/>
        <w:rPr>
          <w:rFonts w:cs="Arial"/>
          <w:b/>
          <w:szCs w:val="22"/>
        </w:rPr>
      </w:pPr>
    </w:p>
    <w:p w:rsidR="00507264" w:rsidRPr="001420E5" w:rsidRDefault="00507264" w:rsidP="00507264">
      <w:pPr>
        <w:jc w:val="center"/>
        <w:rPr>
          <w:rFonts w:ascii="Times New Roman" w:hAnsi="Times New Roman"/>
          <w:sz w:val="16"/>
          <w:szCs w:val="16"/>
          <w:lang w:val="en-US"/>
        </w:rPr>
      </w:pPr>
      <w:r w:rsidRPr="001420E5">
        <w:rPr>
          <w:rFonts w:cs="Arial"/>
          <w:sz w:val="16"/>
          <w:szCs w:val="16"/>
          <w:lang w:val="en-US"/>
        </w:rPr>
        <w:t>ISBN</w:t>
      </w:r>
      <w:r w:rsidR="001420E5" w:rsidRPr="001420E5">
        <w:rPr>
          <w:rFonts w:cs="Arial"/>
          <w:sz w:val="16"/>
          <w:szCs w:val="16"/>
          <w:lang w:val="en-US"/>
        </w:rPr>
        <w:t xml:space="preserve"> </w:t>
      </w:r>
      <w:r w:rsidR="001420E5">
        <w:rPr>
          <w:rFonts w:cs="Arial"/>
          <w:sz w:val="16"/>
          <w:szCs w:val="16"/>
          <w:lang w:val="en-US"/>
        </w:rPr>
        <w:t xml:space="preserve"> </w:t>
      </w:r>
      <w:r w:rsidR="001420E5" w:rsidRPr="001420E5">
        <w:rPr>
          <w:rFonts w:cs="Arial"/>
          <w:sz w:val="16"/>
          <w:szCs w:val="16"/>
          <w:lang w:val="en-AU" w:eastAsia="en-AU"/>
        </w:rPr>
        <w:t>978-0-478-33552-1</w:t>
      </w:r>
      <w:r w:rsidR="000F7B6B">
        <w:rPr>
          <w:rFonts w:cs="Arial"/>
          <w:sz w:val="16"/>
          <w:szCs w:val="16"/>
          <w:lang w:val="en-US"/>
        </w:rPr>
        <w:t xml:space="preserve">  </w:t>
      </w:r>
      <w:r w:rsidRPr="001420E5">
        <w:rPr>
          <w:rFonts w:cs="Arial"/>
          <w:sz w:val="16"/>
          <w:szCs w:val="16"/>
          <w:lang w:val="en-US"/>
        </w:rPr>
        <w:t>(Print)</w:t>
      </w:r>
    </w:p>
    <w:p w:rsidR="00507264" w:rsidRPr="001420E5" w:rsidRDefault="00507264" w:rsidP="00507264">
      <w:pPr>
        <w:spacing w:before="120"/>
        <w:jc w:val="center"/>
        <w:rPr>
          <w:rFonts w:ascii="Times New Roman" w:hAnsi="Times New Roman"/>
          <w:sz w:val="16"/>
          <w:szCs w:val="16"/>
          <w:lang w:val="en-US"/>
        </w:rPr>
      </w:pPr>
      <w:r w:rsidRPr="001420E5">
        <w:rPr>
          <w:rFonts w:cs="Arial"/>
          <w:sz w:val="16"/>
          <w:szCs w:val="16"/>
          <w:lang w:val="en-US"/>
        </w:rPr>
        <w:t xml:space="preserve">ISBN </w:t>
      </w:r>
      <w:r w:rsidR="001420E5">
        <w:rPr>
          <w:rFonts w:cs="Arial"/>
          <w:sz w:val="16"/>
          <w:szCs w:val="16"/>
          <w:lang w:val="en-US"/>
        </w:rPr>
        <w:t xml:space="preserve"> </w:t>
      </w:r>
      <w:r w:rsidR="001420E5" w:rsidRPr="001420E5">
        <w:rPr>
          <w:rFonts w:cs="Arial"/>
          <w:sz w:val="16"/>
          <w:szCs w:val="16"/>
          <w:lang w:val="en-AU" w:eastAsia="en-AU"/>
        </w:rPr>
        <w:t>978-0-478-33553-8</w:t>
      </w:r>
      <w:r w:rsidRPr="001420E5">
        <w:rPr>
          <w:rFonts w:cs="Arial"/>
          <w:sz w:val="16"/>
          <w:szCs w:val="16"/>
          <w:lang w:val="en-US"/>
        </w:rPr>
        <w:t xml:space="preserve"> </w:t>
      </w:r>
      <w:r w:rsidR="001420E5">
        <w:rPr>
          <w:rFonts w:cs="Arial"/>
          <w:sz w:val="16"/>
          <w:szCs w:val="16"/>
          <w:lang w:val="en-US"/>
        </w:rPr>
        <w:t xml:space="preserve"> </w:t>
      </w:r>
      <w:r w:rsidRPr="001420E5">
        <w:rPr>
          <w:rFonts w:cs="Arial"/>
          <w:sz w:val="16"/>
          <w:szCs w:val="16"/>
          <w:lang w:val="en-US"/>
        </w:rPr>
        <w:t>(Online)</w:t>
      </w:r>
    </w:p>
    <w:p w:rsidR="00A00963" w:rsidRPr="00086ED8" w:rsidRDefault="001420E5" w:rsidP="00EE6443">
      <w:pPr>
        <w:spacing w:after="120"/>
        <w:rPr>
          <w:rFonts w:cs="Arial"/>
          <w:b/>
          <w:szCs w:val="24"/>
        </w:rPr>
      </w:pPr>
      <w:r>
        <w:rPr>
          <w:rFonts w:cs="Arial"/>
          <w:b/>
          <w:szCs w:val="24"/>
        </w:rPr>
        <w:br w:type="page"/>
      </w:r>
      <w:r w:rsidR="00A00963" w:rsidRPr="00086ED8">
        <w:rPr>
          <w:rFonts w:cs="Arial"/>
          <w:b/>
          <w:szCs w:val="24"/>
        </w:rPr>
        <w:lastRenderedPageBreak/>
        <w:t>Changes since last report</w:t>
      </w:r>
    </w:p>
    <w:p w:rsidR="00A00963" w:rsidRPr="00086ED8" w:rsidRDefault="00A00963" w:rsidP="00A00963">
      <w:pPr>
        <w:jc w:val="both"/>
        <w:rPr>
          <w:rFonts w:cs="Arial"/>
          <w:sz w:val="20"/>
          <w:szCs w:val="22"/>
        </w:rPr>
      </w:pPr>
    </w:p>
    <w:p w:rsidR="003F1BCB" w:rsidRPr="00086ED8" w:rsidRDefault="003F1BCB" w:rsidP="00A00963">
      <w:pPr>
        <w:jc w:val="both"/>
        <w:rPr>
          <w:rFonts w:cs="Arial"/>
          <w:sz w:val="20"/>
          <w:szCs w:val="22"/>
        </w:rPr>
      </w:pPr>
    </w:p>
    <w:p w:rsidR="00390083" w:rsidRDefault="00AC4AE6" w:rsidP="00290EBB">
      <w:pPr>
        <w:numPr>
          <w:ilvl w:val="0"/>
          <w:numId w:val="8"/>
        </w:numPr>
        <w:tabs>
          <w:tab w:val="clear" w:pos="720"/>
          <w:tab w:val="num" w:pos="450"/>
        </w:tabs>
        <w:ind w:left="450" w:hanging="270"/>
        <w:jc w:val="both"/>
        <w:rPr>
          <w:rFonts w:cs="Arial"/>
          <w:sz w:val="20"/>
          <w:szCs w:val="22"/>
        </w:rPr>
      </w:pPr>
      <w:r>
        <w:rPr>
          <w:rFonts w:cs="Arial"/>
          <w:sz w:val="20"/>
          <w:szCs w:val="22"/>
        </w:rPr>
        <w:t>T</w:t>
      </w:r>
      <w:r w:rsidR="007065D2">
        <w:rPr>
          <w:rFonts w:cs="Arial"/>
          <w:sz w:val="20"/>
          <w:szCs w:val="22"/>
        </w:rPr>
        <w:t xml:space="preserve">he </w:t>
      </w:r>
      <w:r w:rsidR="00EB1A7B">
        <w:rPr>
          <w:rFonts w:cs="Arial"/>
          <w:sz w:val="20"/>
          <w:szCs w:val="22"/>
        </w:rPr>
        <w:t>report is</w:t>
      </w:r>
      <w:r w:rsidR="007065D2">
        <w:rPr>
          <w:rFonts w:cs="Arial"/>
          <w:sz w:val="20"/>
          <w:szCs w:val="22"/>
        </w:rPr>
        <w:t xml:space="preserve"> </w:t>
      </w:r>
      <w:r w:rsidR="00390083">
        <w:rPr>
          <w:rFonts w:cs="Arial"/>
          <w:sz w:val="20"/>
          <w:szCs w:val="22"/>
        </w:rPr>
        <w:t xml:space="preserve">updated with findings </w:t>
      </w:r>
      <w:r w:rsidR="00F452EA">
        <w:rPr>
          <w:rFonts w:cs="Arial"/>
          <w:sz w:val="20"/>
          <w:szCs w:val="22"/>
        </w:rPr>
        <w:t>based on</w:t>
      </w:r>
      <w:r w:rsidR="00390083">
        <w:rPr>
          <w:rFonts w:cs="Arial"/>
          <w:sz w:val="20"/>
          <w:szCs w:val="22"/>
        </w:rPr>
        <w:t xml:space="preserve"> the </w:t>
      </w:r>
      <w:r w:rsidR="00E43DDE">
        <w:rPr>
          <w:rFonts w:cs="Arial"/>
          <w:sz w:val="20"/>
          <w:szCs w:val="22"/>
        </w:rPr>
        <w:t>20</w:t>
      </w:r>
      <w:r w:rsidR="00946B6A">
        <w:rPr>
          <w:rFonts w:cs="Arial"/>
          <w:sz w:val="20"/>
          <w:szCs w:val="22"/>
        </w:rPr>
        <w:t>10</w:t>
      </w:r>
      <w:r w:rsidR="00FB097E" w:rsidRPr="00AB26AF">
        <w:rPr>
          <w:sz w:val="20"/>
          <w:lang w:val="en-NZ"/>
        </w:rPr>
        <w:t>–</w:t>
      </w:r>
      <w:r w:rsidR="00E43DDE">
        <w:rPr>
          <w:rFonts w:cs="Arial"/>
          <w:sz w:val="20"/>
          <w:szCs w:val="22"/>
        </w:rPr>
        <w:t>201</w:t>
      </w:r>
      <w:r w:rsidR="00946B6A">
        <w:rPr>
          <w:rFonts w:cs="Arial"/>
          <w:sz w:val="20"/>
          <w:szCs w:val="22"/>
        </w:rPr>
        <w:t>1</w:t>
      </w:r>
      <w:r w:rsidR="00390083">
        <w:rPr>
          <w:rFonts w:cs="Arial"/>
          <w:sz w:val="20"/>
          <w:szCs w:val="22"/>
        </w:rPr>
        <w:t xml:space="preserve"> Household Economic Survey</w:t>
      </w:r>
      <w:r w:rsidR="00E43DDE">
        <w:rPr>
          <w:rFonts w:cs="Arial"/>
          <w:sz w:val="20"/>
          <w:szCs w:val="22"/>
        </w:rPr>
        <w:t xml:space="preserve"> </w:t>
      </w:r>
      <w:r w:rsidR="00390083">
        <w:rPr>
          <w:rFonts w:cs="Arial"/>
          <w:sz w:val="20"/>
          <w:szCs w:val="22"/>
        </w:rPr>
        <w:t>(</w:t>
      </w:r>
      <w:r w:rsidR="00AF7BA8">
        <w:rPr>
          <w:rFonts w:cs="Arial"/>
          <w:sz w:val="20"/>
          <w:szCs w:val="22"/>
        </w:rPr>
        <w:t>referred to as</w:t>
      </w:r>
      <w:r w:rsidR="00A8377E">
        <w:rPr>
          <w:rFonts w:cs="Arial"/>
          <w:sz w:val="20"/>
          <w:szCs w:val="22"/>
        </w:rPr>
        <w:t xml:space="preserve"> the</w:t>
      </w:r>
      <w:r w:rsidR="00AF7BA8">
        <w:rPr>
          <w:rFonts w:cs="Arial"/>
          <w:sz w:val="20"/>
          <w:szCs w:val="22"/>
        </w:rPr>
        <w:t xml:space="preserve"> </w:t>
      </w:r>
      <w:r w:rsidR="00010B94">
        <w:rPr>
          <w:rFonts w:cs="Arial"/>
          <w:sz w:val="20"/>
          <w:szCs w:val="22"/>
        </w:rPr>
        <w:t>20</w:t>
      </w:r>
      <w:r w:rsidR="00E43DDE">
        <w:rPr>
          <w:rFonts w:cs="Arial"/>
          <w:sz w:val="20"/>
          <w:szCs w:val="22"/>
        </w:rPr>
        <w:t>1</w:t>
      </w:r>
      <w:r w:rsidR="00946B6A">
        <w:rPr>
          <w:rFonts w:cs="Arial"/>
          <w:sz w:val="20"/>
          <w:szCs w:val="22"/>
        </w:rPr>
        <w:t>1</w:t>
      </w:r>
      <w:r w:rsidR="00010B94">
        <w:rPr>
          <w:rFonts w:cs="Arial"/>
          <w:sz w:val="20"/>
          <w:szCs w:val="22"/>
        </w:rPr>
        <w:t xml:space="preserve"> </w:t>
      </w:r>
      <w:r w:rsidR="00390083">
        <w:rPr>
          <w:rFonts w:cs="Arial"/>
          <w:sz w:val="20"/>
          <w:szCs w:val="22"/>
        </w:rPr>
        <w:t>HES)</w:t>
      </w:r>
      <w:r>
        <w:rPr>
          <w:rFonts w:cs="Arial"/>
          <w:sz w:val="20"/>
          <w:szCs w:val="22"/>
        </w:rPr>
        <w:t>.</w:t>
      </w:r>
    </w:p>
    <w:p w:rsidR="00FB441E" w:rsidRDefault="00FB441E" w:rsidP="00FB441E">
      <w:pPr>
        <w:ind w:left="180"/>
        <w:jc w:val="both"/>
        <w:rPr>
          <w:rFonts w:cs="Arial"/>
          <w:sz w:val="20"/>
          <w:szCs w:val="22"/>
        </w:rPr>
      </w:pPr>
    </w:p>
    <w:p w:rsidR="00EA7757" w:rsidRDefault="00AC4AE6" w:rsidP="00290EBB">
      <w:pPr>
        <w:numPr>
          <w:ilvl w:val="0"/>
          <w:numId w:val="8"/>
        </w:numPr>
        <w:tabs>
          <w:tab w:val="clear" w:pos="720"/>
          <w:tab w:val="num" w:pos="450"/>
        </w:tabs>
        <w:ind w:left="450" w:hanging="270"/>
        <w:jc w:val="both"/>
        <w:rPr>
          <w:rFonts w:cs="Arial"/>
          <w:sz w:val="20"/>
          <w:szCs w:val="22"/>
        </w:rPr>
      </w:pPr>
      <w:r>
        <w:rPr>
          <w:rFonts w:cs="Arial"/>
          <w:sz w:val="20"/>
          <w:szCs w:val="22"/>
        </w:rPr>
        <w:t>T</w:t>
      </w:r>
      <w:r w:rsidR="00A8377E">
        <w:rPr>
          <w:rFonts w:cs="Arial"/>
          <w:sz w:val="20"/>
          <w:szCs w:val="22"/>
        </w:rPr>
        <w:t>he international comparisons are updated</w:t>
      </w:r>
      <w:r>
        <w:rPr>
          <w:rFonts w:cs="Arial"/>
          <w:sz w:val="20"/>
          <w:szCs w:val="22"/>
        </w:rPr>
        <w:t xml:space="preserve"> with the latest available data (</w:t>
      </w:r>
      <w:r w:rsidR="00946B6A">
        <w:rPr>
          <w:rFonts w:cs="Arial"/>
          <w:sz w:val="20"/>
          <w:szCs w:val="22"/>
        </w:rPr>
        <w:t>usually</w:t>
      </w:r>
      <w:r>
        <w:rPr>
          <w:rFonts w:cs="Arial"/>
          <w:sz w:val="20"/>
          <w:szCs w:val="22"/>
        </w:rPr>
        <w:t xml:space="preserve"> 200</w:t>
      </w:r>
      <w:r w:rsidR="00946B6A">
        <w:rPr>
          <w:rFonts w:cs="Arial"/>
          <w:sz w:val="20"/>
          <w:szCs w:val="22"/>
        </w:rPr>
        <w:t>9).</w:t>
      </w:r>
    </w:p>
    <w:p w:rsidR="009113BE" w:rsidRDefault="009113BE" w:rsidP="009113BE">
      <w:pPr>
        <w:jc w:val="both"/>
        <w:rPr>
          <w:rFonts w:cs="Arial"/>
          <w:sz w:val="20"/>
          <w:szCs w:val="22"/>
        </w:rPr>
      </w:pPr>
    </w:p>
    <w:p w:rsidR="009113BE" w:rsidRDefault="009113BE" w:rsidP="00290EBB">
      <w:pPr>
        <w:numPr>
          <w:ilvl w:val="0"/>
          <w:numId w:val="8"/>
        </w:numPr>
        <w:tabs>
          <w:tab w:val="clear" w:pos="720"/>
          <w:tab w:val="num" w:pos="450"/>
        </w:tabs>
        <w:ind w:left="450" w:hanging="270"/>
        <w:jc w:val="both"/>
        <w:rPr>
          <w:rFonts w:cs="Arial"/>
          <w:sz w:val="20"/>
          <w:szCs w:val="22"/>
        </w:rPr>
      </w:pPr>
      <w:r>
        <w:rPr>
          <w:rFonts w:cs="Arial"/>
          <w:sz w:val="20"/>
          <w:szCs w:val="22"/>
        </w:rPr>
        <w:t>Information on international trends for very high incomes from the 1920s to 20</w:t>
      </w:r>
      <w:r w:rsidR="00AC15D6">
        <w:rPr>
          <w:rFonts w:cs="Arial"/>
          <w:sz w:val="20"/>
          <w:szCs w:val="22"/>
        </w:rPr>
        <w:t>10</w:t>
      </w:r>
      <w:r>
        <w:rPr>
          <w:rFonts w:cs="Arial"/>
          <w:sz w:val="20"/>
          <w:szCs w:val="22"/>
        </w:rPr>
        <w:t xml:space="preserve"> (including </w:t>
      </w:r>
      <w:smartTag w:uri="urn:schemas-microsoft-com:office:smarttags" w:element="country-region">
        <w:smartTag w:uri="urn:schemas-microsoft-com:office:smarttags" w:element="place">
          <w:r>
            <w:rPr>
              <w:rFonts w:cs="Arial"/>
              <w:sz w:val="20"/>
              <w:szCs w:val="22"/>
            </w:rPr>
            <w:t>New Zealand</w:t>
          </w:r>
        </w:smartTag>
      </w:smartTag>
      <w:r>
        <w:rPr>
          <w:rFonts w:cs="Arial"/>
          <w:sz w:val="20"/>
          <w:szCs w:val="22"/>
        </w:rPr>
        <w:t xml:space="preserve">), adding another perspective to discussions and debate around income inequality. </w:t>
      </w:r>
    </w:p>
    <w:p w:rsidR="00946B6A" w:rsidRDefault="00946B6A" w:rsidP="00946B6A">
      <w:pPr>
        <w:jc w:val="both"/>
        <w:rPr>
          <w:rFonts w:cs="Arial"/>
          <w:sz w:val="20"/>
          <w:szCs w:val="22"/>
        </w:rPr>
      </w:pPr>
    </w:p>
    <w:p w:rsidR="00946B6A" w:rsidRDefault="003C0CE3" w:rsidP="001538BA">
      <w:pPr>
        <w:numPr>
          <w:ilvl w:val="0"/>
          <w:numId w:val="8"/>
        </w:numPr>
        <w:tabs>
          <w:tab w:val="clear" w:pos="720"/>
          <w:tab w:val="num" w:pos="450"/>
        </w:tabs>
        <w:ind w:left="450" w:hanging="270"/>
        <w:jc w:val="both"/>
        <w:rPr>
          <w:rFonts w:cs="Arial"/>
          <w:sz w:val="20"/>
          <w:szCs w:val="22"/>
        </w:rPr>
      </w:pPr>
      <w:r>
        <w:rPr>
          <w:rFonts w:cs="Arial"/>
          <w:sz w:val="20"/>
          <w:szCs w:val="22"/>
        </w:rPr>
        <w:t xml:space="preserve">Findings on trends in material hardship using the non-monetary indicators included in </w:t>
      </w:r>
      <w:r w:rsidR="009113BE">
        <w:rPr>
          <w:rFonts w:cs="Arial"/>
          <w:sz w:val="20"/>
          <w:szCs w:val="22"/>
        </w:rPr>
        <w:t>the HES from 2006-07 to 2010-11</w:t>
      </w:r>
      <w:r>
        <w:rPr>
          <w:rFonts w:cs="Arial"/>
          <w:sz w:val="20"/>
          <w:szCs w:val="22"/>
        </w:rPr>
        <w:t>.</w:t>
      </w:r>
    </w:p>
    <w:p w:rsidR="00946B6A" w:rsidRDefault="00946B6A" w:rsidP="00946B6A">
      <w:pPr>
        <w:jc w:val="both"/>
        <w:rPr>
          <w:rFonts w:cs="Arial"/>
          <w:sz w:val="20"/>
          <w:szCs w:val="22"/>
        </w:rPr>
      </w:pPr>
    </w:p>
    <w:p w:rsidR="00946B6A" w:rsidRDefault="003C0CE3" w:rsidP="001538BA">
      <w:pPr>
        <w:numPr>
          <w:ilvl w:val="0"/>
          <w:numId w:val="8"/>
        </w:numPr>
        <w:tabs>
          <w:tab w:val="clear" w:pos="720"/>
          <w:tab w:val="num" w:pos="450"/>
        </w:tabs>
        <w:ind w:left="450" w:hanging="270"/>
        <w:jc w:val="both"/>
        <w:rPr>
          <w:rFonts w:cs="Arial"/>
          <w:sz w:val="20"/>
          <w:szCs w:val="22"/>
        </w:rPr>
      </w:pPr>
      <w:r>
        <w:rPr>
          <w:rFonts w:cs="Arial"/>
          <w:sz w:val="20"/>
          <w:szCs w:val="22"/>
        </w:rPr>
        <w:t xml:space="preserve">A new section on income mobility and poverty persistence drawing on </w:t>
      </w:r>
      <w:r w:rsidR="00F2203A">
        <w:rPr>
          <w:rFonts w:cs="Arial"/>
          <w:sz w:val="20"/>
          <w:szCs w:val="22"/>
        </w:rPr>
        <w:t>a</w:t>
      </w:r>
      <w:r>
        <w:rPr>
          <w:rFonts w:cs="Arial"/>
          <w:sz w:val="20"/>
          <w:szCs w:val="22"/>
        </w:rPr>
        <w:t xml:space="preserve"> research report from</w:t>
      </w:r>
      <w:r w:rsidR="00F2203A">
        <w:rPr>
          <w:rFonts w:cs="Arial"/>
          <w:sz w:val="20"/>
          <w:szCs w:val="22"/>
        </w:rPr>
        <w:t xml:space="preserve"> the</w:t>
      </w:r>
      <w:r>
        <w:rPr>
          <w:rFonts w:cs="Arial"/>
          <w:sz w:val="20"/>
          <w:szCs w:val="22"/>
        </w:rPr>
        <w:t xml:space="preserve"> </w:t>
      </w:r>
      <w:smartTag w:uri="urn:schemas-microsoft-com:office:smarttags" w:element="PlaceType">
        <w:r>
          <w:rPr>
            <w:rFonts w:cs="Arial"/>
            <w:sz w:val="20"/>
            <w:szCs w:val="22"/>
          </w:rPr>
          <w:t>University</w:t>
        </w:r>
      </w:smartTag>
      <w:r>
        <w:rPr>
          <w:rFonts w:cs="Arial"/>
          <w:sz w:val="20"/>
          <w:szCs w:val="22"/>
        </w:rPr>
        <w:t xml:space="preserve"> of </w:t>
      </w:r>
      <w:smartTag w:uri="urn:schemas-microsoft-com:office:smarttags" w:element="PlaceName">
        <w:r>
          <w:rPr>
            <w:rFonts w:cs="Arial"/>
            <w:sz w:val="20"/>
            <w:szCs w:val="22"/>
          </w:rPr>
          <w:t>Otago</w:t>
        </w:r>
      </w:smartTag>
      <w:r>
        <w:rPr>
          <w:rFonts w:cs="Arial"/>
          <w:sz w:val="20"/>
          <w:szCs w:val="22"/>
        </w:rPr>
        <w:t xml:space="preserve"> (</w:t>
      </w:r>
      <w:smartTag w:uri="urn:schemas-microsoft-com:office:smarttags" w:element="place">
        <w:smartTag w:uri="urn:schemas-microsoft-com:office:smarttags" w:element="City">
          <w:r>
            <w:rPr>
              <w:rFonts w:cs="Arial"/>
              <w:sz w:val="20"/>
              <w:szCs w:val="22"/>
            </w:rPr>
            <w:t>We</w:t>
          </w:r>
          <w:r w:rsidR="00F2203A">
            <w:rPr>
              <w:rFonts w:cs="Arial"/>
              <w:sz w:val="20"/>
              <w:szCs w:val="22"/>
            </w:rPr>
            <w:t>l</w:t>
          </w:r>
          <w:r>
            <w:rPr>
              <w:rFonts w:cs="Arial"/>
              <w:sz w:val="20"/>
              <w:szCs w:val="22"/>
            </w:rPr>
            <w:t>lington</w:t>
          </w:r>
        </w:smartTag>
      </w:smartTag>
      <w:r>
        <w:rPr>
          <w:rFonts w:cs="Arial"/>
          <w:sz w:val="20"/>
          <w:szCs w:val="22"/>
        </w:rPr>
        <w:t>) based on data from the Survey of Families, Income and Employment (SoFIE), with international comparisons.</w:t>
      </w:r>
    </w:p>
    <w:p w:rsidR="00722EE9" w:rsidRDefault="00722EE9" w:rsidP="00722EE9">
      <w:pPr>
        <w:jc w:val="both"/>
        <w:rPr>
          <w:rFonts w:cs="Arial"/>
          <w:sz w:val="20"/>
          <w:szCs w:val="22"/>
        </w:rPr>
      </w:pPr>
    </w:p>
    <w:p w:rsidR="003A2515" w:rsidRDefault="003A2515" w:rsidP="003A2515">
      <w:pPr>
        <w:jc w:val="both"/>
        <w:rPr>
          <w:rFonts w:cs="Arial"/>
          <w:sz w:val="20"/>
          <w:szCs w:val="22"/>
        </w:rPr>
      </w:pPr>
    </w:p>
    <w:p w:rsidR="002E26D6" w:rsidRDefault="002E26D6" w:rsidP="004A01D6">
      <w:pPr>
        <w:jc w:val="both"/>
        <w:rPr>
          <w:rFonts w:cs="Arial"/>
          <w:sz w:val="20"/>
          <w:szCs w:val="22"/>
        </w:rPr>
      </w:pPr>
    </w:p>
    <w:p w:rsidR="00485FF4" w:rsidRPr="00086ED8" w:rsidRDefault="00485FF4" w:rsidP="008543FB">
      <w:pPr>
        <w:rPr>
          <w:rFonts w:cs="Arial"/>
          <w:b/>
          <w:sz w:val="28"/>
          <w:szCs w:val="32"/>
        </w:rPr>
      </w:pPr>
    </w:p>
    <w:p w:rsidR="00485FF4" w:rsidRPr="00086ED8" w:rsidRDefault="00485FF4" w:rsidP="00485FF4">
      <w:pPr>
        <w:jc w:val="both"/>
        <w:rPr>
          <w:rFonts w:cs="Arial"/>
          <w:b/>
          <w:szCs w:val="24"/>
        </w:rPr>
      </w:pPr>
      <w:r w:rsidRPr="00086ED8">
        <w:rPr>
          <w:rFonts w:cs="Arial"/>
          <w:b/>
          <w:szCs w:val="24"/>
        </w:rPr>
        <w:t>Next report</w:t>
      </w:r>
    </w:p>
    <w:p w:rsidR="00485FF4" w:rsidRPr="00086ED8" w:rsidRDefault="00485FF4" w:rsidP="00485FF4">
      <w:pPr>
        <w:jc w:val="both"/>
        <w:rPr>
          <w:rFonts w:cs="Arial"/>
          <w:sz w:val="20"/>
          <w:szCs w:val="22"/>
        </w:rPr>
      </w:pPr>
    </w:p>
    <w:p w:rsidR="00485FF4" w:rsidRPr="00086ED8" w:rsidRDefault="00485FF4" w:rsidP="00485FF4">
      <w:pPr>
        <w:jc w:val="both"/>
        <w:rPr>
          <w:rFonts w:cs="Arial"/>
          <w:sz w:val="20"/>
          <w:szCs w:val="22"/>
        </w:rPr>
      </w:pPr>
    </w:p>
    <w:p w:rsidR="00485FF4" w:rsidRDefault="00485FF4" w:rsidP="00290EBB">
      <w:pPr>
        <w:numPr>
          <w:ilvl w:val="0"/>
          <w:numId w:val="8"/>
        </w:numPr>
        <w:tabs>
          <w:tab w:val="clear" w:pos="720"/>
          <w:tab w:val="num" w:pos="450"/>
        </w:tabs>
        <w:ind w:left="450" w:hanging="270"/>
        <w:jc w:val="both"/>
        <w:rPr>
          <w:rFonts w:cs="Arial"/>
          <w:sz w:val="20"/>
          <w:szCs w:val="22"/>
        </w:rPr>
      </w:pPr>
      <w:r w:rsidRPr="00086ED8">
        <w:rPr>
          <w:rFonts w:cs="Arial"/>
          <w:sz w:val="20"/>
          <w:szCs w:val="22"/>
        </w:rPr>
        <w:t xml:space="preserve">The next report is </w:t>
      </w:r>
      <w:r w:rsidR="00953C85">
        <w:rPr>
          <w:rFonts w:cs="Arial"/>
          <w:sz w:val="20"/>
          <w:szCs w:val="22"/>
        </w:rPr>
        <w:t>scheduled for</w:t>
      </w:r>
      <w:r w:rsidRPr="00086ED8">
        <w:rPr>
          <w:rFonts w:cs="Arial"/>
          <w:sz w:val="20"/>
          <w:szCs w:val="22"/>
        </w:rPr>
        <w:t xml:space="preserve"> </w:t>
      </w:r>
      <w:r w:rsidR="005237E8">
        <w:rPr>
          <w:rFonts w:cs="Arial"/>
          <w:sz w:val="20"/>
          <w:szCs w:val="22"/>
        </w:rPr>
        <w:t>mid</w:t>
      </w:r>
      <w:r w:rsidRPr="00086ED8">
        <w:rPr>
          <w:rFonts w:cs="Arial"/>
          <w:sz w:val="20"/>
          <w:szCs w:val="22"/>
        </w:rPr>
        <w:t xml:space="preserve"> 20</w:t>
      </w:r>
      <w:r w:rsidR="00F452EA">
        <w:rPr>
          <w:rFonts w:cs="Arial"/>
          <w:sz w:val="20"/>
          <w:szCs w:val="22"/>
        </w:rPr>
        <w:t>1</w:t>
      </w:r>
      <w:r w:rsidR="00946B6A">
        <w:rPr>
          <w:rFonts w:cs="Arial"/>
          <w:sz w:val="20"/>
          <w:szCs w:val="22"/>
        </w:rPr>
        <w:t>3</w:t>
      </w:r>
      <w:r w:rsidRPr="00086ED8">
        <w:rPr>
          <w:rFonts w:cs="Arial"/>
          <w:sz w:val="20"/>
          <w:szCs w:val="22"/>
        </w:rPr>
        <w:t xml:space="preserve"> based on the </w:t>
      </w:r>
      <w:r w:rsidR="00282B05">
        <w:rPr>
          <w:rFonts w:cs="Arial"/>
          <w:sz w:val="20"/>
          <w:szCs w:val="22"/>
        </w:rPr>
        <w:t>20</w:t>
      </w:r>
      <w:r w:rsidR="00E43DDE">
        <w:rPr>
          <w:rFonts w:cs="Arial"/>
          <w:sz w:val="20"/>
          <w:szCs w:val="22"/>
        </w:rPr>
        <w:t>1</w:t>
      </w:r>
      <w:r w:rsidR="00946B6A">
        <w:rPr>
          <w:rFonts w:cs="Arial"/>
          <w:sz w:val="20"/>
          <w:szCs w:val="22"/>
        </w:rPr>
        <w:t>1</w:t>
      </w:r>
      <w:r w:rsidR="00FB097E" w:rsidRPr="00AB26AF">
        <w:rPr>
          <w:sz w:val="20"/>
          <w:lang w:val="en-NZ"/>
        </w:rPr>
        <w:t>–</w:t>
      </w:r>
      <w:r w:rsidR="00135AC6">
        <w:rPr>
          <w:sz w:val="20"/>
          <w:lang w:val="en-NZ"/>
        </w:rPr>
        <w:t>20</w:t>
      </w:r>
      <w:r w:rsidR="00282B05">
        <w:rPr>
          <w:rFonts w:cs="Arial"/>
          <w:sz w:val="20"/>
          <w:szCs w:val="22"/>
        </w:rPr>
        <w:t>1</w:t>
      </w:r>
      <w:r w:rsidR="00946B6A">
        <w:rPr>
          <w:rFonts w:cs="Arial"/>
          <w:sz w:val="20"/>
          <w:szCs w:val="22"/>
        </w:rPr>
        <w:t>2</w:t>
      </w:r>
      <w:r w:rsidRPr="00086ED8">
        <w:rPr>
          <w:rFonts w:cs="Arial"/>
          <w:sz w:val="20"/>
          <w:szCs w:val="22"/>
        </w:rPr>
        <w:t xml:space="preserve"> </w:t>
      </w:r>
      <w:r w:rsidR="00010B94">
        <w:rPr>
          <w:rFonts w:cs="Arial"/>
          <w:sz w:val="20"/>
          <w:szCs w:val="22"/>
        </w:rPr>
        <w:t>HES</w:t>
      </w:r>
      <w:r w:rsidR="00446FD7" w:rsidRPr="00086ED8">
        <w:rPr>
          <w:rFonts w:cs="Arial"/>
          <w:sz w:val="20"/>
          <w:szCs w:val="22"/>
        </w:rPr>
        <w:t>.  (The timing is dependent on the availability of the HES data.)</w:t>
      </w:r>
    </w:p>
    <w:p w:rsidR="008877AD" w:rsidRDefault="008877AD" w:rsidP="008877AD">
      <w:pPr>
        <w:jc w:val="both"/>
        <w:rPr>
          <w:rFonts w:cs="Arial"/>
          <w:sz w:val="20"/>
          <w:szCs w:val="22"/>
        </w:rPr>
      </w:pPr>
    </w:p>
    <w:p w:rsidR="008877AD" w:rsidRDefault="008877AD" w:rsidP="008877AD">
      <w:pPr>
        <w:jc w:val="both"/>
        <w:rPr>
          <w:rFonts w:cs="Arial"/>
          <w:sz w:val="20"/>
          <w:szCs w:val="22"/>
        </w:rPr>
      </w:pPr>
    </w:p>
    <w:p w:rsidR="008877AD" w:rsidRPr="00086ED8" w:rsidRDefault="008877AD" w:rsidP="008877AD">
      <w:pPr>
        <w:jc w:val="both"/>
        <w:rPr>
          <w:rFonts w:cs="Arial"/>
          <w:sz w:val="20"/>
          <w:szCs w:val="22"/>
        </w:rPr>
      </w:pPr>
    </w:p>
    <w:p w:rsidR="001B44B3" w:rsidRDefault="001B44B3" w:rsidP="00485FF4">
      <w:pPr>
        <w:jc w:val="center"/>
        <w:rPr>
          <w:sz w:val="20"/>
          <w:lang w:val="en-NZ"/>
        </w:rPr>
      </w:pPr>
    </w:p>
    <w:p w:rsidR="00F452EA" w:rsidRPr="00086ED8" w:rsidRDefault="00F452EA" w:rsidP="00F452EA">
      <w:pPr>
        <w:jc w:val="both"/>
        <w:rPr>
          <w:rFonts w:cs="Arial"/>
          <w:b/>
          <w:szCs w:val="24"/>
        </w:rPr>
      </w:pPr>
      <w:r>
        <w:rPr>
          <w:rFonts w:cs="Arial"/>
          <w:b/>
          <w:szCs w:val="24"/>
        </w:rPr>
        <w:t>Availability on MSD website</w:t>
      </w:r>
    </w:p>
    <w:p w:rsidR="00F452EA" w:rsidRPr="00086ED8" w:rsidRDefault="00F452EA" w:rsidP="00485FF4">
      <w:pPr>
        <w:jc w:val="center"/>
        <w:rPr>
          <w:sz w:val="20"/>
          <w:lang w:val="en-NZ"/>
        </w:rPr>
      </w:pPr>
    </w:p>
    <w:p w:rsidR="00F452EA" w:rsidRDefault="00F452EA" w:rsidP="00290EBB">
      <w:pPr>
        <w:numPr>
          <w:ilvl w:val="0"/>
          <w:numId w:val="8"/>
        </w:numPr>
        <w:tabs>
          <w:tab w:val="clear" w:pos="720"/>
          <w:tab w:val="num" w:pos="450"/>
        </w:tabs>
        <w:ind w:left="450" w:hanging="270"/>
        <w:jc w:val="both"/>
        <w:rPr>
          <w:rFonts w:cs="Arial"/>
          <w:sz w:val="20"/>
          <w:szCs w:val="22"/>
        </w:rPr>
      </w:pPr>
      <w:r>
        <w:rPr>
          <w:rFonts w:cs="Arial"/>
          <w:sz w:val="20"/>
          <w:szCs w:val="22"/>
        </w:rPr>
        <w:t>This report and previous ones are available on the MSD website:</w:t>
      </w:r>
    </w:p>
    <w:p w:rsidR="00F452EA" w:rsidRDefault="00F452EA" w:rsidP="00F452EA">
      <w:pPr>
        <w:jc w:val="both"/>
        <w:rPr>
          <w:rFonts w:cs="Arial"/>
          <w:sz w:val="20"/>
          <w:szCs w:val="22"/>
        </w:rPr>
      </w:pPr>
    </w:p>
    <w:p w:rsidR="00F452EA" w:rsidRPr="00F452EA" w:rsidRDefault="00F452EA" w:rsidP="00F452EA">
      <w:pPr>
        <w:ind w:firstLine="450"/>
        <w:jc w:val="both"/>
        <w:rPr>
          <w:rFonts w:cs="Arial"/>
          <w:sz w:val="20"/>
          <w:szCs w:val="22"/>
        </w:rPr>
      </w:pPr>
      <w:r w:rsidRPr="00F452EA">
        <w:rPr>
          <w:rFonts w:cs="Arial"/>
          <w:sz w:val="20"/>
          <w:szCs w:val="22"/>
        </w:rPr>
        <w:t>www.msd.govt.nz/about-msd-and-our-work/publications-r</w:t>
      </w:r>
      <w:r>
        <w:rPr>
          <w:rFonts w:cs="Arial"/>
          <w:sz w:val="20"/>
          <w:szCs w:val="22"/>
        </w:rPr>
        <w:t>esources/monitoring/index.html</w:t>
      </w:r>
    </w:p>
    <w:p w:rsidR="001B44B3" w:rsidRPr="00086ED8" w:rsidRDefault="001B44B3" w:rsidP="00485FF4">
      <w:pPr>
        <w:jc w:val="center"/>
        <w:rPr>
          <w:sz w:val="20"/>
          <w:lang w:val="en-NZ"/>
        </w:rPr>
      </w:pPr>
    </w:p>
    <w:p w:rsidR="001B44B3" w:rsidRPr="00086ED8" w:rsidRDefault="001B44B3" w:rsidP="00485FF4">
      <w:pPr>
        <w:jc w:val="center"/>
        <w:rPr>
          <w:sz w:val="20"/>
          <w:lang w:val="en-NZ"/>
        </w:rPr>
      </w:pPr>
    </w:p>
    <w:p w:rsidR="001B44B3" w:rsidRPr="00086ED8" w:rsidRDefault="001B44B3" w:rsidP="00485FF4">
      <w:pPr>
        <w:jc w:val="center"/>
        <w:rPr>
          <w:sz w:val="20"/>
          <w:lang w:val="en-NZ"/>
        </w:rPr>
      </w:pPr>
    </w:p>
    <w:p w:rsidR="00EE2F27" w:rsidRPr="00086ED8" w:rsidRDefault="00EE2F27" w:rsidP="00EE2F27">
      <w:pPr>
        <w:ind w:left="900" w:hanging="450"/>
        <w:jc w:val="both"/>
        <w:rPr>
          <w:sz w:val="16"/>
          <w:szCs w:val="18"/>
          <w:lang w:val="en-NZ"/>
        </w:rPr>
      </w:pPr>
    </w:p>
    <w:p w:rsidR="001B44B3" w:rsidRPr="00086ED8" w:rsidRDefault="001B44B3" w:rsidP="00485FF4">
      <w:pPr>
        <w:jc w:val="center"/>
        <w:rPr>
          <w:sz w:val="20"/>
          <w:lang w:val="en-NZ"/>
        </w:rPr>
      </w:pPr>
    </w:p>
    <w:p w:rsidR="001B44B3" w:rsidRPr="00086ED8" w:rsidRDefault="001B44B3" w:rsidP="00485FF4">
      <w:pPr>
        <w:jc w:val="center"/>
        <w:rPr>
          <w:sz w:val="20"/>
          <w:lang w:val="en-NZ"/>
        </w:rPr>
      </w:pPr>
    </w:p>
    <w:p w:rsidR="00EE2F27" w:rsidRPr="00086ED8" w:rsidRDefault="00EE2F27" w:rsidP="00785A9E">
      <w:pPr>
        <w:jc w:val="both"/>
        <w:rPr>
          <w:b/>
          <w:szCs w:val="24"/>
          <w:lang w:val="en-NZ"/>
        </w:rPr>
      </w:pPr>
    </w:p>
    <w:p w:rsidR="00EE2F27" w:rsidRPr="00086ED8" w:rsidRDefault="00EE2F27" w:rsidP="00785A9E">
      <w:pPr>
        <w:jc w:val="both"/>
        <w:rPr>
          <w:b/>
          <w:szCs w:val="24"/>
          <w:lang w:val="en-NZ"/>
        </w:rPr>
      </w:pPr>
    </w:p>
    <w:p w:rsidR="00B054E2" w:rsidRDefault="00B054E2" w:rsidP="00785A9E">
      <w:pPr>
        <w:jc w:val="both"/>
        <w:rPr>
          <w:b/>
          <w:szCs w:val="24"/>
          <w:lang w:val="en-NZ"/>
        </w:rPr>
      </w:pPr>
    </w:p>
    <w:p w:rsidR="00B054E2" w:rsidRDefault="00B054E2" w:rsidP="00785A9E">
      <w:pPr>
        <w:jc w:val="both"/>
        <w:rPr>
          <w:b/>
          <w:szCs w:val="24"/>
          <w:lang w:val="en-NZ"/>
        </w:rPr>
      </w:pPr>
    </w:p>
    <w:p w:rsidR="00B054E2" w:rsidRDefault="00B054E2" w:rsidP="00785A9E">
      <w:pPr>
        <w:jc w:val="both"/>
        <w:rPr>
          <w:b/>
          <w:szCs w:val="24"/>
          <w:lang w:val="en-NZ"/>
        </w:rPr>
      </w:pPr>
    </w:p>
    <w:p w:rsidR="003C4AD3" w:rsidRDefault="003C4AD3" w:rsidP="00785A9E">
      <w:pPr>
        <w:jc w:val="both"/>
        <w:rPr>
          <w:b/>
          <w:szCs w:val="24"/>
          <w:lang w:val="en-NZ"/>
        </w:rPr>
      </w:pPr>
    </w:p>
    <w:p w:rsidR="001B44B3" w:rsidRPr="00086ED8" w:rsidRDefault="00785A9E" w:rsidP="00785A9E">
      <w:pPr>
        <w:jc w:val="both"/>
        <w:rPr>
          <w:b/>
          <w:szCs w:val="24"/>
          <w:lang w:val="en-NZ"/>
        </w:rPr>
      </w:pPr>
      <w:r w:rsidRPr="00086ED8">
        <w:rPr>
          <w:b/>
          <w:szCs w:val="24"/>
          <w:lang w:val="en-NZ"/>
        </w:rPr>
        <w:t>Acknowledgements</w:t>
      </w:r>
    </w:p>
    <w:p w:rsidR="00785A9E" w:rsidRPr="00086ED8" w:rsidRDefault="00785A9E" w:rsidP="00785A9E">
      <w:pPr>
        <w:jc w:val="both"/>
        <w:rPr>
          <w:sz w:val="20"/>
          <w:lang w:val="en-NZ"/>
        </w:rPr>
      </w:pPr>
    </w:p>
    <w:p w:rsidR="00AB26AF" w:rsidRPr="00086ED8" w:rsidRDefault="00AB26AF" w:rsidP="00AB26AF">
      <w:pPr>
        <w:jc w:val="both"/>
        <w:rPr>
          <w:sz w:val="16"/>
          <w:szCs w:val="18"/>
          <w:lang w:val="en-NZ"/>
        </w:rPr>
      </w:pPr>
      <w:r w:rsidRPr="00AB26AF">
        <w:rPr>
          <w:sz w:val="20"/>
          <w:lang w:val="en-NZ"/>
        </w:rPr>
        <w:t>I thank all those who provided comments on earlier drafts</w:t>
      </w:r>
      <w:r w:rsidR="002C0B29">
        <w:rPr>
          <w:sz w:val="20"/>
          <w:lang w:val="en-NZ"/>
        </w:rPr>
        <w:t>, especially</w:t>
      </w:r>
      <w:r w:rsidRPr="00AB26AF">
        <w:rPr>
          <w:sz w:val="20"/>
          <w:lang w:val="en-NZ"/>
        </w:rPr>
        <w:t xml:space="preserve"> colleagues within the Ministry of Social Development and </w:t>
      </w:r>
      <w:r w:rsidR="002C0B29">
        <w:rPr>
          <w:sz w:val="20"/>
          <w:lang w:val="en-NZ"/>
        </w:rPr>
        <w:t>from Statistics New Zealand</w:t>
      </w:r>
      <w:r w:rsidR="00F2203A">
        <w:rPr>
          <w:sz w:val="20"/>
          <w:lang w:val="en-NZ"/>
        </w:rPr>
        <w:t xml:space="preserve">, and Kristie Carter and Fiona Imlach Gunasekara from the </w:t>
      </w:r>
      <w:smartTag w:uri="urn:schemas-microsoft-com:office:smarttags" w:element="PlaceType">
        <w:r w:rsidR="00F2203A">
          <w:rPr>
            <w:sz w:val="20"/>
            <w:lang w:val="en-NZ"/>
          </w:rPr>
          <w:t>University</w:t>
        </w:r>
      </w:smartTag>
      <w:r w:rsidR="00F2203A">
        <w:rPr>
          <w:sz w:val="20"/>
          <w:lang w:val="en-NZ"/>
        </w:rPr>
        <w:t xml:space="preserve"> of </w:t>
      </w:r>
      <w:smartTag w:uri="urn:schemas-microsoft-com:office:smarttags" w:element="PlaceName">
        <w:r w:rsidR="00F2203A">
          <w:rPr>
            <w:sz w:val="20"/>
            <w:lang w:val="en-NZ"/>
          </w:rPr>
          <w:t>Otago</w:t>
        </w:r>
      </w:smartTag>
      <w:r w:rsidR="00F2203A">
        <w:rPr>
          <w:sz w:val="20"/>
          <w:lang w:val="en-NZ"/>
        </w:rPr>
        <w:t xml:space="preserve"> (</w:t>
      </w:r>
      <w:smartTag w:uri="urn:schemas-microsoft-com:office:smarttags" w:element="place">
        <w:smartTag w:uri="urn:schemas-microsoft-com:office:smarttags" w:element="City">
          <w:r w:rsidR="00F2203A">
            <w:rPr>
              <w:sz w:val="20"/>
              <w:lang w:val="en-NZ"/>
            </w:rPr>
            <w:t>Wellington</w:t>
          </w:r>
        </w:smartTag>
      </w:smartTag>
      <w:r w:rsidR="00F2203A">
        <w:rPr>
          <w:sz w:val="20"/>
          <w:lang w:val="en-NZ"/>
        </w:rPr>
        <w:t>) who provided some extra SoFIE tables and reviewed the income mobility section.</w:t>
      </w:r>
      <w:r w:rsidRPr="00AB26AF">
        <w:rPr>
          <w:sz w:val="20"/>
          <w:lang w:val="en-NZ"/>
        </w:rPr>
        <w:t xml:space="preserve">  </w:t>
      </w:r>
      <w:r w:rsidRPr="00AB26AF">
        <w:rPr>
          <w:sz w:val="20"/>
          <w:shd w:val="clear" w:color="auto" w:fill="FFFFFF"/>
          <w:lang w:val="en-NZ"/>
        </w:rPr>
        <w:t xml:space="preserve"> My special thanks to </w:t>
      </w:r>
      <w:smartTag w:uri="urn:schemas-microsoft-com:office:smarttags" w:element="PersonName">
        <w:smartTag w:uri="urn:schemas-microsoft-com:office:smarttags" w:element="PersonName">
          <w:r w:rsidRPr="00AB26AF">
            <w:rPr>
              <w:sz w:val="20"/>
              <w:shd w:val="clear" w:color="auto" w:fill="FFFFFF"/>
              <w:lang w:val="en-NZ"/>
            </w:rPr>
            <w:t>Nadra</w:t>
          </w:r>
        </w:smartTag>
        <w:r w:rsidRPr="00AB26AF">
          <w:rPr>
            <w:sz w:val="20"/>
            <w:shd w:val="clear" w:color="auto" w:fill="FFFFFF"/>
            <w:lang w:val="en-NZ"/>
          </w:rPr>
          <w:t xml:space="preserve"> Zarifeh</w:t>
        </w:r>
      </w:smartTag>
      <w:r w:rsidRPr="00AB26AF">
        <w:rPr>
          <w:sz w:val="20"/>
          <w:shd w:val="clear" w:color="auto" w:fill="FFFFFF"/>
          <w:lang w:val="en-NZ"/>
        </w:rPr>
        <w:t xml:space="preserve"> whose expert knowledge of the HES datasets, SAS coding and contributions to the analysis have been invaluable in the production of the report.  </w:t>
      </w:r>
      <w:r w:rsidRPr="00AB26AF">
        <w:rPr>
          <w:sz w:val="20"/>
          <w:lang w:val="en-NZ"/>
        </w:rPr>
        <w:t>Responsibility for all the analysis and interpretation in the report (including any errors or omissions) remains mine alone.</w:t>
      </w:r>
    </w:p>
    <w:p w:rsidR="00485FF4" w:rsidRPr="00897286" w:rsidRDefault="00CA34C3" w:rsidP="008363A0">
      <w:pPr>
        <w:ind w:left="360" w:hanging="360"/>
        <w:rPr>
          <w:rFonts w:cs="Arial"/>
          <w:b/>
          <w:sz w:val="32"/>
          <w:szCs w:val="32"/>
        </w:rPr>
      </w:pPr>
      <w:r>
        <w:rPr>
          <w:rFonts w:cs="Arial"/>
          <w:b/>
          <w:sz w:val="32"/>
          <w:szCs w:val="32"/>
        </w:rPr>
        <w:br w:type="page"/>
      </w:r>
      <w:r w:rsidR="00485FF4" w:rsidRPr="00897286">
        <w:rPr>
          <w:rFonts w:cs="Arial"/>
          <w:b/>
          <w:sz w:val="32"/>
          <w:szCs w:val="32"/>
        </w:rPr>
        <w:lastRenderedPageBreak/>
        <w:t>Contents</w:t>
      </w:r>
    </w:p>
    <w:p w:rsidR="00485FF4" w:rsidRDefault="00485FF4" w:rsidP="00485FF4">
      <w:pPr>
        <w:jc w:val="both"/>
        <w:rPr>
          <w:rFonts w:cs="Arial"/>
          <w:szCs w:val="22"/>
        </w:rPr>
      </w:pPr>
    </w:p>
    <w:p w:rsidR="00485FF4" w:rsidRDefault="00485FF4" w:rsidP="00485FF4">
      <w:pPr>
        <w:jc w:val="both"/>
        <w:rPr>
          <w:rFonts w:cs="Arial"/>
          <w:szCs w:val="22"/>
        </w:rPr>
      </w:pPr>
    </w:p>
    <w:p w:rsidR="00E23F25" w:rsidRDefault="00E23F25" w:rsidP="00550347">
      <w:pPr>
        <w:pStyle w:val="Heading1"/>
        <w:tabs>
          <w:tab w:val="left" w:pos="1800"/>
          <w:tab w:val="right" w:pos="8280"/>
          <w:tab w:val="right" w:pos="9000"/>
        </w:tabs>
        <w:rPr>
          <w:sz w:val="22"/>
          <w:szCs w:val="22"/>
        </w:rPr>
      </w:pPr>
      <w:r w:rsidRPr="00197E87">
        <w:rPr>
          <w:sz w:val="22"/>
          <w:szCs w:val="22"/>
        </w:rPr>
        <w:t>List of Figures</w:t>
      </w:r>
      <w:r>
        <w:rPr>
          <w:sz w:val="22"/>
          <w:szCs w:val="22"/>
        </w:rPr>
        <w:t xml:space="preserve"> and Tables</w:t>
      </w:r>
      <w:r>
        <w:rPr>
          <w:sz w:val="22"/>
          <w:szCs w:val="22"/>
        </w:rPr>
        <w:tab/>
      </w:r>
      <w:r w:rsidRPr="00550347">
        <w:rPr>
          <w:b w:val="0"/>
          <w:sz w:val="22"/>
          <w:szCs w:val="22"/>
        </w:rPr>
        <w:t>……………………………………………………………..</w:t>
      </w:r>
      <w:r>
        <w:rPr>
          <w:b w:val="0"/>
          <w:sz w:val="22"/>
          <w:szCs w:val="22"/>
        </w:rPr>
        <w:tab/>
      </w:r>
      <w:r w:rsidRPr="00550347">
        <w:rPr>
          <w:b w:val="0"/>
          <w:sz w:val="20"/>
          <w:szCs w:val="20"/>
        </w:rPr>
        <w:t>vi</w:t>
      </w:r>
      <w:r w:rsidR="00445108">
        <w:rPr>
          <w:b w:val="0"/>
          <w:sz w:val="20"/>
          <w:szCs w:val="20"/>
        </w:rPr>
        <w:t>i</w:t>
      </w:r>
      <w:r w:rsidRPr="00197E87">
        <w:rPr>
          <w:sz w:val="22"/>
          <w:szCs w:val="22"/>
        </w:rPr>
        <w:t xml:space="preserve"> </w:t>
      </w:r>
    </w:p>
    <w:p w:rsidR="00E23F25" w:rsidRDefault="00E23F25" w:rsidP="00550347">
      <w:pPr>
        <w:pStyle w:val="Heading1"/>
        <w:tabs>
          <w:tab w:val="left" w:pos="1800"/>
          <w:tab w:val="right" w:pos="8280"/>
          <w:tab w:val="right" w:pos="9000"/>
        </w:tabs>
        <w:rPr>
          <w:sz w:val="22"/>
          <w:szCs w:val="22"/>
        </w:rPr>
      </w:pPr>
    </w:p>
    <w:p w:rsidR="00485FF4" w:rsidRPr="00197E87" w:rsidRDefault="00485FF4" w:rsidP="00550347">
      <w:pPr>
        <w:pStyle w:val="Heading1"/>
        <w:tabs>
          <w:tab w:val="left" w:pos="1800"/>
          <w:tab w:val="right" w:pos="8280"/>
          <w:tab w:val="right" w:pos="9000"/>
        </w:tabs>
        <w:rPr>
          <w:sz w:val="22"/>
          <w:szCs w:val="22"/>
        </w:rPr>
      </w:pPr>
      <w:r w:rsidRPr="00197E87">
        <w:rPr>
          <w:sz w:val="22"/>
          <w:szCs w:val="22"/>
        </w:rPr>
        <w:t>Abbreviations</w:t>
      </w:r>
      <w:r w:rsidR="00550347">
        <w:rPr>
          <w:sz w:val="22"/>
          <w:szCs w:val="22"/>
        </w:rPr>
        <w:tab/>
      </w:r>
      <w:r w:rsidR="00550347">
        <w:rPr>
          <w:sz w:val="22"/>
          <w:szCs w:val="22"/>
        </w:rPr>
        <w:tab/>
      </w:r>
      <w:r w:rsidR="00550347" w:rsidRPr="00550347">
        <w:rPr>
          <w:b w:val="0"/>
          <w:sz w:val="22"/>
          <w:szCs w:val="22"/>
        </w:rPr>
        <w:t>……………………………</w:t>
      </w:r>
      <w:r w:rsidR="00550347" w:rsidRPr="00550347">
        <w:rPr>
          <w:b w:val="0"/>
          <w:sz w:val="20"/>
          <w:szCs w:val="22"/>
        </w:rPr>
        <w:t>…………………………………………………..</w:t>
      </w:r>
      <w:r w:rsidR="00550347" w:rsidRPr="00550347">
        <w:rPr>
          <w:b w:val="0"/>
          <w:sz w:val="20"/>
          <w:szCs w:val="22"/>
        </w:rPr>
        <w:tab/>
      </w:r>
      <w:r w:rsidR="00E23F25">
        <w:rPr>
          <w:b w:val="0"/>
          <w:sz w:val="20"/>
        </w:rPr>
        <w:t>x</w:t>
      </w:r>
      <w:r w:rsidR="00445108">
        <w:rPr>
          <w:b w:val="0"/>
          <w:sz w:val="20"/>
        </w:rPr>
        <w:t>i</w:t>
      </w:r>
      <w:r w:rsidR="00321CFD">
        <w:rPr>
          <w:b w:val="0"/>
          <w:sz w:val="20"/>
        </w:rPr>
        <w:t>i</w:t>
      </w:r>
    </w:p>
    <w:p w:rsidR="00485FF4" w:rsidRPr="00197E87" w:rsidRDefault="00485FF4" w:rsidP="00485FF4">
      <w:pPr>
        <w:pStyle w:val="Heading1"/>
        <w:tabs>
          <w:tab w:val="left" w:pos="1800"/>
          <w:tab w:val="right" w:pos="9000"/>
        </w:tabs>
        <w:ind w:left="360"/>
        <w:rPr>
          <w:sz w:val="22"/>
          <w:szCs w:val="22"/>
        </w:rPr>
      </w:pPr>
    </w:p>
    <w:p w:rsidR="00485FF4" w:rsidRDefault="00485FF4" w:rsidP="00485FF4">
      <w:pPr>
        <w:pStyle w:val="Heading1"/>
        <w:tabs>
          <w:tab w:val="left" w:pos="1800"/>
          <w:tab w:val="right" w:pos="9000"/>
        </w:tabs>
        <w:ind w:left="360"/>
        <w:rPr>
          <w:sz w:val="24"/>
          <w:szCs w:val="28"/>
        </w:rPr>
      </w:pPr>
    </w:p>
    <w:p w:rsidR="00056616" w:rsidRDefault="00056616" w:rsidP="00485FF4">
      <w:pPr>
        <w:pStyle w:val="Heading1"/>
        <w:tabs>
          <w:tab w:val="left" w:pos="1800"/>
          <w:tab w:val="right" w:pos="9000"/>
        </w:tabs>
        <w:rPr>
          <w:rFonts w:cs="Times New Roman"/>
          <w:b w:val="0"/>
          <w:bCs w:val="0"/>
          <w:kern w:val="0"/>
          <w:sz w:val="22"/>
          <w:szCs w:val="20"/>
          <w:lang w:val="en-GB"/>
        </w:rPr>
      </w:pPr>
    </w:p>
    <w:p w:rsidR="00485FF4" w:rsidRDefault="00485FF4" w:rsidP="00485FF4">
      <w:pPr>
        <w:pStyle w:val="Heading1"/>
        <w:tabs>
          <w:tab w:val="left" w:pos="1800"/>
          <w:tab w:val="right" w:pos="9000"/>
        </w:tabs>
        <w:rPr>
          <w:b w:val="0"/>
          <w:sz w:val="20"/>
          <w:szCs w:val="20"/>
        </w:rPr>
      </w:pPr>
      <w:r w:rsidRPr="00961F57">
        <w:rPr>
          <w:sz w:val="24"/>
          <w:szCs w:val="28"/>
        </w:rPr>
        <w:t>About this report</w:t>
      </w:r>
      <w:r>
        <w:rPr>
          <w:sz w:val="24"/>
          <w:szCs w:val="28"/>
        </w:rPr>
        <w:t xml:space="preserve">  </w:t>
      </w:r>
      <w:r w:rsidRPr="00550347">
        <w:rPr>
          <w:b w:val="0"/>
          <w:sz w:val="24"/>
          <w:szCs w:val="28"/>
        </w:rPr>
        <w:t>..</w:t>
      </w:r>
      <w:r w:rsidRPr="00A33B9D">
        <w:rPr>
          <w:b w:val="0"/>
          <w:sz w:val="22"/>
          <w:szCs w:val="22"/>
        </w:rPr>
        <w:t>………………………………………………………………</w:t>
      </w:r>
      <w:r>
        <w:rPr>
          <w:b w:val="0"/>
          <w:sz w:val="22"/>
          <w:szCs w:val="22"/>
        </w:rPr>
        <w:t>………..</w:t>
      </w:r>
      <w:r>
        <w:rPr>
          <w:b w:val="0"/>
          <w:sz w:val="22"/>
          <w:szCs w:val="22"/>
        </w:rPr>
        <w:tab/>
      </w:r>
      <w:r w:rsidRPr="0049362B">
        <w:rPr>
          <w:b w:val="0"/>
          <w:sz w:val="20"/>
          <w:szCs w:val="20"/>
        </w:rPr>
        <w:t>1</w:t>
      </w:r>
    </w:p>
    <w:p w:rsidR="008A70EF" w:rsidRDefault="008A70EF" w:rsidP="008A70EF">
      <w:pPr>
        <w:pStyle w:val="Heading1"/>
        <w:tabs>
          <w:tab w:val="left" w:pos="1800"/>
          <w:tab w:val="right" w:pos="9000"/>
        </w:tabs>
        <w:rPr>
          <w:rFonts w:cs="Times New Roman"/>
          <w:b w:val="0"/>
          <w:bCs w:val="0"/>
          <w:kern w:val="0"/>
          <w:sz w:val="22"/>
          <w:szCs w:val="20"/>
        </w:rPr>
      </w:pPr>
    </w:p>
    <w:p w:rsidR="008A70EF" w:rsidRDefault="008A70EF" w:rsidP="008A70EF">
      <w:pPr>
        <w:pStyle w:val="Heading1"/>
        <w:tabs>
          <w:tab w:val="left" w:pos="1800"/>
          <w:tab w:val="right" w:pos="9000"/>
        </w:tabs>
        <w:rPr>
          <w:rFonts w:cs="Times New Roman"/>
          <w:b w:val="0"/>
          <w:bCs w:val="0"/>
          <w:kern w:val="0"/>
          <w:sz w:val="22"/>
          <w:szCs w:val="20"/>
        </w:rPr>
      </w:pPr>
    </w:p>
    <w:p w:rsidR="008A70EF" w:rsidRDefault="001978C5" w:rsidP="001978C5">
      <w:pPr>
        <w:pStyle w:val="Heading1"/>
        <w:tabs>
          <w:tab w:val="left" w:pos="1440"/>
          <w:tab w:val="right" w:pos="9000"/>
        </w:tabs>
        <w:rPr>
          <w:b w:val="0"/>
          <w:sz w:val="20"/>
          <w:szCs w:val="20"/>
        </w:rPr>
      </w:pPr>
      <w:r>
        <w:rPr>
          <w:sz w:val="24"/>
          <w:szCs w:val="28"/>
        </w:rPr>
        <w:t>Summary</w:t>
      </w:r>
      <w:r w:rsidR="008A70EF">
        <w:rPr>
          <w:sz w:val="24"/>
          <w:szCs w:val="28"/>
        </w:rPr>
        <w:tab/>
      </w:r>
      <w:r w:rsidRPr="001978C5">
        <w:rPr>
          <w:b w:val="0"/>
          <w:sz w:val="24"/>
          <w:szCs w:val="28"/>
        </w:rPr>
        <w:t>..</w:t>
      </w:r>
      <w:r w:rsidR="008A70EF" w:rsidRPr="001978C5">
        <w:rPr>
          <w:b w:val="0"/>
          <w:sz w:val="24"/>
          <w:szCs w:val="28"/>
        </w:rPr>
        <w:t>…</w:t>
      </w:r>
      <w:r w:rsidR="008A70EF" w:rsidRPr="008A70EF">
        <w:rPr>
          <w:b w:val="0"/>
          <w:sz w:val="24"/>
          <w:szCs w:val="28"/>
        </w:rPr>
        <w:t>…..</w:t>
      </w:r>
      <w:r w:rsidR="008A70EF" w:rsidRPr="008A70EF">
        <w:rPr>
          <w:b w:val="0"/>
          <w:sz w:val="22"/>
          <w:szCs w:val="22"/>
        </w:rPr>
        <w:t>…</w:t>
      </w:r>
      <w:r w:rsidR="008A70EF" w:rsidRPr="00A33B9D">
        <w:rPr>
          <w:b w:val="0"/>
          <w:sz w:val="22"/>
          <w:szCs w:val="22"/>
        </w:rPr>
        <w:t>…………………………………………………………</w:t>
      </w:r>
      <w:r w:rsidR="008A70EF">
        <w:rPr>
          <w:b w:val="0"/>
          <w:sz w:val="22"/>
          <w:szCs w:val="22"/>
        </w:rPr>
        <w:t>………</w:t>
      </w:r>
      <w:r>
        <w:rPr>
          <w:b w:val="0"/>
          <w:sz w:val="22"/>
          <w:szCs w:val="22"/>
        </w:rPr>
        <w:t>…..</w:t>
      </w:r>
      <w:r w:rsidR="008A70EF">
        <w:rPr>
          <w:b w:val="0"/>
          <w:sz w:val="22"/>
          <w:szCs w:val="22"/>
        </w:rPr>
        <w:tab/>
      </w:r>
      <w:r w:rsidR="00946E37">
        <w:rPr>
          <w:b w:val="0"/>
          <w:sz w:val="20"/>
          <w:szCs w:val="20"/>
        </w:rPr>
        <w:t>3</w:t>
      </w:r>
    </w:p>
    <w:p w:rsidR="008A70EF" w:rsidRPr="008A70EF" w:rsidRDefault="008A70EF" w:rsidP="008A70EF">
      <w:pPr>
        <w:rPr>
          <w:lang w:val="en-NZ"/>
        </w:rPr>
      </w:pPr>
    </w:p>
    <w:p w:rsidR="008A70EF" w:rsidRDefault="008A70EF" w:rsidP="00485FF4">
      <w:pPr>
        <w:pStyle w:val="Heading1"/>
        <w:tabs>
          <w:tab w:val="left" w:pos="1440"/>
        </w:tabs>
        <w:ind w:left="1440" w:hanging="1440"/>
        <w:rPr>
          <w:sz w:val="24"/>
          <w:szCs w:val="28"/>
        </w:rPr>
      </w:pPr>
    </w:p>
    <w:p w:rsidR="00485FF4" w:rsidRPr="00961F57" w:rsidRDefault="00485FF4" w:rsidP="00485FF4">
      <w:pPr>
        <w:pStyle w:val="Heading1"/>
        <w:tabs>
          <w:tab w:val="left" w:pos="1440"/>
        </w:tabs>
        <w:ind w:left="1440" w:hanging="1440"/>
        <w:rPr>
          <w:sz w:val="24"/>
          <w:szCs w:val="28"/>
        </w:rPr>
      </w:pPr>
      <w:r>
        <w:rPr>
          <w:sz w:val="24"/>
          <w:szCs w:val="28"/>
        </w:rPr>
        <w:t xml:space="preserve">Section A   </w:t>
      </w:r>
      <w:r>
        <w:rPr>
          <w:sz w:val="24"/>
          <w:szCs w:val="28"/>
        </w:rPr>
        <w:tab/>
      </w:r>
      <w:r w:rsidRPr="00961F57">
        <w:rPr>
          <w:sz w:val="24"/>
          <w:szCs w:val="28"/>
        </w:rPr>
        <w:t>Introduction</w:t>
      </w:r>
    </w:p>
    <w:p w:rsidR="00485FF4" w:rsidRPr="00961F57" w:rsidRDefault="00485FF4" w:rsidP="00485FF4">
      <w:pPr>
        <w:tabs>
          <w:tab w:val="right" w:pos="8280"/>
          <w:tab w:val="right" w:pos="9000"/>
        </w:tabs>
        <w:spacing w:before="60"/>
        <w:ind w:left="360"/>
        <w:rPr>
          <w:sz w:val="20"/>
          <w:szCs w:val="22"/>
        </w:rPr>
      </w:pPr>
      <w:r w:rsidRPr="00961F57">
        <w:rPr>
          <w:sz w:val="20"/>
          <w:szCs w:val="22"/>
        </w:rPr>
        <w:t>Gross and disposable household incomes</w:t>
      </w:r>
      <w:r>
        <w:rPr>
          <w:sz w:val="20"/>
          <w:szCs w:val="22"/>
        </w:rPr>
        <w:t xml:space="preserve">  </w:t>
      </w:r>
      <w:r>
        <w:rPr>
          <w:sz w:val="20"/>
          <w:szCs w:val="22"/>
        </w:rPr>
        <w:tab/>
        <w:t>…………………………………………………..</w:t>
      </w:r>
      <w:r>
        <w:rPr>
          <w:sz w:val="20"/>
          <w:szCs w:val="22"/>
        </w:rPr>
        <w:tab/>
      </w:r>
      <w:r w:rsidR="00A65E81">
        <w:rPr>
          <w:sz w:val="20"/>
        </w:rPr>
        <w:t>2</w:t>
      </w:r>
      <w:r w:rsidR="00BD1B2B">
        <w:rPr>
          <w:sz w:val="20"/>
        </w:rPr>
        <w:t>5</w:t>
      </w:r>
    </w:p>
    <w:p w:rsidR="00485FF4" w:rsidRPr="00961F57" w:rsidRDefault="00485FF4" w:rsidP="00485FF4">
      <w:pPr>
        <w:tabs>
          <w:tab w:val="right" w:pos="8280"/>
          <w:tab w:val="right" w:pos="9000"/>
        </w:tabs>
        <w:spacing w:before="60"/>
        <w:ind w:left="360"/>
        <w:rPr>
          <w:sz w:val="20"/>
          <w:szCs w:val="22"/>
        </w:rPr>
      </w:pPr>
      <w:r w:rsidRPr="00961F57">
        <w:rPr>
          <w:sz w:val="20"/>
          <w:szCs w:val="22"/>
        </w:rPr>
        <w:t>Equivalised disposable household income and (potential) living standards</w:t>
      </w:r>
      <w:r>
        <w:rPr>
          <w:sz w:val="20"/>
          <w:szCs w:val="22"/>
        </w:rPr>
        <w:t xml:space="preserve">    </w:t>
      </w:r>
      <w:r>
        <w:rPr>
          <w:sz w:val="20"/>
          <w:szCs w:val="22"/>
        </w:rPr>
        <w:tab/>
        <w:t>………………</w:t>
      </w:r>
      <w:r>
        <w:rPr>
          <w:sz w:val="20"/>
          <w:szCs w:val="22"/>
        </w:rPr>
        <w:tab/>
      </w:r>
      <w:r w:rsidR="00A65E81">
        <w:rPr>
          <w:sz w:val="20"/>
          <w:szCs w:val="22"/>
        </w:rPr>
        <w:t>2</w:t>
      </w:r>
      <w:r w:rsidR="00BD1B2B">
        <w:rPr>
          <w:sz w:val="20"/>
          <w:szCs w:val="22"/>
        </w:rPr>
        <w:t>6</w:t>
      </w:r>
    </w:p>
    <w:p w:rsidR="00446FD7" w:rsidRPr="00961F57" w:rsidRDefault="00446FD7" w:rsidP="00446FD7">
      <w:pPr>
        <w:tabs>
          <w:tab w:val="right" w:pos="8280"/>
          <w:tab w:val="right" w:pos="9000"/>
        </w:tabs>
        <w:spacing w:before="60"/>
        <w:ind w:left="360"/>
        <w:rPr>
          <w:sz w:val="20"/>
          <w:szCs w:val="22"/>
        </w:rPr>
      </w:pPr>
      <w:r w:rsidRPr="00961F57">
        <w:rPr>
          <w:sz w:val="20"/>
          <w:szCs w:val="22"/>
        </w:rPr>
        <w:t xml:space="preserve">Equivalisation </w:t>
      </w:r>
      <w:r>
        <w:rPr>
          <w:sz w:val="20"/>
          <w:szCs w:val="22"/>
        </w:rPr>
        <w:t>–</w:t>
      </w:r>
      <w:r w:rsidRPr="00961F57">
        <w:rPr>
          <w:sz w:val="20"/>
          <w:szCs w:val="22"/>
        </w:rPr>
        <w:t xml:space="preserve"> comparing incomes across different household and family types</w:t>
      </w:r>
      <w:r>
        <w:rPr>
          <w:sz w:val="20"/>
          <w:szCs w:val="22"/>
        </w:rPr>
        <w:t xml:space="preserve">    </w:t>
      </w:r>
      <w:r>
        <w:rPr>
          <w:sz w:val="20"/>
          <w:szCs w:val="22"/>
        </w:rPr>
        <w:tab/>
        <w:t>………</w:t>
      </w:r>
      <w:r>
        <w:rPr>
          <w:sz w:val="20"/>
          <w:szCs w:val="22"/>
        </w:rPr>
        <w:tab/>
      </w:r>
      <w:r w:rsidR="00A65E81">
        <w:rPr>
          <w:sz w:val="20"/>
          <w:szCs w:val="22"/>
        </w:rPr>
        <w:t>2</w:t>
      </w:r>
      <w:r w:rsidR="00BD1B2B">
        <w:rPr>
          <w:sz w:val="20"/>
          <w:szCs w:val="22"/>
        </w:rPr>
        <w:t>7</w:t>
      </w:r>
    </w:p>
    <w:p w:rsidR="00485FF4" w:rsidRDefault="00485FF4" w:rsidP="00485FF4">
      <w:pPr>
        <w:tabs>
          <w:tab w:val="right" w:pos="8280"/>
          <w:tab w:val="right" w:pos="9000"/>
        </w:tabs>
        <w:spacing w:before="60"/>
        <w:ind w:left="360"/>
        <w:rPr>
          <w:sz w:val="20"/>
          <w:szCs w:val="22"/>
        </w:rPr>
      </w:pPr>
      <w:r w:rsidRPr="00961F57">
        <w:rPr>
          <w:sz w:val="20"/>
          <w:szCs w:val="22"/>
        </w:rPr>
        <w:t>Income sharing unit and the unit of analysis for the presentation of results</w:t>
      </w:r>
      <w:r>
        <w:rPr>
          <w:sz w:val="20"/>
          <w:szCs w:val="22"/>
        </w:rPr>
        <w:t xml:space="preserve">    </w:t>
      </w:r>
      <w:r>
        <w:rPr>
          <w:sz w:val="20"/>
          <w:szCs w:val="22"/>
        </w:rPr>
        <w:tab/>
        <w:t>……………….</w:t>
      </w:r>
      <w:r>
        <w:rPr>
          <w:sz w:val="20"/>
          <w:szCs w:val="22"/>
        </w:rPr>
        <w:tab/>
      </w:r>
      <w:r w:rsidR="00A65E81">
        <w:rPr>
          <w:sz w:val="20"/>
          <w:szCs w:val="22"/>
        </w:rPr>
        <w:t>2</w:t>
      </w:r>
      <w:r w:rsidR="00BD1B2B">
        <w:rPr>
          <w:sz w:val="20"/>
          <w:szCs w:val="22"/>
        </w:rPr>
        <w:t>9</w:t>
      </w:r>
    </w:p>
    <w:p w:rsidR="00321CFD" w:rsidRPr="00961F57" w:rsidRDefault="00321CFD" w:rsidP="00485FF4">
      <w:pPr>
        <w:tabs>
          <w:tab w:val="right" w:pos="8280"/>
          <w:tab w:val="right" w:pos="9000"/>
        </w:tabs>
        <w:spacing w:before="60"/>
        <w:ind w:left="360"/>
        <w:rPr>
          <w:sz w:val="20"/>
          <w:szCs w:val="22"/>
        </w:rPr>
      </w:pPr>
      <w:r>
        <w:rPr>
          <w:sz w:val="20"/>
          <w:szCs w:val="22"/>
        </w:rPr>
        <w:t>Rules for determining household membership</w:t>
      </w:r>
      <w:r>
        <w:rPr>
          <w:sz w:val="20"/>
          <w:szCs w:val="22"/>
        </w:rPr>
        <w:tab/>
        <w:t>………………………………………………..</w:t>
      </w:r>
      <w:r>
        <w:rPr>
          <w:sz w:val="20"/>
          <w:szCs w:val="22"/>
        </w:rPr>
        <w:tab/>
      </w:r>
      <w:r w:rsidR="00BD1B2B">
        <w:rPr>
          <w:sz w:val="20"/>
          <w:szCs w:val="22"/>
        </w:rPr>
        <w:t>30</w:t>
      </w:r>
    </w:p>
    <w:p w:rsidR="00446FD7" w:rsidRPr="00961F57" w:rsidRDefault="00446FD7" w:rsidP="00446FD7">
      <w:pPr>
        <w:tabs>
          <w:tab w:val="right" w:pos="8280"/>
          <w:tab w:val="right" w:pos="9000"/>
        </w:tabs>
        <w:spacing w:before="60"/>
        <w:ind w:left="360"/>
        <w:rPr>
          <w:sz w:val="20"/>
          <w:szCs w:val="22"/>
        </w:rPr>
      </w:pPr>
      <w:r w:rsidRPr="00961F57">
        <w:rPr>
          <w:sz w:val="20"/>
          <w:szCs w:val="22"/>
        </w:rPr>
        <w:t>The bottom income decile: income not a reliable indicator of economic wellbeing</w:t>
      </w:r>
      <w:r>
        <w:rPr>
          <w:sz w:val="20"/>
          <w:szCs w:val="22"/>
        </w:rPr>
        <w:t xml:space="preserve">   </w:t>
      </w:r>
      <w:r>
        <w:rPr>
          <w:sz w:val="20"/>
          <w:szCs w:val="22"/>
        </w:rPr>
        <w:tab/>
        <w:t>………</w:t>
      </w:r>
      <w:r>
        <w:rPr>
          <w:sz w:val="20"/>
          <w:szCs w:val="22"/>
        </w:rPr>
        <w:tab/>
      </w:r>
      <w:r w:rsidR="00BD1B2B">
        <w:rPr>
          <w:sz w:val="20"/>
          <w:szCs w:val="22"/>
        </w:rPr>
        <w:t>30</w:t>
      </w:r>
    </w:p>
    <w:p w:rsidR="00485FF4" w:rsidRPr="00961F57" w:rsidRDefault="00446FD7" w:rsidP="00485FF4">
      <w:pPr>
        <w:tabs>
          <w:tab w:val="right" w:pos="8280"/>
          <w:tab w:val="right" w:pos="9000"/>
        </w:tabs>
        <w:spacing w:before="60"/>
        <w:ind w:left="360"/>
        <w:rPr>
          <w:sz w:val="20"/>
          <w:szCs w:val="22"/>
        </w:rPr>
      </w:pPr>
      <w:r>
        <w:rPr>
          <w:sz w:val="20"/>
          <w:szCs w:val="22"/>
        </w:rPr>
        <w:t xml:space="preserve">Housing costs and reporting on both </w:t>
      </w:r>
      <w:smartTag w:uri="urn:schemas-microsoft-com:office:smarttags" w:element="stockticker">
        <w:r>
          <w:rPr>
            <w:sz w:val="20"/>
            <w:szCs w:val="22"/>
          </w:rPr>
          <w:t>BHC</w:t>
        </w:r>
      </w:smartTag>
      <w:r>
        <w:rPr>
          <w:sz w:val="20"/>
          <w:szCs w:val="22"/>
        </w:rPr>
        <w:t xml:space="preserve"> and </w:t>
      </w:r>
      <w:smartTag w:uri="urn:schemas-microsoft-com:office:smarttags" w:element="stockticker">
        <w:r>
          <w:rPr>
            <w:sz w:val="20"/>
            <w:szCs w:val="22"/>
          </w:rPr>
          <w:t>AHC</w:t>
        </w:r>
      </w:smartTag>
      <w:r>
        <w:rPr>
          <w:sz w:val="20"/>
          <w:szCs w:val="22"/>
        </w:rPr>
        <w:t xml:space="preserve"> incomes </w:t>
      </w:r>
      <w:r>
        <w:rPr>
          <w:sz w:val="20"/>
          <w:szCs w:val="22"/>
        </w:rPr>
        <w:tab/>
        <w:t>….</w:t>
      </w:r>
      <w:r w:rsidR="00485FF4">
        <w:rPr>
          <w:sz w:val="20"/>
          <w:szCs w:val="22"/>
        </w:rPr>
        <w:t>……………………………</w:t>
      </w:r>
      <w:r>
        <w:rPr>
          <w:sz w:val="20"/>
          <w:szCs w:val="22"/>
        </w:rPr>
        <w:tab/>
      </w:r>
      <w:r w:rsidR="00BD1B2B">
        <w:rPr>
          <w:sz w:val="20"/>
          <w:szCs w:val="22"/>
        </w:rPr>
        <w:t>31</w:t>
      </w:r>
    </w:p>
    <w:p w:rsidR="00485FF4" w:rsidRPr="00961F57" w:rsidRDefault="00A65E81" w:rsidP="00485FF4">
      <w:pPr>
        <w:tabs>
          <w:tab w:val="right" w:pos="8280"/>
          <w:tab w:val="right" w:pos="9000"/>
        </w:tabs>
        <w:spacing w:before="60"/>
        <w:ind w:left="360"/>
        <w:rPr>
          <w:sz w:val="20"/>
          <w:szCs w:val="22"/>
        </w:rPr>
      </w:pPr>
      <w:r>
        <w:rPr>
          <w:sz w:val="20"/>
          <w:szCs w:val="22"/>
        </w:rPr>
        <w:t>Main d</w:t>
      </w:r>
      <w:r w:rsidR="00485FF4" w:rsidRPr="00961F57">
        <w:rPr>
          <w:sz w:val="20"/>
          <w:szCs w:val="22"/>
        </w:rPr>
        <w:t>ata source</w:t>
      </w:r>
      <w:r w:rsidR="00CF044D">
        <w:rPr>
          <w:sz w:val="20"/>
          <w:szCs w:val="22"/>
        </w:rPr>
        <w:t>: the Household Economic Survey (HES)</w:t>
      </w:r>
      <w:r w:rsidR="00CF044D">
        <w:rPr>
          <w:sz w:val="20"/>
          <w:szCs w:val="22"/>
        </w:rPr>
        <w:tab/>
      </w:r>
      <w:r w:rsidR="00485FF4">
        <w:rPr>
          <w:sz w:val="20"/>
          <w:szCs w:val="22"/>
        </w:rPr>
        <w:t>………………………………..</w:t>
      </w:r>
      <w:r w:rsidR="00485FF4">
        <w:rPr>
          <w:sz w:val="20"/>
          <w:szCs w:val="22"/>
        </w:rPr>
        <w:tab/>
      </w:r>
      <w:r>
        <w:rPr>
          <w:sz w:val="20"/>
          <w:szCs w:val="22"/>
        </w:rPr>
        <w:t>3</w:t>
      </w:r>
      <w:r w:rsidR="00BD1B2B">
        <w:rPr>
          <w:sz w:val="20"/>
          <w:szCs w:val="22"/>
        </w:rPr>
        <w:t>2</w:t>
      </w:r>
    </w:p>
    <w:p w:rsidR="00931C72" w:rsidRDefault="00931C72" w:rsidP="00485FF4">
      <w:pPr>
        <w:tabs>
          <w:tab w:val="right" w:pos="8280"/>
          <w:tab w:val="right" w:pos="9000"/>
        </w:tabs>
        <w:spacing w:before="60"/>
        <w:ind w:left="360"/>
        <w:rPr>
          <w:sz w:val="20"/>
          <w:szCs w:val="22"/>
        </w:rPr>
      </w:pPr>
      <w:r>
        <w:rPr>
          <w:sz w:val="20"/>
          <w:szCs w:val="22"/>
        </w:rPr>
        <w:t>Population weighting</w:t>
      </w:r>
      <w:r>
        <w:rPr>
          <w:sz w:val="20"/>
          <w:szCs w:val="22"/>
        </w:rPr>
        <w:tab/>
        <w:t>……………………………………………………………………………..</w:t>
      </w:r>
      <w:r>
        <w:rPr>
          <w:sz w:val="20"/>
          <w:szCs w:val="22"/>
        </w:rPr>
        <w:tab/>
      </w:r>
      <w:r w:rsidR="00A65E81">
        <w:rPr>
          <w:sz w:val="20"/>
          <w:szCs w:val="22"/>
        </w:rPr>
        <w:t>3</w:t>
      </w:r>
      <w:r w:rsidR="00BD1B2B">
        <w:rPr>
          <w:sz w:val="20"/>
          <w:szCs w:val="22"/>
        </w:rPr>
        <w:t>3</w:t>
      </w:r>
    </w:p>
    <w:p w:rsidR="00485FF4" w:rsidRPr="00961F57" w:rsidRDefault="00485FF4" w:rsidP="00485FF4">
      <w:pPr>
        <w:tabs>
          <w:tab w:val="right" w:pos="8280"/>
          <w:tab w:val="right" w:pos="9000"/>
        </w:tabs>
        <w:spacing w:before="60"/>
        <w:ind w:left="360"/>
        <w:rPr>
          <w:sz w:val="20"/>
          <w:szCs w:val="22"/>
        </w:rPr>
      </w:pPr>
      <w:r w:rsidRPr="00961F57">
        <w:rPr>
          <w:sz w:val="20"/>
          <w:szCs w:val="22"/>
        </w:rPr>
        <w:t>Convention for naming HES years</w:t>
      </w:r>
      <w:r>
        <w:rPr>
          <w:sz w:val="20"/>
          <w:szCs w:val="22"/>
        </w:rPr>
        <w:t xml:space="preserve">   </w:t>
      </w:r>
      <w:r>
        <w:rPr>
          <w:sz w:val="20"/>
          <w:szCs w:val="22"/>
        </w:rPr>
        <w:tab/>
        <w:t>……………………………………………………………..</w:t>
      </w:r>
      <w:r>
        <w:rPr>
          <w:sz w:val="20"/>
          <w:szCs w:val="22"/>
        </w:rPr>
        <w:tab/>
      </w:r>
      <w:r w:rsidR="00A65E81">
        <w:rPr>
          <w:sz w:val="20"/>
          <w:szCs w:val="22"/>
        </w:rPr>
        <w:t>3</w:t>
      </w:r>
      <w:r w:rsidR="00BD1B2B">
        <w:rPr>
          <w:sz w:val="20"/>
          <w:szCs w:val="22"/>
        </w:rPr>
        <w:t>3</w:t>
      </w:r>
    </w:p>
    <w:p w:rsidR="00446FD7" w:rsidRDefault="00446FD7" w:rsidP="00485FF4">
      <w:pPr>
        <w:tabs>
          <w:tab w:val="right" w:pos="8280"/>
          <w:tab w:val="right" w:pos="9000"/>
        </w:tabs>
        <w:spacing w:before="60"/>
        <w:ind w:left="360"/>
        <w:rPr>
          <w:sz w:val="20"/>
          <w:szCs w:val="22"/>
        </w:rPr>
      </w:pPr>
      <w:r>
        <w:rPr>
          <w:sz w:val="20"/>
          <w:szCs w:val="22"/>
        </w:rPr>
        <w:t>HES years used in the report</w:t>
      </w:r>
      <w:r>
        <w:rPr>
          <w:sz w:val="20"/>
          <w:szCs w:val="22"/>
        </w:rPr>
        <w:tab/>
        <w:t>………………………………………………………………….</w:t>
      </w:r>
      <w:r>
        <w:rPr>
          <w:sz w:val="20"/>
          <w:szCs w:val="22"/>
        </w:rPr>
        <w:tab/>
      </w:r>
      <w:r w:rsidR="00A65E81">
        <w:rPr>
          <w:sz w:val="20"/>
          <w:szCs w:val="22"/>
        </w:rPr>
        <w:t>3</w:t>
      </w:r>
      <w:r w:rsidR="00BD1B2B">
        <w:rPr>
          <w:sz w:val="20"/>
          <w:szCs w:val="22"/>
        </w:rPr>
        <w:t>4</w:t>
      </w:r>
    </w:p>
    <w:p w:rsidR="00931C72" w:rsidRDefault="00931C72" w:rsidP="00485FF4">
      <w:pPr>
        <w:tabs>
          <w:tab w:val="right" w:pos="8280"/>
          <w:tab w:val="right" w:pos="9000"/>
        </w:tabs>
        <w:spacing w:before="60"/>
        <w:ind w:left="360"/>
        <w:rPr>
          <w:sz w:val="20"/>
          <w:szCs w:val="22"/>
        </w:rPr>
      </w:pPr>
      <w:r>
        <w:rPr>
          <w:sz w:val="20"/>
          <w:szCs w:val="22"/>
        </w:rPr>
        <w:t>Special note on the data for the 2008 HES (Income)</w:t>
      </w:r>
      <w:r>
        <w:rPr>
          <w:sz w:val="20"/>
          <w:szCs w:val="22"/>
        </w:rPr>
        <w:tab/>
        <w:t>………………………………………..</w:t>
      </w:r>
      <w:r>
        <w:rPr>
          <w:sz w:val="20"/>
          <w:szCs w:val="22"/>
        </w:rPr>
        <w:tab/>
      </w:r>
      <w:r w:rsidR="00A65E81">
        <w:rPr>
          <w:sz w:val="20"/>
          <w:szCs w:val="22"/>
        </w:rPr>
        <w:t>3</w:t>
      </w:r>
      <w:r w:rsidR="00BD1B2B">
        <w:rPr>
          <w:sz w:val="20"/>
          <w:szCs w:val="22"/>
        </w:rPr>
        <w:t>4</w:t>
      </w:r>
    </w:p>
    <w:p w:rsidR="00485FF4" w:rsidRPr="00961F57" w:rsidRDefault="00485FF4" w:rsidP="00485FF4">
      <w:pPr>
        <w:tabs>
          <w:tab w:val="right" w:pos="8280"/>
          <w:tab w:val="right" w:pos="9000"/>
        </w:tabs>
        <w:spacing w:before="60"/>
        <w:ind w:left="360"/>
        <w:rPr>
          <w:sz w:val="20"/>
          <w:szCs w:val="22"/>
        </w:rPr>
      </w:pPr>
      <w:r w:rsidRPr="00961F57">
        <w:rPr>
          <w:sz w:val="20"/>
          <w:szCs w:val="22"/>
        </w:rPr>
        <w:t>Treatment of negative</w:t>
      </w:r>
      <w:r w:rsidR="00446FD7">
        <w:rPr>
          <w:sz w:val="20"/>
          <w:szCs w:val="22"/>
        </w:rPr>
        <w:t xml:space="preserve"> incomes</w:t>
      </w:r>
      <w:r w:rsidR="00446FD7">
        <w:rPr>
          <w:sz w:val="20"/>
          <w:szCs w:val="22"/>
        </w:rPr>
        <w:tab/>
        <w:t>…….</w:t>
      </w:r>
      <w:r>
        <w:rPr>
          <w:sz w:val="20"/>
          <w:szCs w:val="22"/>
        </w:rPr>
        <w:t>………………………………………………………….</w:t>
      </w:r>
      <w:r>
        <w:rPr>
          <w:sz w:val="20"/>
          <w:szCs w:val="22"/>
        </w:rPr>
        <w:tab/>
      </w:r>
      <w:r w:rsidR="00A65E81">
        <w:rPr>
          <w:sz w:val="20"/>
          <w:szCs w:val="22"/>
        </w:rPr>
        <w:t>3</w:t>
      </w:r>
      <w:r w:rsidR="00BD1B2B">
        <w:rPr>
          <w:sz w:val="20"/>
          <w:szCs w:val="22"/>
        </w:rPr>
        <w:t>4</w:t>
      </w:r>
    </w:p>
    <w:p w:rsidR="0091780B" w:rsidRDefault="0091780B" w:rsidP="00485FF4">
      <w:pPr>
        <w:tabs>
          <w:tab w:val="right" w:pos="8280"/>
          <w:tab w:val="right" w:pos="9000"/>
        </w:tabs>
        <w:spacing w:before="60"/>
        <w:ind w:left="360"/>
        <w:rPr>
          <w:sz w:val="20"/>
          <w:szCs w:val="22"/>
        </w:rPr>
      </w:pPr>
      <w:r>
        <w:rPr>
          <w:sz w:val="20"/>
          <w:szCs w:val="22"/>
        </w:rPr>
        <w:t>Adjusting for inflation</w:t>
      </w:r>
      <w:r>
        <w:rPr>
          <w:sz w:val="20"/>
          <w:szCs w:val="22"/>
        </w:rPr>
        <w:tab/>
        <w:t>……………………………………………………………………………..</w:t>
      </w:r>
      <w:r>
        <w:rPr>
          <w:sz w:val="20"/>
          <w:szCs w:val="22"/>
        </w:rPr>
        <w:tab/>
      </w:r>
      <w:r w:rsidR="00A65E81">
        <w:rPr>
          <w:sz w:val="20"/>
          <w:szCs w:val="22"/>
        </w:rPr>
        <w:t>3</w:t>
      </w:r>
      <w:r w:rsidR="00BD1B2B">
        <w:rPr>
          <w:sz w:val="20"/>
          <w:szCs w:val="22"/>
        </w:rPr>
        <w:t>4</w:t>
      </w:r>
    </w:p>
    <w:p w:rsidR="00AD5BE9" w:rsidRDefault="00AD5BE9" w:rsidP="00485FF4">
      <w:pPr>
        <w:tabs>
          <w:tab w:val="right" w:pos="8280"/>
          <w:tab w:val="right" w:pos="9000"/>
        </w:tabs>
        <w:spacing w:before="60"/>
        <w:ind w:left="360"/>
        <w:rPr>
          <w:sz w:val="20"/>
          <w:szCs w:val="22"/>
        </w:rPr>
      </w:pPr>
      <w:r>
        <w:rPr>
          <w:sz w:val="20"/>
          <w:szCs w:val="22"/>
        </w:rPr>
        <w:t>Ethnicity</w:t>
      </w:r>
      <w:r>
        <w:rPr>
          <w:sz w:val="20"/>
          <w:szCs w:val="22"/>
        </w:rPr>
        <w:tab/>
        <w:t>……………………………………………………………………………………………</w:t>
      </w:r>
      <w:r>
        <w:rPr>
          <w:sz w:val="20"/>
          <w:szCs w:val="22"/>
        </w:rPr>
        <w:tab/>
      </w:r>
      <w:r w:rsidR="00A65E81">
        <w:rPr>
          <w:sz w:val="20"/>
          <w:szCs w:val="22"/>
        </w:rPr>
        <w:t>3</w:t>
      </w:r>
      <w:r w:rsidR="00BD1B2B">
        <w:rPr>
          <w:sz w:val="20"/>
          <w:szCs w:val="22"/>
        </w:rPr>
        <w:t>5</w:t>
      </w:r>
    </w:p>
    <w:p w:rsidR="00AD5BE9" w:rsidRDefault="00AD5BE9" w:rsidP="00485FF4">
      <w:pPr>
        <w:tabs>
          <w:tab w:val="right" w:pos="8280"/>
          <w:tab w:val="right" w:pos="9000"/>
        </w:tabs>
        <w:spacing w:before="60"/>
        <w:ind w:left="360"/>
        <w:rPr>
          <w:sz w:val="20"/>
          <w:szCs w:val="22"/>
        </w:rPr>
      </w:pPr>
      <w:r>
        <w:rPr>
          <w:sz w:val="20"/>
          <w:szCs w:val="22"/>
        </w:rPr>
        <w:t>Household and family types</w:t>
      </w:r>
      <w:r>
        <w:rPr>
          <w:sz w:val="20"/>
          <w:szCs w:val="22"/>
        </w:rPr>
        <w:tab/>
        <w:t>……………………………………………………………………..</w:t>
      </w:r>
      <w:r>
        <w:rPr>
          <w:sz w:val="20"/>
          <w:szCs w:val="22"/>
        </w:rPr>
        <w:tab/>
      </w:r>
      <w:r w:rsidR="00A65E81">
        <w:rPr>
          <w:sz w:val="20"/>
          <w:szCs w:val="22"/>
        </w:rPr>
        <w:t>3</w:t>
      </w:r>
      <w:r w:rsidR="00BD1B2B">
        <w:rPr>
          <w:sz w:val="20"/>
          <w:szCs w:val="22"/>
        </w:rPr>
        <w:t>5</w:t>
      </w:r>
    </w:p>
    <w:p w:rsidR="00485FF4" w:rsidRDefault="00485FF4" w:rsidP="00485FF4">
      <w:pPr>
        <w:tabs>
          <w:tab w:val="right" w:pos="8280"/>
          <w:tab w:val="right" w:pos="9000"/>
        </w:tabs>
        <w:spacing w:before="60"/>
        <w:ind w:left="360"/>
        <w:rPr>
          <w:sz w:val="20"/>
          <w:szCs w:val="22"/>
        </w:rPr>
      </w:pPr>
      <w:r w:rsidRPr="00961F57">
        <w:rPr>
          <w:sz w:val="20"/>
          <w:szCs w:val="22"/>
        </w:rPr>
        <w:t>Reliability of results</w:t>
      </w:r>
      <w:r w:rsidR="00550347">
        <w:rPr>
          <w:sz w:val="20"/>
          <w:szCs w:val="22"/>
        </w:rPr>
        <w:tab/>
        <w:t>……..</w:t>
      </w:r>
      <w:r>
        <w:rPr>
          <w:sz w:val="20"/>
          <w:szCs w:val="22"/>
        </w:rPr>
        <w:t>……………………………………………………………………….</w:t>
      </w:r>
      <w:r>
        <w:rPr>
          <w:sz w:val="20"/>
          <w:szCs w:val="22"/>
        </w:rPr>
        <w:tab/>
      </w:r>
      <w:r w:rsidR="00A65E81">
        <w:rPr>
          <w:sz w:val="20"/>
          <w:szCs w:val="22"/>
        </w:rPr>
        <w:t>3</w:t>
      </w:r>
      <w:r w:rsidR="00BD1B2B">
        <w:rPr>
          <w:sz w:val="20"/>
          <w:szCs w:val="22"/>
        </w:rPr>
        <w:t>6</w:t>
      </w:r>
    </w:p>
    <w:p w:rsidR="00803504" w:rsidRPr="00961F57" w:rsidRDefault="00803504" w:rsidP="00485FF4">
      <w:pPr>
        <w:tabs>
          <w:tab w:val="right" w:pos="8280"/>
          <w:tab w:val="right" w:pos="9000"/>
        </w:tabs>
        <w:spacing w:before="60"/>
        <w:ind w:left="360"/>
        <w:rPr>
          <w:sz w:val="20"/>
          <w:szCs w:val="22"/>
        </w:rPr>
      </w:pPr>
      <w:r>
        <w:rPr>
          <w:sz w:val="20"/>
          <w:szCs w:val="22"/>
        </w:rPr>
        <w:t>Summary of key measures used for reporting on income inequality and poverty</w:t>
      </w:r>
      <w:r>
        <w:rPr>
          <w:sz w:val="20"/>
          <w:szCs w:val="22"/>
        </w:rPr>
        <w:tab/>
        <w:t>………….</w:t>
      </w:r>
      <w:r>
        <w:rPr>
          <w:sz w:val="20"/>
          <w:szCs w:val="22"/>
        </w:rPr>
        <w:tab/>
      </w:r>
      <w:r w:rsidR="00A65E81">
        <w:rPr>
          <w:sz w:val="20"/>
          <w:szCs w:val="22"/>
        </w:rPr>
        <w:t>3</w:t>
      </w:r>
      <w:r w:rsidR="00BD1B2B">
        <w:rPr>
          <w:sz w:val="20"/>
          <w:szCs w:val="22"/>
        </w:rPr>
        <w:t>8</w:t>
      </w:r>
      <w:r>
        <w:rPr>
          <w:sz w:val="20"/>
          <w:szCs w:val="22"/>
        </w:rPr>
        <w:t xml:space="preserve"> </w:t>
      </w:r>
    </w:p>
    <w:p w:rsidR="00485FF4" w:rsidRPr="00961F57" w:rsidRDefault="00485FF4" w:rsidP="00485FF4">
      <w:pPr>
        <w:rPr>
          <w:sz w:val="20"/>
        </w:rPr>
      </w:pPr>
    </w:p>
    <w:p w:rsidR="00485FF4" w:rsidRPr="00961F57" w:rsidRDefault="00485FF4" w:rsidP="00485FF4">
      <w:pPr>
        <w:tabs>
          <w:tab w:val="left" w:pos="1440"/>
        </w:tabs>
        <w:ind w:left="1440" w:hanging="1440"/>
        <w:rPr>
          <w:b/>
          <w:sz w:val="24"/>
          <w:szCs w:val="28"/>
        </w:rPr>
      </w:pPr>
      <w:r>
        <w:rPr>
          <w:b/>
          <w:sz w:val="24"/>
          <w:szCs w:val="28"/>
        </w:rPr>
        <w:t xml:space="preserve">Section B </w:t>
      </w:r>
      <w:r>
        <w:rPr>
          <w:b/>
          <w:sz w:val="24"/>
          <w:szCs w:val="28"/>
        </w:rPr>
        <w:tab/>
      </w:r>
      <w:r w:rsidRPr="00961F57">
        <w:rPr>
          <w:b/>
          <w:sz w:val="24"/>
          <w:szCs w:val="28"/>
        </w:rPr>
        <w:t xml:space="preserve">Household incomes in </w:t>
      </w:r>
      <w:r w:rsidR="00A65E81" w:rsidRPr="00A65E81">
        <w:rPr>
          <w:b/>
          <w:sz w:val="24"/>
          <w:szCs w:val="28"/>
        </w:rPr>
        <w:t>2010</w:t>
      </w:r>
      <w:r w:rsidR="00A65E81">
        <w:rPr>
          <w:b/>
          <w:sz w:val="20"/>
          <w:lang w:val="en-NZ"/>
        </w:rPr>
        <w:t>-</w:t>
      </w:r>
      <w:r w:rsidR="00A65E81" w:rsidRPr="00A65E81">
        <w:rPr>
          <w:b/>
          <w:sz w:val="24"/>
          <w:szCs w:val="28"/>
        </w:rPr>
        <w:t>11</w:t>
      </w:r>
    </w:p>
    <w:p w:rsidR="00485FF4" w:rsidRPr="00961F57" w:rsidRDefault="00485FF4" w:rsidP="00685BC3">
      <w:pPr>
        <w:tabs>
          <w:tab w:val="right" w:pos="8280"/>
          <w:tab w:val="right" w:pos="9000"/>
        </w:tabs>
        <w:spacing w:before="60"/>
        <w:ind w:left="360"/>
        <w:rPr>
          <w:sz w:val="20"/>
          <w:szCs w:val="22"/>
        </w:rPr>
      </w:pPr>
      <w:r w:rsidRPr="00961F57">
        <w:rPr>
          <w:sz w:val="20"/>
          <w:szCs w:val="22"/>
        </w:rPr>
        <w:t>Means and medians</w:t>
      </w:r>
      <w:r>
        <w:rPr>
          <w:sz w:val="20"/>
          <w:szCs w:val="22"/>
        </w:rPr>
        <w:t xml:space="preserve">    </w:t>
      </w:r>
      <w:r w:rsidR="00685BC3">
        <w:rPr>
          <w:sz w:val="20"/>
          <w:szCs w:val="22"/>
        </w:rPr>
        <w:tab/>
      </w:r>
      <w:r>
        <w:rPr>
          <w:sz w:val="20"/>
          <w:szCs w:val="22"/>
        </w:rPr>
        <w:t>………………………………………………………………………….....</w:t>
      </w:r>
      <w:r w:rsidR="00685BC3">
        <w:rPr>
          <w:sz w:val="20"/>
          <w:szCs w:val="22"/>
        </w:rPr>
        <w:tab/>
      </w:r>
      <w:r w:rsidR="00A83295">
        <w:rPr>
          <w:sz w:val="20"/>
          <w:szCs w:val="22"/>
        </w:rPr>
        <w:t>39</w:t>
      </w:r>
    </w:p>
    <w:p w:rsidR="00485FF4" w:rsidRPr="00961F57" w:rsidRDefault="00485FF4" w:rsidP="00685BC3">
      <w:pPr>
        <w:tabs>
          <w:tab w:val="right" w:pos="8280"/>
          <w:tab w:val="right" w:pos="9000"/>
        </w:tabs>
        <w:spacing w:before="60"/>
        <w:ind w:left="360"/>
        <w:rPr>
          <w:sz w:val="20"/>
          <w:szCs w:val="22"/>
        </w:rPr>
      </w:pPr>
      <w:r w:rsidRPr="00961F57">
        <w:rPr>
          <w:sz w:val="20"/>
          <w:szCs w:val="22"/>
        </w:rPr>
        <w:t>Income distribution for the whole population, HES 20</w:t>
      </w:r>
      <w:r w:rsidR="005C2322">
        <w:rPr>
          <w:sz w:val="20"/>
          <w:szCs w:val="22"/>
        </w:rPr>
        <w:t>1</w:t>
      </w:r>
      <w:r w:rsidR="00A65E81">
        <w:rPr>
          <w:sz w:val="20"/>
          <w:szCs w:val="22"/>
        </w:rPr>
        <w:t>1</w:t>
      </w:r>
      <w:r>
        <w:rPr>
          <w:sz w:val="20"/>
          <w:szCs w:val="22"/>
        </w:rPr>
        <w:t xml:space="preserve">     </w:t>
      </w:r>
      <w:r w:rsidR="00685BC3">
        <w:rPr>
          <w:sz w:val="20"/>
          <w:szCs w:val="22"/>
        </w:rPr>
        <w:tab/>
      </w:r>
      <w:r>
        <w:rPr>
          <w:sz w:val="20"/>
          <w:szCs w:val="22"/>
        </w:rPr>
        <w:t>…………………………………..</w:t>
      </w:r>
      <w:r>
        <w:rPr>
          <w:sz w:val="20"/>
          <w:szCs w:val="22"/>
        </w:rPr>
        <w:tab/>
      </w:r>
      <w:r w:rsidR="00A65E81">
        <w:rPr>
          <w:sz w:val="20"/>
          <w:szCs w:val="22"/>
        </w:rPr>
        <w:t>4</w:t>
      </w:r>
      <w:r w:rsidR="00A83295">
        <w:rPr>
          <w:sz w:val="20"/>
          <w:szCs w:val="22"/>
        </w:rPr>
        <w:t>2</w:t>
      </w:r>
    </w:p>
    <w:p w:rsidR="00E13F04" w:rsidRPr="00961F57" w:rsidRDefault="00E13F04" w:rsidP="00E13F04">
      <w:pPr>
        <w:tabs>
          <w:tab w:val="right" w:pos="8280"/>
          <w:tab w:val="right" w:pos="9000"/>
        </w:tabs>
        <w:spacing w:before="60"/>
        <w:ind w:left="360"/>
        <w:rPr>
          <w:sz w:val="20"/>
          <w:szCs w:val="22"/>
        </w:rPr>
      </w:pPr>
      <w:r w:rsidRPr="00961F57">
        <w:rPr>
          <w:sz w:val="20"/>
          <w:szCs w:val="22"/>
        </w:rPr>
        <w:t xml:space="preserve">Income distribution for </w:t>
      </w:r>
      <w:r>
        <w:rPr>
          <w:sz w:val="20"/>
          <w:szCs w:val="22"/>
        </w:rPr>
        <w:t>sole-parent and two-parent families</w:t>
      </w:r>
      <w:r w:rsidRPr="00961F57">
        <w:rPr>
          <w:sz w:val="20"/>
          <w:szCs w:val="22"/>
        </w:rPr>
        <w:t>, HES 20</w:t>
      </w:r>
      <w:r w:rsidR="005C2322">
        <w:rPr>
          <w:sz w:val="20"/>
          <w:szCs w:val="22"/>
        </w:rPr>
        <w:t>1</w:t>
      </w:r>
      <w:r w:rsidR="00A65E81">
        <w:rPr>
          <w:sz w:val="20"/>
          <w:szCs w:val="22"/>
        </w:rPr>
        <w:t>1</w:t>
      </w:r>
      <w:r>
        <w:rPr>
          <w:sz w:val="20"/>
          <w:szCs w:val="22"/>
        </w:rPr>
        <w:t xml:space="preserve">     </w:t>
      </w:r>
      <w:r>
        <w:rPr>
          <w:sz w:val="20"/>
          <w:szCs w:val="22"/>
        </w:rPr>
        <w:tab/>
        <w:t>………………………..</w:t>
      </w:r>
      <w:r>
        <w:rPr>
          <w:sz w:val="20"/>
          <w:szCs w:val="22"/>
        </w:rPr>
        <w:tab/>
      </w:r>
      <w:r w:rsidR="00A65E81">
        <w:rPr>
          <w:sz w:val="20"/>
          <w:szCs w:val="22"/>
        </w:rPr>
        <w:t>4</w:t>
      </w:r>
      <w:r w:rsidR="00A83295">
        <w:rPr>
          <w:sz w:val="20"/>
          <w:szCs w:val="22"/>
        </w:rPr>
        <w:t>4</w:t>
      </w:r>
    </w:p>
    <w:p w:rsidR="00485FF4" w:rsidRPr="00961F57" w:rsidRDefault="00485FF4" w:rsidP="00685BC3">
      <w:pPr>
        <w:tabs>
          <w:tab w:val="right" w:pos="8280"/>
          <w:tab w:val="right" w:pos="9000"/>
        </w:tabs>
        <w:spacing w:before="60"/>
        <w:ind w:left="360"/>
        <w:rPr>
          <w:sz w:val="20"/>
          <w:szCs w:val="22"/>
        </w:rPr>
      </w:pPr>
      <w:r w:rsidRPr="00961F57">
        <w:rPr>
          <w:sz w:val="20"/>
          <w:szCs w:val="22"/>
        </w:rPr>
        <w:t>Where does your household fit?</w:t>
      </w:r>
      <w:r>
        <w:rPr>
          <w:sz w:val="20"/>
          <w:szCs w:val="22"/>
        </w:rPr>
        <w:t xml:space="preserve">  </w:t>
      </w:r>
      <w:r w:rsidR="00685BC3">
        <w:rPr>
          <w:sz w:val="20"/>
          <w:szCs w:val="22"/>
        </w:rPr>
        <w:tab/>
      </w:r>
      <w:r>
        <w:rPr>
          <w:sz w:val="20"/>
          <w:szCs w:val="22"/>
        </w:rPr>
        <w:t xml:space="preserve"> ……………………………………………………………….</w:t>
      </w:r>
      <w:r>
        <w:rPr>
          <w:sz w:val="20"/>
          <w:szCs w:val="22"/>
        </w:rPr>
        <w:tab/>
      </w:r>
      <w:r w:rsidR="00A83295">
        <w:rPr>
          <w:sz w:val="20"/>
          <w:szCs w:val="22"/>
        </w:rPr>
        <w:t>45</w:t>
      </w:r>
    </w:p>
    <w:p w:rsidR="00485FF4" w:rsidRDefault="00485FF4" w:rsidP="0011023F">
      <w:pPr>
        <w:tabs>
          <w:tab w:val="right" w:pos="8280"/>
          <w:tab w:val="right" w:pos="9000"/>
        </w:tabs>
        <w:spacing w:before="60"/>
        <w:ind w:left="720" w:hanging="360"/>
        <w:rPr>
          <w:sz w:val="20"/>
          <w:szCs w:val="22"/>
        </w:rPr>
      </w:pPr>
      <w:r>
        <w:rPr>
          <w:sz w:val="20"/>
          <w:szCs w:val="22"/>
        </w:rPr>
        <w:t xml:space="preserve">Distribution of individuals across income quintiles by various household and individual characteristics    </w:t>
      </w:r>
      <w:r w:rsidR="00685BC3">
        <w:rPr>
          <w:sz w:val="20"/>
          <w:szCs w:val="22"/>
        </w:rPr>
        <w:tab/>
        <w:t>…..</w:t>
      </w:r>
      <w:r>
        <w:rPr>
          <w:sz w:val="20"/>
          <w:szCs w:val="22"/>
        </w:rPr>
        <w:t>……………………………………………………………………………..</w:t>
      </w:r>
      <w:r>
        <w:rPr>
          <w:sz w:val="20"/>
          <w:szCs w:val="22"/>
        </w:rPr>
        <w:tab/>
      </w:r>
      <w:r w:rsidR="00A65E81">
        <w:rPr>
          <w:sz w:val="20"/>
          <w:szCs w:val="22"/>
        </w:rPr>
        <w:t>4</w:t>
      </w:r>
      <w:r w:rsidR="00A83295">
        <w:rPr>
          <w:sz w:val="20"/>
          <w:szCs w:val="22"/>
        </w:rPr>
        <w:t>7</w:t>
      </w:r>
    </w:p>
    <w:p w:rsidR="00485FF4" w:rsidRPr="00961F57" w:rsidRDefault="00485FF4" w:rsidP="00685BC3">
      <w:pPr>
        <w:tabs>
          <w:tab w:val="right" w:pos="8280"/>
          <w:tab w:val="right" w:pos="9000"/>
        </w:tabs>
        <w:spacing w:before="60"/>
        <w:ind w:left="360"/>
        <w:rPr>
          <w:sz w:val="20"/>
          <w:szCs w:val="22"/>
        </w:rPr>
      </w:pPr>
      <w:r w:rsidRPr="00961F57">
        <w:rPr>
          <w:sz w:val="20"/>
          <w:szCs w:val="22"/>
        </w:rPr>
        <w:t>Income shares across the distribution</w:t>
      </w:r>
      <w:r>
        <w:rPr>
          <w:sz w:val="20"/>
          <w:szCs w:val="22"/>
        </w:rPr>
        <w:t xml:space="preserve"> </w:t>
      </w:r>
      <w:r w:rsidR="00685BC3">
        <w:rPr>
          <w:sz w:val="20"/>
          <w:szCs w:val="22"/>
        </w:rPr>
        <w:tab/>
      </w:r>
      <w:r>
        <w:rPr>
          <w:sz w:val="20"/>
          <w:szCs w:val="22"/>
        </w:rPr>
        <w:t>…………………………………………………………</w:t>
      </w:r>
      <w:r>
        <w:rPr>
          <w:sz w:val="20"/>
          <w:szCs w:val="22"/>
        </w:rPr>
        <w:tab/>
      </w:r>
      <w:r w:rsidR="00A65E81">
        <w:rPr>
          <w:sz w:val="20"/>
          <w:szCs w:val="22"/>
        </w:rPr>
        <w:t>5</w:t>
      </w:r>
      <w:r w:rsidR="00A83295">
        <w:rPr>
          <w:sz w:val="20"/>
          <w:szCs w:val="22"/>
        </w:rPr>
        <w:t>2</w:t>
      </w:r>
    </w:p>
    <w:p w:rsidR="00485FF4" w:rsidRDefault="00485FF4" w:rsidP="0011023F">
      <w:pPr>
        <w:tabs>
          <w:tab w:val="right" w:pos="8280"/>
          <w:tab w:val="right" w:pos="9000"/>
        </w:tabs>
        <w:spacing w:before="60"/>
        <w:ind w:left="720" w:hanging="360"/>
        <w:rPr>
          <w:sz w:val="20"/>
          <w:szCs w:val="22"/>
        </w:rPr>
      </w:pPr>
      <w:r w:rsidRPr="00961F57">
        <w:rPr>
          <w:sz w:val="20"/>
          <w:szCs w:val="22"/>
        </w:rPr>
        <w:t>The re-distribution of income: market income, government cash benefits and income</w:t>
      </w:r>
      <w:r w:rsidR="005C2322">
        <w:rPr>
          <w:sz w:val="20"/>
          <w:szCs w:val="22"/>
        </w:rPr>
        <w:t xml:space="preserve"> tax,</w:t>
      </w:r>
      <w:r w:rsidR="00685BC3">
        <w:rPr>
          <w:sz w:val="20"/>
          <w:szCs w:val="22"/>
        </w:rPr>
        <w:t xml:space="preserve"> consum</w:t>
      </w:r>
      <w:r w:rsidR="0011023F">
        <w:rPr>
          <w:sz w:val="20"/>
          <w:szCs w:val="22"/>
        </w:rPr>
        <w:t>p</w:t>
      </w:r>
      <w:r w:rsidR="00685BC3">
        <w:rPr>
          <w:sz w:val="20"/>
          <w:szCs w:val="22"/>
        </w:rPr>
        <w:t>tion</w:t>
      </w:r>
      <w:r w:rsidRPr="00961F57">
        <w:rPr>
          <w:sz w:val="20"/>
          <w:szCs w:val="22"/>
        </w:rPr>
        <w:t xml:space="preserve"> tax</w:t>
      </w:r>
      <w:r w:rsidR="005C2322">
        <w:rPr>
          <w:sz w:val="20"/>
          <w:szCs w:val="22"/>
        </w:rPr>
        <w:t xml:space="preserve"> and publicly funded services</w:t>
      </w:r>
      <w:r>
        <w:rPr>
          <w:sz w:val="20"/>
          <w:szCs w:val="22"/>
        </w:rPr>
        <w:t xml:space="preserve">    </w:t>
      </w:r>
      <w:r w:rsidR="00685BC3">
        <w:rPr>
          <w:sz w:val="20"/>
          <w:szCs w:val="22"/>
        </w:rPr>
        <w:tab/>
        <w:t>………………………………………………</w:t>
      </w:r>
      <w:r>
        <w:rPr>
          <w:sz w:val="20"/>
          <w:szCs w:val="22"/>
        </w:rPr>
        <w:t>…</w:t>
      </w:r>
      <w:r>
        <w:rPr>
          <w:sz w:val="20"/>
          <w:szCs w:val="22"/>
        </w:rPr>
        <w:tab/>
      </w:r>
      <w:r w:rsidR="00A65E81">
        <w:rPr>
          <w:sz w:val="20"/>
          <w:szCs w:val="22"/>
        </w:rPr>
        <w:t>5</w:t>
      </w:r>
      <w:r w:rsidR="00BD1B2B">
        <w:rPr>
          <w:sz w:val="20"/>
          <w:szCs w:val="22"/>
        </w:rPr>
        <w:t>3</w:t>
      </w:r>
    </w:p>
    <w:p w:rsidR="00485FF4" w:rsidRPr="00961F57" w:rsidRDefault="00485FF4" w:rsidP="00485FF4">
      <w:pPr>
        <w:rPr>
          <w:sz w:val="20"/>
        </w:rPr>
      </w:pPr>
    </w:p>
    <w:p w:rsidR="0025059C" w:rsidRDefault="00930738" w:rsidP="0025059C">
      <w:pPr>
        <w:tabs>
          <w:tab w:val="left" w:pos="1440"/>
        </w:tabs>
        <w:ind w:left="1440" w:hanging="1440"/>
        <w:rPr>
          <w:b/>
          <w:sz w:val="24"/>
          <w:szCs w:val="28"/>
        </w:rPr>
      </w:pPr>
      <w:r>
        <w:rPr>
          <w:b/>
          <w:sz w:val="24"/>
          <w:szCs w:val="28"/>
        </w:rPr>
        <w:br w:type="page"/>
      </w:r>
      <w:r w:rsidR="0025059C">
        <w:rPr>
          <w:b/>
          <w:sz w:val="24"/>
          <w:szCs w:val="28"/>
        </w:rPr>
        <w:lastRenderedPageBreak/>
        <w:t xml:space="preserve">Section C </w:t>
      </w:r>
      <w:r w:rsidR="0025059C">
        <w:rPr>
          <w:b/>
          <w:sz w:val="24"/>
          <w:szCs w:val="28"/>
        </w:rPr>
        <w:tab/>
        <w:t>Trends in key labour market, demographic and social</w:t>
      </w:r>
    </w:p>
    <w:p w:rsidR="0025059C" w:rsidRPr="00961F57" w:rsidRDefault="0025059C" w:rsidP="0025059C">
      <w:pPr>
        <w:tabs>
          <w:tab w:val="left" w:pos="1440"/>
        </w:tabs>
        <w:ind w:left="1440" w:hanging="1440"/>
        <w:rPr>
          <w:b/>
          <w:sz w:val="24"/>
          <w:szCs w:val="28"/>
        </w:rPr>
      </w:pPr>
      <w:r>
        <w:rPr>
          <w:b/>
          <w:sz w:val="24"/>
          <w:szCs w:val="28"/>
        </w:rPr>
        <w:tab/>
        <w:t>assistance variables</w:t>
      </w:r>
    </w:p>
    <w:p w:rsidR="002F65E7" w:rsidRDefault="002F65E7" w:rsidP="0025059C">
      <w:pPr>
        <w:tabs>
          <w:tab w:val="right" w:pos="8280"/>
          <w:tab w:val="right" w:pos="9000"/>
        </w:tabs>
        <w:spacing w:before="60"/>
        <w:ind w:left="360"/>
        <w:rPr>
          <w:sz w:val="20"/>
          <w:szCs w:val="22"/>
        </w:rPr>
      </w:pPr>
      <w:r>
        <w:rPr>
          <w:sz w:val="20"/>
          <w:szCs w:val="22"/>
        </w:rPr>
        <w:t>Introduction</w:t>
      </w:r>
      <w:r>
        <w:rPr>
          <w:sz w:val="20"/>
          <w:szCs w:val="22"/>
        </w:rPr>
        <w:tab/>
        <w:t>……………………………………………………………………………………….</w:t>
      </w:r>
      <w:r>
        <w:rPr>
          <w:sz w:val="20"/>
          <w:szCs w:val="22"/>
        </w:rPr>
        <w:tab/>
      </w:r>
      <w:r w:rsidR="00A65E81">
        <w:rPr>
          <w:sz w:val="20"/>
          <w:szCs w:val="22"/>
        </w:rPr>
        <w:t>5</w:t>
      </w:r>
      <w:r w:rsidR="00A83295">
        <w:rPr>
          <w:sz w:val="20"/>
          <w:szCs w:val="22"/>
        </w:rPr>
        <w:t>7</w:t>
      </w:r>
    </w:p>
    <w:p w:rsidR="006C24C9" w:rsidRDefault="006C24C9" w:rsidP="0025059C">
      <w:pPr>
        <w:tabs>
          <w:tab w:val="right" w:pos="8280"/>
          <w:tab w:val="right" w:pos="9000"/>
        </w:tabs>
        <w:spacing w:before="60"/>
        <w:ind w:left="360"/>
        <w:rPr>
          <w:sz w:val="20"/>
          <w:szCs w:val="22"/>
        </w:rPr>
      </w:pPr>
      <w:r>
        <w:rPr>
          <w:sz w:val="20"/>
          <w:szCs w:val="22"/>
        </w:rPr>
        <w:t xml:space="preserve">Trends in </w:t>
      </w:r>
      <w:smartTag w:uri="urn:schemas-microsoft-com:office:smarttags" w:element="stockticker">
        <w:r>
          <w:rPr>
            <w:sz w:val="20"/>
            <w:szCs w:val="22"/>
          </w:rPr>
          <w:t>GDP</w:t>
        </w:r>
      </w:smartTag>
      <w:r>
        <w:rPr>
          <w:sz w:val="20"/>
          <w:szCs w:val="22"/>
        </w:rPr>
        <w:t>, employment, unemployment and weekly earnings</w:t>
      </w:r>
      <w:r>
        <w:rPr>
          <w:sz w:val="20"/>
          <w:szCs w:val="22"/>
        </w:rPr>
        <w:tab/>
        <w:t>………………………..</w:t>
      </w:r>
      <w:r>
        <w:rPr>
          <w:sz w:val="20"/>
          <w:szCs w:val="22"/>
        </w:rPr>
        <w:tab/>
      </w:r>
      <w:r w:rsidR="00A83295">
        <w:rPr>
          <w:sz w:val="20"/>
          <w:szCs w:val="22"/>
        </w:rPr>
        <w:t>58</w:t>
      </w:r>
    </w:p>
    <w:p w:rsidR="0025059C" w:rsidRPr="00961F57" w:rsidRDefault="00890FA8" w:rsidP="0025059C">
      <w:pPr>
        <w:tabs>
          <w:tab w:val="right" w:pos="8280"/>
          <w:tab w:val="right" w:pos="9000"/>
        </w:tabs>
        <w:spacing w:before="60"/>
        <w:ind w:left="360"/>
        <w:rPr>
          <w:sz w:val="20"/>
          <w:szCs w:val="22"/>
        </w:rPr>
      </w:pPr>
      <w:r>
        <w:rPr>
          <w:sz w:val="20"/>
          <w:szCs w:val="22"/>
        </w:rPr>
        <w:t>Incomes around the median</w:t>
      </w:r>
      <w:r w:rsidR="00A65E81">
        <w:rPr>
          <w:sz w:val="20"/>
          <w:szCs w:val="22"/>
        </w:rPr>
        <w:t>:</w:t>
      </w:r>
      <w:r w:rsidR="006C24C9">
        <w:rPr>
          <w:sz w:val="20"/>
          <w:szCs w:val="22"/>
        </w:rPr>
        <w:t xml:space="preserve"> </w:t>
      </w:r>
      <w:r w:rsidR="00930738">
        <w:rPr>
          <w:sz w:val="20"/>
          <w:szCs w:val="22"/>
        </w:rPr>
        <w:t>the longer-</w:t>
      </w:r>
      <w:r w:rsidR="0030755C">
        <w:rPr>
          <w:sz w:val="20"/>
          <w:szCs w:val="22"/>
        </w:rPr>
        <w:t>term trend</w:t>
      </w:r>
      <w:r w:rsidR="006C24C9">
        <w:rPr>
          <w:sz w:val="20"/>
          <w:szCs w:val="22"/>
        </w:rPr>
        <w:tab/>
      </w:r>
      <w:r w:rsidR="0025059C">
        <w:rPr>
          <w:sz w:val="20"/>
          <w:szCs w:val="22"/>
        </w:rPr>
        <w:t>……………………………………….....</w:t>
      </w:r>
      <w:r w:rsidR="0025059C">
        <w:rPr>
          <w:sz w:val="20"/>
          <w:szCs w:val="22"/>
        </w:rPr>
        <w:tab/>
      </w:r>
      <w:r w:rsidR="00A65E81">
        <w:rPr>
          <w:sz w:val="20"/>
          <w:szCs w:val="22"/>
        </w:rPr>
        <w:t>5</w:t>
      </w:r>
      <w:r w:rsidR="00A83295">
        <w:rPr>
          <w:sz w:val="20"/>
          <w:szCs w:val="22"/>
        </w:rPr>
        <w:t>9</w:t>
      </w:r>
    </w:p>
    <w:p w:rsidR="0025059C" w:rsidRDefault="00890FA8" w:rsidP="0025059C">
      <w:pPr>
        <w:tabs>
          <w:tab w:val="right" w:pos="8280"/>
          <w:tab w:val="right" w:pos="9000"/>
        </w:tabs>
        <w:spacing w:before="60"/>
        <w:ind w:left="360"/>
        <w:rPr>
          <w:sz w:val="20"/>
          <w:szCs w:val="22"/>
        </w:rPr>
      </w:pPr>
      <w:r>
        <w:rPr>
          <w:sz w:val="20"/>
          <w:szCs w:val="22"/>
        </w:rPr>
        <w:t>Incomes at the lower end of the distribution</w:t>
      </w:r>
      <w:r w:rsidR="0025059C">
        <w:rPr>
          <w:sz w:val="20"/>
          <w:szCs w:val="22"/>
        </w:rPr>
        <w:t xml:space="preserve">     </w:t>
      </w:r>
      <w:r w:rsidR="0025059C">
        <w:rPr>
          <w:sz w:val="20"/>
          <w:szCs w:val="22"/>
        </w:rPr>
        <w:tab/>
      </w:r>
      <w:r>
        <w:rPr>
          <w:sz w:val="20"/>
          <w:szCs w:val="22"/>
        </w:rPr>
        <w:t>………………</w:t>
      </w:r>
      <w:r w:rsidR="0025059C">
        <w:rPr>
          <w:sz w:val="20"/>
          <w:szCs w:val="22"/>
        </w:rPr>
        <w:t>…………………………………..</w:t>
      </w:r>
      <w:r w:rsidR="0025059C">
        <w:rPr>
          <w:sz w:val="20"/>
          <w:szCs w:val="22"/>
        </w:rPr>
        <w:tab/>
      </w:r>
      <w:r w:rsidR="00A83295">
        <w:rPr>
          <w:sz w:val="20"/>
          <w:szCs w:val="22"/>
        </w:rPr>
        <w:t>60</w:t>
      </w:r>
    </w:p>
    <w:p w:rsidR="006C24C9" w:rsidRPr="00961F57" w:rsidRDefault="006C24C9" w:rsidP="0025059C">
      <w:pPr>
        <w:tabs>
          <w:tab w:val="right" w:pos="8280"/>
          <w:tab w:val="right" w:pos="9000"/>
        </w:tabs>
        <w:spacing w:before="60"/>
        <w:ind w:left="360"/>
        <w:rPr>
          <w:sz w:val="20"/>
          <w:szCs w:val="22"/>
        </w:rPr>
      </w:pPr>
      <w:r>
        <w:rPr>
          <w:sz w:val="20"/>
          <w:szCs w:val="22"/>
        </w:rPr>
        <w:t>Housing costs</w:t>
      </w:r>
      <w:r>
        <w:rPr>
          <w:sz w:val="20"/>
          <w:szCs w:val="22"/>
        </w:rPr>
        <w:tab/>
        <w:t>……………………………………………………………………………………..</w:t>
      </w:r>
      <w:r>
        <w:rPr>
          <w:sz w:val="20"/>
          <w:szCs w:val="22"/>
        </w:rPr>
        <w:tab/>
      </w:r>
      <w:r w:rsidR="00A83295">
        <w:rPr>
          <w:sz w:val="20"/>
          <w:szCs w:val="22"/>
        </w:rPr>
        <w:t>63</w:t>
      </w:r>
    </w:p>
    <w:p w:rsidR="0025059C" w:rsidRDefault="0025059C" w:rsidP="00485FF4">
      <w:pPr>
        <w:tabs>
          <w:tab w:val="left" w:pos="1440"/>
        </w:tabs>
        <w:ind w:left="1440" w:hanging="1440"/>
        <w:rPr>
          <w:b/>
          <w:sz w:val="20"/>
        </w:rPr>
      </w:pPr>
    </w:p>
    <w:p w:rsidR="00E13F04" w:rsidRPr="00262743" w:rsidRDefault="00E13F04" w:rsidP="00485FF4">
      <w:pPr>
        <w:tabs>
          <w:tab w:val="left" w:pos="1440"/>
        </w:tabs>
        <w:ind w:left="1440" w:hanging="1440"/>
        <w:rPr>
          <w:b/>
          <w:sz w:val="20"/>
        </w:rPr>
      </w:pPr>
    </w:p>
    <w:p w:rsidR="00485FF4" w:rsidRPr="00961F57" w:rsidRDefault="00485FF4" w:rsidP="00485FF4">
      <w:pPr>
        <w:tabs>
          <w:tab w:val="left" w:pos="1440"/>
        </w:tabs>
        <w:ind w:left="1440" w:hanging="1440"/>
        <w:rPr>
          <w:b/>
          <w:sz w:val="24"/>
          <w:szCs w:val="28"/>
        </w:rPr>
      </w:pPr>
      <w:r>
        <w:rPr>
          <w:b/>
          <w:sz w:val="24"/>
          <w:szCs w:val="28"/>
        </w:rPr>
        <w:t xml:space="preserve">Section </w:t>
      </w:r>
      <w:r w:rsidR="0025059C">
        <w:rPr>
          <w:b/>
          <w:sz w:val="24"/>
          <w:szCs w:val="28"/>
        </w:rPr>
        <w:t>D</w:t>
      </w:r>
      <w:r>
        <w:rPr>
          <w:b/>
          <w:sz w:val="24"/>
          <w:szCs w:val="28"/>
        </w:rPr>
        <w:tab/>
      </w:r>
      <w:r w:rsidRPr="00961F57">
        <w:rPr>
          <w:b/>
          <w:sz w:val="24"/>
          <w:szCs w:val="28"/>
        </w:rPr>
        <w:t xml:space="preserve">Household incomes and income inequality, 1982 </w:t>
      </w:r>
      <w:r w:rsidR="00A65E81">
        <w:rPr>
          <w:b/>
          <w:sz w:val="24"/>
          <w:szCs w:val="28"/>
        </w:rPr>
        <w:t>to</w:t>
      </w:r>
      <w:r w:rsidRPr="00961F57">
        <w:rPr>
          <w:b/>
          <w:sz w:val="24"/>
          <w:szCs w:val="28"/>
        </w:rPr>
        <w:t xml:space="preserve"> 20</w:t>
      </w:r>
      <w:r w:rsidR="00930738">
        <w:rPr>
          <w:b/>
          <w:sz w:val="24"/>
          <w:szCs w:val="28"/>
        </w:rPr>
        <w:t>1</w:t>
      </w:r>
      <w:r w:rsidR="00A65E81">
        <w:rPr>
          <w:b/>
          <w:sz w:val="24"/>
          <w:szCs w:val="28"/>
        </w:rPr>
        <w:t>1</w:t>
      </w:r>
    </w:p>
    <w:p w:rsidR="00485FF4" w:rsidRPr="00961F57" w:rsidRDefault="00485FF4" w:rsidP="00685BC3">
      <w:pPr>
        <w:tabs>
          <w:tab w:val="right" w:pos="8280"/>
          <w:tab w:val="right" w:pos="9000"/>
        </w:tabs>
        <w:spacing w:before="60"/>
        <w:ind w:left="360"/>
        <w:rPr>
          <w:sz w:val="20"/>
          <w:szCs w:val="22"/>
        </w:rPr>
      </w:pPr>
      <w:r w:rsidRPr="00961F57">
        <w:rPr>
          <w:sz w:val="20"/>
          <w:szCs w:val="22"/>
        </w:rPr>
        <w:t xml:space="preserve">Income </w:t>
      </w:r>
      <w:r w:rsidR="006129EE">
        <w:rPr>
          <w:sz w:val="20"/>
          <w:szCs w:val="22"/>
        </w:rPr>
        <w:t>changes</w:t>
      </w:r>
      <w:r w:rsidR="00074784">
        <w:rPr>
          <w:sz w:val="20"/>
          <w:szCs w:val="22"/>
        </w:rPr>
        <w:t xml:space="preserve"> in real terms, 1982 to 201</w:t>
      </w:r>
      <w:r w:rsidR="00A65E81">
        <w:rPr>
          <w:sz w:val="20"/>
          <w:szCs w:val="22"/>
        </w:rPr>
        <w:t>1</w:t>
      </w:r>
      <w:r>
        <w:rPr>
          <w:sz w:val="20"/>
          <w:szCs w:val="22"/>
        </w:rPr>
        <w:t xml:space="preserve">    </w:t>
      </w:r>
      <w:r w:rsidR="00685BC3">
        <w:rPr>
          <w:sz w:val="20"/>
          <w:szCs w:val="22"/>
        </w:rPr>
        <w:tab/>
        <w:t>….</w:t>
      </w:r>
      <w:r>
        <w:rPr>
          <w:sz w:val="20"/>
          <w:szCs w:val="22"/>
        </w:rPr>
        <w:t>……………………………………………….</w:t>
      </w:r>
      <w:r>
        <w:rPr>
          <w:sz w:val="20"/>
          <w:szCs w:val="22"/>
        </w:rPr>
        <w:tab/>
      </w:r>
      <w:r w:rsidR="00A65E81">
        <w:rPr>
          <w:sz w:val="20"/>
          <w:szCs w:val="22"/>
        </w:rPr>
        <w:t>6</w:t>
      </w:r>
      <w:r w:rsidR="00A83295">
        <w:rPr>
          <w:sz w:val="20"/>
          <w:szCs w:val="22"/>
        </w:rPr>
        <w:t>6</w:t>
      </w:r>
    </w:p>
    <w:p w:rsidR="00485FF4" w:rsidRPr="00961F57" w:rsidRDefault="00485FF4" w:rsidP="00A65E81">
      <w:pPr>
        <w:numPr>
          <w:ilvl w:val="0"/>
          <w:numId w:val="5"/>
        </w:numPr>
        <w:tabs>
          <w:tab w:val="clear" w:pos="1890"/>
          <w:tab w:val="num" w:pos="1134"/>
          <w:tab w:val="right" w:pos="9000"/>
        </w:tabs>
        <w:spacing w:before="40"/>
        <w:ind w:left="1134" w:hanging="283"/>
        <w:rPr>
          <w:sz w:val="18"/>
        </w:rPr>
      </w:pPr>
      <w:r w:rsidRPr="00961F57">
        <w:rPr>
          <w:sz w:val="18"/>
        </w:rPr>
        <w:t>Whole population</w:t>
      </w:r>
      <w:r w:rsidR="006129EE">
        <w:rPr>
          <w:sz w:val="18"/>
        </w:rPr>
        <w:t>, overall trends</w:t>
      </w:r>
    </w:p>
    <w:p w:rsidR="00485FF4" w:rsidRDefault="00485FF4" w:rsidP="00A65E81">
      <w:pPr>
        <w:numPr>
          <w:ilvl w:val="0"/>
          <w:numId w:val="5"/>
        </w:numPr>
        <w:tabs>
          <w:tab w:val="clear" w:pos="1890"/>
          <w:tab w:val="num" w:pos="1134"/>
          <w:tab w:val="right" w:pos="9000"/>
        </w:tabs>
        <w:spacing w:before="40"/>
        <w:ind w:left="1134" w:hanging="283"/>
        <w:rPr>
          <w:sz w:val="18"/>
        </w:rPr>
      </w:pPr>
      <w:r w:rsidRPr="00961F57">
        <w:rPr>
          <w:sz w:val="18"/>
        </w:rPr>
        <w:t>Differing trends for different parts of the distribution</w:t>
      </w:r>
      <w:r w:rsidR="006129EE">
        <w:rPr>
          <w:sz w:val="18"/>
        </w:rPr>
        <w:t xml:space="preserve"> (</w:t>
      </w:r>
      <w:smartTag w:uri="urn:schemas-microsoft-com:office:smarttags" w:element="stockticker">
        <w:r w:rsidR="006129EE">
          <w:rPr>
            <w:sz w:val="18"/>
          </w:rPr>
          <w:t>BHC</w:t>
        </w:r>
      </w:smartTag>
      <w:r w:rsidR="006129EE">
        <w:rPr>
          <w:sz w:val="18"/>
        </w:rPr>
        <w:t>)</w:t>
      </w:r>
    </w:p>
    <w:p w:rsidR="00CE0CFE" w:rsidRDefault="00CE0CFE" w:rsidP="00A65E81">
      <w:pPr>
        <w:numPr>
          <w:ilvl w:val="0"/>
          <w:numId w:val="5"/>
        </w:numPr>
        <w:tabs>
          <w:tab w:val="clear" w:pos="1890"/>
          <w:tab w:val="num" w:pos="1134"/>
          <w:tab w:val="right" w:pos="9000"/>
        </w:tabs>
        <w:spacing w:before="40"/>
        <w:ind w:left="1134" w:hanging="283"/>
        <w:rPr>
          <w:sz w:val="18"/>
        </w:rPr>
      </w:pPr>
      <w:r>
        <w:rPr>
          <w:sz w:val="18"/>
        </w:rPr>
        <w:t>Differing trends for different parts of the distribution (</w:t>
      </w:r>
      <w:smartTag w:uri="urn:schemas-microsoft-com:office:smarttags" w:element="stockticker">
        <w:r>
          <w:rPr>
            <w:sz w:val="18"/>
          </w:rPr>
          <w:t>AHC</w:t>
        </w:r>
      </w:smartTag>
      <w:r>
        <w:rPr>
          <w:sz w:val="18"/>
        </w:rPr>
        <w:t>)</w:t>
      </w:r>
    </w:p>
    <w:p w:rsidR="00CF044D" w:rsidRDefault="00CF044D" w:rsidP="00A65E81">
      <w:pPr>
        <w:numPr>
          <w:ilvl w:val="0"/>
          <w:numId w:val="5"/>
        </w:numPr>
        <w:tabs>
          <w:tab w:val="clear" w:pos="1890"/>
          <w:tab w:val="num" w:pos="1134"/>
          <w:tab w:val="right" w:pos="9000"/>
        </w:tabs>
        <w:spacing w:before="40"/>
        <w:ind w:left="1134" w:hanging="283"/>
        <w:rPr>
          <w:sz w:val="18"/>
        </w:rPr>
      </w:pPr>
      <w:r>
        <w:rPr>
          <w:sz w:val="18"/>
        </w:rPr>
        <w:t>Trends for different household types</w:t>
      </w:r>
      <w:r w:rsidR="00CE0CFE">
        <w:rPr>
          <w:sz w:val="18"/>
        </w:rPr>
        <w:t xml:space="preserve"> (</w:t>
      </w:r>
      <w:smartTag w:uri="urn:schemas-microsoft-com:office:smarttags" w:element="stockticker">
        <w:r w:rsidR="00CE0CFE">
          <w:rPr>
            <w:sz w:val="18"/>
          </w:rPr>
          <w:t>BHC</w:t>
        </w:r>
      </w:smartTag>
      <w:r w:rsidR="00CE0CFE">
        <w:rPr>
          <w:sz w:val="18"/>
        </w:rPr>
        <w:t>)</w:t>
      </w:r>
    </w:p>
    <w:p w:rsidR="00CF044D" w:rsidRDefault="00CF044D" w:rsidP="00A65E81">
      <w:pPr>
        <w:numPr>
          <w:ilvl w:val="0"/>
          <w:numId w:val="5"/>
        </w:numPr>
        <w:tabs>
          <w:tab w:val="clear" w:pos="1890"/>
          <w:tab w:val="num" w:pos="1134"/>
          <w:tab w:val="right" w:pos="9000"/>
        </w:tabs>
        <w:spacing w:before="40"/>
        <w:ind w:left="1134" w:hanging="283"/>
        <w:rPr>
          <w:sz w:val="18"/>
        </w:rPr>
      </w:pPr>
      <w:r>
        <w:rPr>
          <w:sz w:val="18"/>
        </w:rPr>
        <w:t>Trends in the median by ethnicity</w:t>
      </w:r>
      <w:r w:rsidR="00CE0CFE">
        <w:rPr>
          <w:sz w:val="18"/>
        </w:rPr>
        <w:t xml:space="preserve"> (</w:t>
      </w:r>
      <w:smartTag w:uri="urn:schemas-microsoft-com:office:smarttags" w:element="stockticker">
        <w:r w:rsidR="00CE0CFE">
          <w:rPr>
            <w:sz w:val="18"/>
          </w:rPr>
          <w:t>BHC</w:t>
        </w:r>
      </w:smartTag>
      <w:r w:rsidR="00CE0CFE">
        <w:rPr>
          <w:sz w:val="18"/>
        </w:rPr>
        <w:t>)</w:t>
      </w:r>
    </w:p>
    <w:p w:rsidR="00485FF4" w:rsidRPr="00961F57" w:rsidRDefault="00485FF4" w:rsidP="00685BC3">
      <w:pPr>
        <w:tabs>
          <w:tab w:val="right" w:pos="8280"/>
          <w:tab w:val="right" w:pos="9000"/>
        </w:tabs>
        <w:spacing w:before="60"/>
        <w:ind w:left="360"/>
        <w:rPr>
          <w:sz w:val="20"/>
          <w:szCs w:val="22"/>
        </w:rPr>
      </w:pPr>
      <w:r w:rsidRPr="00961F57">
        <w:rPr>
          <w:sz w:val="20"/>
          <w:szCs w:val="22"/>
        </w:rPr>
        <w:t xml:space="preserve">The changing overall shape of the </w:t>
      </w:r>
      <w:r w:rsidR="00074784">
        <w:rPr>
          <w:sz w:val="20"/>
          <w:szCs w:val="22"/>
        </w:rPr>
        <w:t>household</w:t>
      </w:r>
      <w:r w:rsidRPr="00961F57">
        <w:rPr>
          <w:sz w:val="20"/>
          <w:szCs w:val="22"/>
        </w:rPr>
        <w:t xml:space="preserve"> income distribution</w:t>
      </w:r>
      <w:r>
        <w:rPr>
          <w:sz w:val="20"/>
          <w:szCs w:val="22"/>
        </w:rPr>
        <w:t xml:space="preserve">    </w:t>
      </w:r>
      <w:r w:rsidR="00685BC3">
        <w:rPr>
          <w:sz w:val="20"/>
          <w:szCs w:val="22"/>
        </w:rPr>
        <w:tab/>
      </w:r>
      <w:r w:rsidR="00074784">
        <w:rPr>
          <w:sz w:val="20"/>
          <w:szCs w:val="22"/>
        </w:rPr>
        <w:t>…..</w:t>
      </w:r>
      <w:r>
        <w:rPr>
          <w:sz w:val="20"/>
          <w:szCs w:val="22"/>
        </w:rPr>
        <w:t>…………………..</w:t>
      </w:r>
      <w:r>
        <w:rPr>
          <w:sz w:val="20"/>
          <w:szCs w:val="22"/>
        </w:rPr>
        <w:tab/>
      </w:r>
      <w:r w:rsidR="00A65E81">
        <w:rPr>
          <w:sz w:val="20"/>
          <w:szCs w:val="22"/>
        </w:rPr>
        <w:t>7</w:t>
      </w:r>
      <w:r w:rsidR="00A83295">
        <w:rPr>
          <w:sz w:val="20"/>
          <w:szCs w:val="22"/>
        </w:rPr>
        <w:t>7</w:t>
      </w:r>
    </w:p>
    <w:p w:rsidR="00485FF4" w:rsidRPr="00961F57" w:rsidRDefault="00485FF4" w:rsidP="00685BC3">
      <w:pPr>
        <w:tabs>
          <w:tab w:val="right" w:pos="8280"/>
          <w:tab w:val="right" w:pos="9000"/>
        </w:tabs>
        <w:spacing w:before="60"/>
        <w:ind w:left="360"/>
        <w:rPr>
          <w:sz w:val="20"/>
          <w:szCs w:val="22"/>
        </w:rPr>
      </w:pPr>
      <w:r w:rsidRPr="00961F57">
        <w:rPr>
          <w:sz w:val="20"/>
          <w:szCs w:val="22"/>
        </w:rPr>
        <w:t>Income inequality: summary indicators</w:t>
      </w:r>
      <w:r>
        <w:rPr>
          <w:sz w:val="20"/>
          <w:szCs w:val="22"/>
        </w:rPr>
        <w:t xml:space="preserve">    </w:t>
      </w:r>
      <w:r w:rsidR="00685BC3">
        <w:rPr>
          <w:sz w:val="20"/>
          <w:szCs w:val="22"/>
        </w:rPr>
        <w:tab/>
        <w:t>….</w:t>
      </w:r>
      <w:r>
        <w:rPr>
          <w:sz w:val="20"/>
          <w:szCs w:val="22"/>
        </w:rPr>
        <w:t>……………………………………………………</w:t>
      </w:r>
      <w:r>
        <w:rPr>
          <w:sz w:val="20"/>
          <w:szCs w:val="22"/>
        </w:rPr>
        <w:tab/>
      </w:r>
      <w:r w:rsidR="00A83295">
        <w:rPr>
          <w:sz w:val="20"/>
          <w:szCs w:val="22"/>
        </w:rPr>
        <w:t>80</w:t>
      </w:r>
    </w:p>
    <w:p w:rsidR="00485FF4" w:rsidRPr="00961F57" w:rsidRDefault="00485FF4" w:rsidP="00A65E81">
      <w:pPr>
        <w:numPr>
          <w:ilvl w:val="1"/>
          <w:numId w:val="4"/>
        </w:numPr>
        <w:tabs>
          <w:tab w:val="clear" w:pos="1440"/>
          <w:tab w:val="num" w:pos="1134"/>
          <w:tab w:val="right" w:pos="9000"/>
        </w:tabs>
        <w:spacing w:before="40"/>
        <w:ind w:left="1134" w:hanging="283"/>
        <w:rPr>
          <w:sz w:val="18"/>
        </w:rPr>
      </w:pPr>
      <w:r w:rsidRPr="00961F57">
        <w:rPr>
          <w:sz w:val="18"/>
        </w:rPr>
        <w:t>Percentile ratios</w:t>
      </w:r>
    </w:p>
    <w:p w:rsidR="00485FF4" w:rsidRPr="00961F57" w:rsidRDefault="00485FF4" w:rsidP="00A65E81">
      <w:pPr>
        <w:numPr>
          <w:ilvl w:val="1"/>
          <w:numId w:val="4"/>
        </w:numPr>
        <w:tabs>
          <w:tab w:val="clear" w:pos="1440"/>
          <w:tab w:val="num" w:pos="1134"/>
          <w:tab w:val="right" w:pos="9000"/>
        </w:tabs>
        <w:spacing w:before="40"/>
        <w:ind w:left="1134" w:hanging="283"/>
        <w:rPr>
          <w:sz w:val="18"/>
        </w:rPr>
      </w:pPr>
      <w:r w:rsidRPr="00961F57">
        <w:rPr>
          <w:sz w:val="18"/>
        </w:rPr>
        <w:t>Gini coefficient</w:t>
      </w:r>
    </w:p>
    <w:p w:rsidR="00A83295" w:rsidRDefault="00A83295" w:rsidP="00074784">
      <w:pPr>
        <w:tabs>
          <w:tab w:val="right" w:pos="8280"/>
          <w:tab w:val="right" w:pos="9000"/>
        </w:tabs>
        <w:spacing w:before="60"/>
        <w:ind w:left="360"/>
        <w:rPr>
          <w:sz w:val="20"/>
          <w:szCs w:val="22"/>
        </w:rPr>
      </w:pPr>
      <w:r>
        <w:rPr>
          <w:sz w:val="20"/>
          <w:szCs w:val="22"/>
        </w:rPr>
        <w:t>Long-run trends for very high incomes</w:t>
      </w:r>
      <w:r>
        <w:rPr>
          <w:sz w:val="20"/>
          <w:szCs w:val="22"/>
        </w:rPr>
        <w:tab/>
        <w:t>…………………………………………………………</w:t>
      </w:r>
      <w:r>
        <w:rPr>
          <w:sz w:val="20"/>
          <w:szCs w:val="22"/>
        </w:rPr>
        <w:tab/>
        <w:t>85</w:t>
      </w:r>
    </w:p>
    <w:p w:rsidR="00074784" w:rsidRPr="00961F57" w:rsidRDefault="00074784" w:rsidP="00074784">
      <w:pPr>
        <w:tabs>
          <w:tab w:val="right" w:pos="8280"/>
          <w:tab w:val="right" w:pos="9000"/>
        </w:tabs>
        <w:spacing w:before="60"/>
        <w:ind w:left="360"/>
        <w:rPr>
          <w:sz w:val="20"/>
          <w:szCs w:val="22"/>
        </w:rPr>
      </w:pPr>
      <w:r>
        <w:rPr>
          <w:sz w:val="20"/>
          <w:szCs w:val="22"/>
        </w:rPr>
        <w:t xml:space="preserve">Wealth inequality  </w:t>
      </w:r>
      <w:r>
        <w:rPr>
          <w:sz w:val="20"/>
          <w:szCs w:val="22"/>
        </w:rPr>
        <w:tab/>
        <w:t>……………………………………………….….……………………………..</w:t>
      </w:r>
      <w:r>
        <w:rPr>
          <w:sz w:val="20"/>
          <w:szCs w:val="22"/>
        </w:rPr>
        <w:tab/>
      </w:r>
      <w:r w:rsidR="00A65E81">
        <w:rPr>
          <w:sz w:val="20"/>
          <w:szCs w:val="22"/>
        </w:rPr>
        <w:t>8</w:t>
      </w:r>
      <w:r w:rsidR="00A83295">
        <w:rPr>
          <w:sz w:val="20"/>
          <w:szCs w:val="22"/>
        </w:rPr>
        <w:t>6</w:t>
      </w:r>
    </w:p>
    <w:p w:rsidR="00A470A1" w:rsidRDefault="00A470A1" w:rsidP="00485FF4">
      <w:pPr>
        <w:tabs>
          <w:tab w:val="left" w:pos="1440"/>
          <w:tab w:val="right" w:pos="9000"/>
        </w:tabs>
        <w:ind w:left="1440" w:hanging="1440"/>
        <w:rPr>
          <w:b/>
          <w:sz w:val="24"/>
          <w:szCs w:val="28"/>
        </w:rPr>
      </w:pPr>
    </w:p>
    <w:p w:rsidR="00485FF4" w:rsidRPr="00961F57"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E</w:t>
      </w:r>
      <w:r>
        <w:rPr>
          <w:b/>
          <w:sz w:val="24"/>
          <w:szCs w:val="28"/>
        </w:rPr>
        <w:tab/>
      </w:r>
      <w:r w:rsidRPr="00961F57">
        <w:rPr>
          <w:b/>
          <w:sz w:val="24"/>
          <w:szCs w:val="28"/>
        </w:rPr>
        <w:t>Low incomes, poverty and material hardship</w:t>
      </w:r>
      <w:r>
        <w:rPr>
          <w:b/>
          <w:sz w:val="24"/>
          <w:szCs w:val="28"/>
        </w:rPr>
        <w:t>:  conceptual and measurement issues</w:t>
      </w:r>
    </w:p>
    <w:p w:rsidR="006129EE" w:rsidRDefault="006129EE" w:rsidP="006129EE">
      <w:pPr>
        <w:tabs>
          <w:tab w:val="right" w:pos="8280"/>
          <w:tab w:val="right" w:pos="9000"/>
        </w:tabs>
        <w:spacing w:before="40"/>
        <w:ind w:left="360"/>
        <w:rPr>
          <w:sz w:val="20"/>
        </w:rPr>
      </w:pPr>
      <w:r>
        <w:rPr>
          <w:sz w:val="20"/>
        </w:rPr>
        <w:t>Introduction</w:t>
      </w:r>
      <w:r>
        <w:rPr>
          <w:sz w:val="20"/>
        </w:rPr>
        <w:tab/>
        <w:t>…………………………………………………………………………………………</w:t>
      </w:r>
      <w:r>
        <w:rPr>
          <w:sz w:val="20"/>
        </w:rPr>
        <w:tab/>
      </w:r>
      <w:r w:rsidR="00A65E81">
        <w:rPr>
          <w:sz w:val="20"/>
        </w:rPr>
        <w:t>8</w:t>
      </w:r>
      <w:r w:rsidR="00A83295">
        <w:rPr>
          <w:sz w:val="20"/>
        </w:rPr>
        <w:t>7</w:t>
      </w:r>
    </w:p>
    <w:p w:rsidR="00485FF4" w:rsidRDefault="00485FF4" w:rsidP="006129EE">
      <w:pPr>
        <w:tabs>
          <w:tab w:val="right" w:pos="8280"/>
          <w:tab w:val="right" w:pos="9000"/>
        </w:tabs>
        <w:spacing w:before="40"/>
        <w:ind w:left="360"/>
        <w:rPr>
          <w:sz w:val="20"/>
        </w:rPr>
      </w:pPr>
      <w:r>
        <w:rPr>
          <w:sz w:val="20"/>
        </w:rPr>
        <w:t xml:space="preserve">What is meant by ‘poverty’ in richer nations  </w:t>
      </w:r>
      <w:r w:rsidR="006129EE">
        <w:rPr>
          <w:sz w:val="20"/>
        </w:rPr>
        <w:tab/>
        <w:t>……….</w:t>
      </w:r>
      <w:r>
        <w:rPr>
          <w:sz w:val="20"/>
          <w:szCs w:val="22"/>
        </w:rPr>
        <w:t>………………………………………….</w:t>
      </w:r>
      <w:r>
        <w:rPr>
          <w:sz w:val="20"/>
          <w:szCs w:val="22"/>
        </w:rPr>
        <w:tab/>
      </w:r>
      <w:r w:rsidR="00A65E81">
        <w:rPr>
          <w:sz w:val="20"/>
          <w:szCs w:val="22"/>
        </w:rPr>
        <w:t>8</w:t>
      </w:r>
      <w:r w:rsidR="00A83295">
        <w:rPr>
          <w:sz w:val="20"/>
          <w:szCs w:val="22"/>
        </w:rPr>
        <w:t>8</w:t>
      </w:r>
    </w:p>
    <w:p w:rsidR="00485FF4" w:rsidRPr="00961F57" w:rsidRDefault="00485FF4" w:rsidP="00A65E81">
      <w:pPr>
        <w:numPr>
          <w:ilvl w:val="1"/>
          <w:numId w:val="4"/>
        </w:numPr>
        <w:tabs>
          <w:tab w:val="clear" w:pos="1440"/>
          <w:tab w:val="num" w:pos="1134"/>
          <w:tab w:val="right" w:pos="9000"/>
        </w:tabs>
        <w:spacing w:before="40"/>
        <w:ind w:left="1134" w:hanging="283"/>
        <w:rPr>
          <w:sz w:val="18"/>
        </w:rPr>
      </w:pPr>
      <w:r>
        <w:rPr>
          <w:sz w:val="18"/>
        </w:rPr>
        <w:t>Relative disadvantage</w:t>
      </w:r>
    </w:p>
    <w:p w:rsidR="00485FF4" w:rsidRPr="00961F57" w:rsidRDefault="00485FF4" w:rsidP="00A65E81">
      <w:pPr>
        <w:numPr>
          <w:ilvl w:val="1"/>
          <w:numId w:val="4"/>
        </w:numPr>
        <w:tabs>
          <w:tab w:val="clear" w:pos="1440"/>
          <w:tab w:val="num" w:pos="1134"/>
          <w:tab w:val="right" w:pos="9000"/>
        </w:tabs>
        <w:spacing w:before="40"/>
        <w:ind w:left="1134" w:hanging="283"/>
        <w:rPr>
          <w:sz w:val="18"/>
        </w:rPr>
      </w:pPr>
      <w:r>
        <w:rPr>
          <w:sz w:val="18"/>
        </w:rPr>
        <w:t>Resources or outcomes?</w:t>
      </w:r>
    </w:p>
    <w:p w:rsidR="00485FF4" w:rsidRPr="00155D77" w:rsidRDefault="00485FF4" w:rsidP="006129EE">
      <w:pPr>
        <w:tabs>
          <w:tab w:val="right" w:pos="8280"/>
          <w:tab w:val="right" w:pos="9000"/>
        </w:tabs>
        <w:spacing w:before="40"/>
        <w:ind w:left="360"/>
        <w:rPr>
          <w:sz w:val="20"/>
        </w:rPr>
      </w:pPr>
      <w:r>
        <w:rPr>
          <w:sz w:val="20"/>
        </w:rPr>
        <w:t xml:space="preserve">Constructing measures of income </w:t>
      </w:r>
      <w:r w:rsidRPr="00155D77">
        <w:rPr>
          <w:sz w:val="20"/>
        </w:rPr>
        <w:t>poverty</w:t>
      </w:r>
      <w:r>
        <w:rPr>
          <w:sz w:val="20"/>
        </w:rPr>
        <w:t xml:space="preserve">  </w:t>
      </w:r>
      <w:r w:rsidR="006129EE">
        <w:rPr>
          <w:sz w:val="20"/>
        </w:rPr>
        <w:tab/>
        <w:t>..</w:t>
      </w:r>
      <w:r>
        <w:rPr>
          <w:sz w:val="20"/>
          <w:szCs w:val="22"/>
        </w:rPr>
        <w:t>………………………………………………….</w:t>
      </w:r>
      <w:r>
        <w:rPr>
          <w:sz w:val="20"/>
          <w:szCs w:val="22"/>
        </w:rPr>
        <w:tab/>
      </w:r>
      <w:r w:rsidR="00A83295">
        <w:rPr>
          <w:sz w:val="20"/>
          <w:szCs w:val="22"/>
        </w:rPr>
        <w:t>91</w:t>
      </w:r>
    </w:p>
    <w:p w:rsidR="00485FF4" w:rsidRDefault="00485FF4" w:rsidP="00A65E81">
      <w:pPr>
        <w:numPr>
          <w:ilvl w:val="1"/>
          <w:numId w:val="4"/>
        </w:numPr>
        <w:tabs>
          <w:tab w:val="clear" w:pos="1440"/>
          <w:tab w:val="num" w:pos="1134"/>
          <w:tab w:val="right" w:pos="9000"/>
        </w:tabs>
        <w:spacing w:before="40"/>
        <w:ind w:left="1134" w:hanging="283"/>
        <w:rPr>
          <w:sz w:val="18"/>
        </w:rPr>
      </w:pPr>
      <w:r>
        <w:rPr>
          <w:sz w:val="18"/>
        </w:rPr>
        <w:t xml:space="preserve">Key decisions when constructing a measure </w:t>
      </w:r>
    </w:p>
    <w:p w:rsidR="00485FF4" w:rsidRPr="00DF3D86" w:rsidRDefault="00485FF4" w:rsidP="00A65E81">
      <w:pPr>
        <w:numPr>
          <w:ilvl w:val="1"/>
          <w:numId w:val="4"/>
        </w:numPr>
        <w:tabs>
          <w:tab w:val="clear" w:pos="1440"/>
          <w:tab w:val="num" w:pos="1134"/>
          <w:tab w:val="right" w:pos="9000"/>
        </w:tabs>
        <w:spacing w:before="40"/>
        <w:ind w:left="1134" w:hanging="283"/>
        <w:rPr>
          <w:sz w:val="18"/>
        </w:rPr>
      </w:pPr>
      <w:r>
        <w:rPr>
          <w:sz w:val="18"/>
          <w:szCs w:val="18"/>
        </w:rPr>
        <w:t>U</w:t>
      </w:r>
      <w:r w:rsidRPr="00DF3D86">
        <w:rPr>
          <w:sz w:val="18"/>
          <w:szCs w:val="18"/>
        </w:rPr>
        <w:t xml:space="preserve">sing </w:t>
      </w:r>
      <w:r w:rsidR="00CF044D">
        <w:rPr>
          <w:sz w:val="18"/>
          <w:szCs w:val="18"/>
        </w:rPr>
        <w:t>fixed line and moving line measures to adjust</w:t>
      </w:r>
      <w:r w:rsidRPr="00DF3D86">
        <w:rPr>
          <w:sz w:val="18"/>
          <w:szCs w:val="18"/>
        </w:rPr>
        <w:t xml:space="preserve"> </w:t>
      </w:r>
      <w:r w:rsidR="00CF044D">
        <w:rPr>
          <w:sz w:val="18"/>
          <w:szCs w:val="18"/>
        </w:rPr>
        <w:t>thresholds over time</w:t>
      </w:r>
    </w:p>
    <w:p w:rsidR="00485FF4" w:rsidRPr="00DF3D86" w:rsidRDefault="00485FF4" w:rsidP="00A65E81">
      <w:pPr>
        <w:numPr>
          <w:ilvl w:val="1"/>
          <w:numId w:val="4"/>
        </w:numPr>
        <w:tabs>
          <w:tab w:val="clear" w:pos="1440"/>
          <w:tab w:val="num" w:pos="1134"/>
          <w:tab w:val="right" w:pos="9000"/>
        </w:tabs>
        <w:spacing w:before="40"/>
        <w:ind w:left="1134" w:hanging="283"/>
        <w:rPr>
          <w:sz w:val="18"/>
        </w:rPr>
      </w:pPr>
      <w:r w:rsidRPr="00DF3D86">
        <w:rPr>
          <w:sz w:val="18"/>
          <w:szCs w:val="18"/>
        </w:rPr>
        <w:t>Reporting levels and trends for older New Zealanders (aged 65+)</w:t>
      </w:r>
    </w:p>
    <w:p w:rsidR="008405E8" w:rsidRDefault="008405E8" w:rsidP="008405E8">
      <w:pPr>
        <w:tabs>
          <w:tab w:val="right" w:pos="8280"/>
          <w:tab w:val="right" w:pos="9000"/>
        </w:tabs>
        <w:spacing w:before="60"/>
        <w:ind w:left="360"/>
        <w:rPr>
          <w:sz w:val="20"/>
          <w:szCs w:val="22"/>
        </w:rPr>
      </w:pPr>
      <w:r>
        <w:rPr>
          <w:sz w:val="20"/>
        </w:rPr>
        <w:t xml:space="preserve">The low-income thresholds (poverty lines) used in this report   </w:t>
      </w:r>
      <w:r>
        <w:rPr>
          <w:sz w:val="20"/>
        </w:rPr>
        <w:tab/>
      </w:r>
      <w:r>
        <w:rPr>
          <w:sz w:val="20"/>
          <w:szCs w:val="22"/>
        </w:rPr>
        <w:t>…………………….</w:t>
      </w:r>
      <w:r>
        <w:rPr>
          <w:sz w:val="20"/>
          <w:szCs w:val="22"/>
        </w:rPr>
        <w:tab/>
      </w:r>
      <w:r w:rsidR="00A65E81">
        <w:rPr>
          <w:sz w:val="20"/>
          <w:szCs w:val="22"/>
        </w:rPr>
        <w:t>9</w:t>
      </w:r>
      <w:r w:rsidR="00A83295">
        <w:rPr>
          <w:sz w:val="20"/>
          <w:szCs w:val="22"/>
        </w:rPr>
        <w:t>6</w:t>
      </w:r>
    </w:p>
    <w:p w:rsidR="00485FF4" w:rsidRDefault="006129EE" w:rsidP="006129EE">
      <w:pPr>
        <w:tabs>
          <w:tab w:val="right" w:pos="8280"/>
          <w:tab w:val="right" w:pos="9000"/>
        </w:tabs>
        <w:spacing w:before="60"/>
        <w:ind w:left="360"/>
        <w:rPr>
          <w:sz w:val="20"/>
          <w:szCs w:val="22"/>
        </w:rPr>
      </w:pPr>
      <w:r>
        <w:rPr>
          <w:sz w:val="20"/>
        </w:rPr>
        <w:t>Poverty depth and persistence</w:t>
      </w:r>
      <w:r w:rsidR="00485FF4">
        <w:rPr>
          <w:sz w:val="20"/>
        </w:rPr>
        <w:t xml:space="preserve">   </w:t>
      </w:r>
      <w:r>
        <w:rPr>
          <w:sz w:val="20"/>
        </w:rPr>
        <w:tab/>
      </w:r>
      <w:r w:rsidR="002A023B">
        <w:rPr>
          <w:sz w:val="20"/>
        </w:rPr>
        <w:t>……..</w:t>
      </w:r>
      <w:r w:rsidR="00485FF4">
        <w:rPr>
          <w:sz w:val="20"/>
          <w:szCs w:val="22"/>
        </w:rPr>
        <w:t>………………………………………………………….</w:t>
      </w:r>
      <w:r w:rsidR="00485FF4">
        <w:rPr>
          <w:sz w:val="20"/>
          <w:szCs w:val="22"/>
        </w:rPr>
        <w:tab/>
      </w:r>
      <w:r w:rsidR="00A65E81">
        <w:rPr>
          <w:sz w:val="20"/>
          <w:szCs w:val="22"/>
        </w:rPr>
        <w:t>9</w:t>
      </w:r>
      <w:r w:rsidR="00A83295">
        <w:rPr>
          <w:sz w:val="20"/>
          <w:szCs w:val="22"/>
        </w:rPr>
        <w:t>7</w:t>
      </w:r>
    </w:p>
    <w:p w:rsidR="002A023B" w:rsidRPr="00155D77" w:rsidRDefault="002A023B" w:rsidP="006129EE">
      <w:pPr>
        <w:tabs>
          <w:tab w:val="right" w:pos="8280"/>
          <w:tab w:val="right" w:pos="9000"/>
        </w:tabs>
        <w:spacing w:before="60"/>
        <w:ind w:left="360"/>
        <w:rPr>
          <w:sz w:val="20"/>
        </w:rPr>
      </w:pPr>
      <w:r>
        <w:rPr>
          <w:sz w:val="20"/>
          <w:szCs w:val="22"/>
        </w:rPr>
        <w:t>Interpreting and reporting on trends and differences in the poverty figures</w:t>
      </w:r>
      <w:r>
        <w:rPr>
          <w:sz w:val="20"/>
          <w:szCs w:val="22"/>
        </w:rPr>
        <w:tab/>
        <w:t>……………….</w:t>
      </w:r>
      <w:r>
        <w:rPr>
          <w:sz w:val="20"/>
          <w:szCs w:val="22"/>
        </w:rPr>
        <w:tab/>
      </w:r>
      <w:r w:rsidR="00A65E81">
        <w:rPr>
          <w:sz w:val="20"/>
          <w:szCs w:val="22"/>
        </w:rPr>
        <w:t>9</w:t>
      </w:r>
      <w:r w:rsidR="00A83295">
        <w:rPr>
          <w:sz w:val="20"/>
          <w:szCs w:val="22"/>
        </w:rPr>
        <w:t>7</w:t>
      </w:r>
    </w:p>
    <w:p w:rsidR="00485FF4" w:rsidRDefault="00485FF4" w:rsidP="00485FF4">
      <w:pPr>
        <w:tabs>
          <w:tab w:val="left" w:pos="1260"/>
          <w:tab w:val="right" w:pos="9000"/>
        </w:tabs>
        <w:rPr>
          <w:b/>
          <w:sz w:val="24"/>
          <w:szCs w:val="28"/>
        </w:rPr>
      </w:pPr>
    </w:p>
    <w:p w:rsidR="00D4706D" w:rsidRDefault="00D4706D" w:rsidP="00485FF4">
      <w:pPr>
        <w:tabs>
          <w:tab w:val="left" w:pos="1260"/>
          <w:tab w:val="right" w:pos="9000"/>
        </w:tabs>
        <w:rPr>
          <w:b/>
          <w:sz w:val="24"/>
          <w:szCs w:val="28"/>
        </w:rPr>
      </w:pPr>
    </w:p>
    <w:p w:rsidR="00485FF4" w:rsidRPr="00961F57"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F</w:t>
      </w:r>
      <w:r>
        <w:rPr>
          <w:b/>
          <w:sz w:val="24"/>
          <w:szCs w:val="28"/>
        </w:rPr>
        <w:tab/>
        <w:t>Headline trends</w:t>
      </w:r>
      <w:r w:rsidR="00196683">
        <w:rPr>
          <w:b/>
          <w:sz w:val="24"/>
          <w:szCs w:val="28"/>
        </w:rPr>
        <w:t xml:space="preserve"> in income poverty</w:t>
      </w:r>
      <w:r>
        <w:rPr>
          <w:b/>
          <w:sz w:val="24"/>
          <w:szCs w:val="28"/>
        </w:rPr>
        <w:t xml:space="preserve">, 1982 </w:t>
      </w:r>
      <w:r w:rsidR="00A65E81">
        <w:rPr>
          <w:b/>
          <w:sz w:val="24"/>
          <w:szCs w:val="28"/>
        </w:rPr>
        <w:t>to</w:t>
      </w:r>
      <w:r>
        <w:rPr>
          <w:b/>
          <w:sz w:val="24"/>
          <w:szCs w:val="28"/>
        </w:rPr>
        <w:t xml:space="preserve"> 20</w:t>
      </w:r>
      <w:r w:rsidR="00573ACD">
        <w:rPr>
          <w:b/>
          <w:sz w:val="24"/>
          <w:szCs w:val="28"/>
        </w:rPr>
        <w:t>1</w:t>
      </w:r>
      <w:r w:rsidR="00A65E81">
        <w:rPr>
          <w:b/>
          <w:sz w:val="24"/>
          <w:szCs w:val="28"/>
        </w:rPr>
        <w:t>1</w:t>
      </w:r>
    </w:p>
    <w:p w:rsidR="00422DCE" w:rsidRDefault="00422DCE" w:rsidP="00485FF4">
      <w:pPr>
        <w:tabs>
          <w:tab w:val="right" w:pos="8370"/>
          <w:tab w:val="right" w:pos="9000"/>
        </w:tabs>
        <w:spacing w:before="60"/>
        <w:ind w:firstLine="360"/>
        <w:rPr>
          <w:sz w:val="20"/>
          <w:szCs w:val="22"/>
        </w:rPr>
      </w:pPr>
      <w:r>
        <w:rPr>
          <w:sz w:val="20"/>
          <w:szCs w:val="22"/>
        </w:rPr>
        <w:t xml:space="preserve">Impact of </w:t>
      </w:r>
      <w:r w:rsidR="00CF2AD1">
        <w:rPr>
          <w:sz w:val="20"/>
          <w:szCs w:val="22"/>
        </w:rPr>
        <w:t>changing incomes and housing costs on the different poverty measures</w:t>
      </w:r>
      <w:r w:rsidR="00CF2AD1">
        <w:rPr>
          <w:sz w:val="20"/>
          <w:szCs w:val="22"/>
        </w:rPr>
        <w:tab/>
      </w:r>
      <w:r>
        <w:rPr>
          <w:sz w:val="20"/>
          <w:szCs w:val="22"/>
        </w:rPr>
        <w:t>……….</w:t>
      </w:r>
      <w:r>
        <w:rPr>
          <w:sz w:val="20"/>
          <w:szCs w:val="22"/>
        </w:rPr>
        <w:tab/>
      </w:r>
      <w:r w:rsidR="00152C09">
        <w:rPr>
          <w:sz w:val="20"/>
          <w:szCs w:val="22"/>
        </w:rPr>
        <w:t>100</w:t>
      </w:r>
    </w:p>
    <w:p w:rsidR="00485FF4" w:rsidRDefault="00196683" w:rsidP="00485FF4">
      <w:pPr>
        <w:tabs>
          <w:tab w:val="right" w:pos="8370"/>
          <w:tab w:val="right" w:pos="9000"/>
        </w:tabs>
        <w:spacing w:before="60"/>
        <w:ind w:firstLine="360"/>
        <w:rPr>
          <w:sz w:val="20"/>
          <w:szCs w:val="22"/>
        </w:rPr>
      </w:pPr>
      <w:r>
        <w:rPr>
          <w:sz w:val="20"/>
          <w:szCs w:val="22"/>
        </w:rPr>
        <w:t>Headline t</w:t>
      </w:r>
      <w:r w:rsidR="00485FF4">
        <w:rPr>
          <w:sz w:val="20"/>
          <w:szCs w:val="22"/>
        </w:rPr>
        <w:t xml:space="preserve">rends for the whole population    </w:t>
      </w:r>
      <w:r w:rsidR="00485FF4">
        <w:rPr>
          <w:sz w:val="20"/>
          <w:szCs w:val="22"/>
        </w:rPr>
        <w:tab/>
      </w:r>
      <w:r>
        <w:rPr>
          <w:sz w:val="20"/>
          <w:szCs w:val="22"/>
        </w:rPr>
        <w:t>…….</w:t>
      </w:r>
      <w:r w:rsidR="00485FF4">
        <w:rPr>
          <w:sz w:val="20"/>
          <w:szCs w:val="22"/>
        </w:rPr>
        <w:t>………………………………………………..</w:t>
      </w:r>
      <w:r w:rsidR="00485FF4">
        <w:rPr>
          <w:sz w:val="20"/>
          <w:szCs w:val="22"/>
        </w:rPr>
        <w:tab/>
      </w:r>
      <w:r w:rsidR="00152C09">
        <w:rPr>
          <w:sz w:val="20"/>
          <w:szCs w:val="22"/>
        </w:rPr>
        <w:t>101</w:t>
      </w:r>
    </w:p>
    <w:p w:rsidR="00485FF4" w:rsidRDefault="00196683" w:rsidP="00485FF4">
      <w:pPr>
        <w:tabs>
          <w:tab w:val="right" w:pos="8370"/>
          <w:tab w:val="right" w:pos="9000"/>
        </w:tabs>
        <w:spacing w:before="60"/>
        <w:ind w:firstLine="360"/>
        <w:rPr>
          <w:sz w:val="20"/>
          <w:szCs w:val="22"/>
        </w:rPr>
      </w:pPr>
      <w:r>
        <w:rPr>
          <w:sz w:val="20"/>
        </w:rPr>
        <w:t>Headline trends</w:t>
      </w:r>
      <w:r w:rsidR="00485FF4">
        <w:rPr>
          <w:sz w:val="20"/>
        </w:rPr>
        <w:t xml:space="preserve"> for dependent children</w:t>
      </w:r>
      <w:r w:rsidR="00485FF4">
        <w:rPr>
          <w:sz w:val="20"/>
          <w:szCs w:val="22"/>
        </w:rPr>
        <w:t xml:space="preserve">   </w:t>
      </w:r>
      <w:r>
        <w:rPr>
          <w:sz w:val="20"/>
          <w:szCs w:val="22"/>
        </w:rPr>
        <w:tab/>
      </w:r>
      <w:r w:rsidR="008A53B7">
        <w:rPr>
          <w:sz w:val="20"/>
          <w:szCs w:val="22"/>
        </w:rPr>
        <w:t>……….</w:t>
      </w:r>
      <w:r>
        <w:rPr>
          <w:sz w:val="20"/>
          <w:szCs w:val="22"/>
        </w:rPr>
        <w:t>……………………………………………..</w:t>
      </w:r>
      <w:r>
        <w:rPr>
          <w:sz w:val="20"/>
          <w:szCs w:val="22"/>
        </w:rPr>
        <w:tab/>
      </w:r>
      <w:r w:rsidR="00E20A14">
        <w:rPr>
          <w:sz w:val="20"/>
          <w:szCs w:val="22"/>
        </w:rPr>
        <w:t>10</w:t>
      </w:r>
      <w:r w:rsidR="00152C09">
        <w:rPr>
          <w:sz w:val="20"/>
          <w:szCs w:val="22"/>
        </w:rPr>
        <w:t>6</w:t>
      </w:r>
    </w:p>
    <w:p w:rsidR="00485FF4" w:rsidRDefault="00485FF4" w:rsidP="00485FF4">
      <w:pPr>
        <w:tabs>
          <w:tab w:val="right" w:pos="8370"/>
          <w:tab w:val="right" w:pos="9000"/>
        </w:tabs>
        <w:spacing w:before="60"/>
        <w:ind w:firstLine="360"/>
        <w:rPr>
          <w:sz w:val="20"/>
          <w:szCs w:val="22"/>
        </w:rPr>
      </w:pPr>
      <w:r>
        <w:rPr>
          <w:sz w:val="20"/>
          <w:szCs w:val="22"/>
        </w:rPr>
        <w:t xml:space="preserve">Sensitivity of </w:t>
      </w:r>
      <w:r w:rsidR="008A53B7">
        <w:rPr>
          <w:sz w:val="20"/>
          <w:szCs w:val="22"/>
        </w:rPr>
        <w:t xml:space="preserve">levels and </w:t>
      </w:r>
      <w:r>
        <w:rPr>
          <w:sz w:val="20"/>
          <w:szCs w:val="22"/>
        </w:rPr>
        <w:t xml:space="preserve">trends to choice of poverty line  </w:t>
      </w:r>
      <w:r>
        <w:rPr>
          <w:sz w:val="20"/>
          <w:szCs w:val="22"/>
        </w:rPr>
        <w:tab/>
        <w:t>……………………………………..</w:t>
      </w:r>
      <w:r>
        <w:rPr>
          <w:sz w:val="20"/>
          <w:szCs w:val="22"/>
        </w:rPr>
        <w:tab/>
      </w:r>
      <w:r w:rsidR="00E20A14">
        <w:rPr>
          <w:sz w:val="20"/>
          <w:szCs w:val="22"/>
        </w:rPr>
        <w:t>1</w:t>
      </w:r>
      <w:r w:rsidR="00152C09">
        <w:rPr>
          <w:sz w:val="20"/>
          <w:szCs w:val="22"/>
        </w:rPr>
        <w:t>10</w:t>
      </w:r>
    </w:p>
    <w:p w:rsidR="00485FF4" w:rsidRDefault="00A65E81" w:rsidP="00485FF4">
      <w:pPr>
        <w:tabs>
          <w:tab w:val="right" w:pos="8370"/>
          <w:tab w:val="right" w:pos="9000"/>
        </w:tabs>
        <w:spacing w:before="60"/>
        <w:ind w:firstLine="360"/>
        <w:rPr>
          <w:sz w:val="20"/>
          <w:szCs w:val="22"/>
        </w:rPr>
      </w:pPr>
      <w:r>
        <w:rPr>
          <w:sz w:val="20"/>
          <w:szCs w:val="22"/>
        </w:rPr>
        <w:t>Depth of poverty</w:t>
      </w:r>
      <w:r w:rsidR="00485FF4">
        <w:rPr>
          <w:sz w:val="20"/>
          <w:szCs w:val="22"/>
        </w:rPr>
        <w:t xml:space="preserve"> </w:t>
      </w:r>
      <w:r w:rsidR="00485FF4">
        <w:rPr>
          <w:sz w:val="20"/>
          <w:szCs w:val="22"/>
        </w:rPr>
        <w:tab/>
        <w:t>………………………….…………………………………………………………..</w:t>
      </w:r>
      <w:r w:rsidR="00485FF4">
        <w:rPr>
          <w:sz w:val="20"/>
          <w:szCs w:val="22"/>
        </w:rPr>
        <w:tab/>
      </w:r>
      <w:r w:rsidR="00152C09">
        <w:rPr>
          <w:sz w:val="20"/>
          <w:szCs w:val="22"/>
        </w:rPr>
        <w:t>111</w:t>
      </w:r>
    </w:p>
    <w:p w:rsidR="00485FF4" w:rsidRDefault="00485FF4" w:rsidP="00485FF4">
      <w:pPr>
        <w:tabs>
          <w:tab w:val="right" w:pos="9000"/>
        </w:tabs>
        <w:spacing w:before="60"/>
        <w:ind w:firstLine="360"/>
        <w:rPr>
          <w:sz w:val="20"/>
          <w:szCs w:val="22"/>
        </w:rPr>
      </w:pPr>
    </w:p>
    <w:p w:rsidR="00D4706D" w:rsidRDefault="00D4706D" w:rsidP="00485FF4">
      <w:pPr>
        <w:tabs>
          <w:tab w:val="right" w:pos="9000"/>
        </w:tabs>
        <w:spacing w:before="60"/>
        <w:ind w:firstLine="360"/>
        <w:rPr>
          <w:sz w:val="20"/>
          <w:szCs w:val="22"/>
        </w:rPr>
      </w:pPr>
    </w:p>
    <w:p w:rsidR="00485FF4"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G</w:t>
      </w:r>
      <w:r>
        <w:rPr>
          <w:b/>
          <w:sz w:val="24"/>
          <w:szCs w:val="28"/>
        </w:rPr>
        <w:tab/>
        <w:t>Trends for the whole population</w:t>
      </w:r>
      <w:r w:rsidR="00421140">
        <w:rPr>
          <w:b/>
          <w:sz w:val="24"/>
          <w:szCs w:val="28"/>
        </w:rPr>
        <w:t>, 1982</w:t>
      </w:r>
      <w:r w:rsidR="00E23F25">
        <w:rPr>
          <w:b/>
          <w:sz w:val="24"/>
          <w:szCs w:val="28"/>
        </w:rPr>
        <w:t xml:space="preserve"> </w:t>
      </w:r>
      <w:r w:rsidR="00E20A14">
        <w:rPr>
          <w:b/>
          <w:sz w:val="24"/>
          <w:szCs w:val="28"/>
        </w:rPr>
        <w:t>to</w:t>
      </w:r>
      <w:r w:rsidR="00A65E81">
        <w:rPr>
          <w:b/>
          <w:sz w:val="24"/>
          <w:szCs w:val="28"/>
        </w:rPr>
        <w:t xml:space="preserve"> </w:t>
      </w:r>
      <w:r w:rsidR="00421140">
        <w:rPr>
          <w:b/>
          <w:sz w:val="24"/>
          <w:szCs w:val="28"/>
        </w:rPr>
        <w:t>20</w:t>
      </w:r>
      <w:r w:rsidR="004A626A">
        <w:rPr>
          <w:b/>
          <w:sz w:val="24"/>
          <w:szCs w:val="28"/>
        </w:rPr>
        <w:t>1</w:t>
      </w:r>
      <w:r w:rsidR="00E20A14">
        <w:rPr>
          <w:b/>
          <w:sz w:val="24"/>
          <w:szCs w:val="28"/>
        </w:rPr>
        <w:t>1</w:t>
      </w:r>
      <w:r w:rsidR="00421140">
        <w:rPr>
          <w:b/>
          <w:sz w:val="24"/>
          <w:szCs w:val="28"/>
        </w:rPr>
        <w:t>, by various</w:t>
      </w:r>
    </w:p>
    <w:p w:rsidR="00485FF4" w:rsidRPr="00961F57" w:rsidRDefault="00485FF4" w:rsidP="00485FF4">
      <w:pPr>
        <w:tabs>
          <w:tab w:val="left" w:pos="1440"/>
          <w:tab w:val="right" w:pos="9000"/>
        </w:tabs>
        <w:ind w:left="1440" w:hanging="1440"/>
        <w:rPr>
          <w:b/>
          <w:sz w:val="24"/>
          <w:szCs w:val="28"/>
        </w:rPr>
      </w:pPr>
      <w:r>
        <w:rPr>
          <w:b/>
          <w:sz w:val="24"/>
          <w:szCs w:val="28"/>
        </w:rPr>
        <w:tab/>
        <w:t>individual</w:t>
      </w:r>
      <w:r w:rsidR="00421140">
        <w:rPr>
          <w:b/>
          <w:sz w:val="24"/>
          <w:szCs w:val="28"/>
        </w:rPr>
        <w:t xml:space="preserve"> and household</w:t>
      </w:r>
      <w:r>
        <w:rPr>
          <w:b/>
          <w:sz w:val="24"/>
          <w:szCs w:val="28"/>
        </w:rPr>
        <w:t xml:space="preserve"> characteristics</w:t>
      </w:r>
    </w:p>
    <w:p w:rsidR="00485FF4" w:rsidRDefault="00485FF4" w:rsidP="00485FF4">
      <w:pPr>
        <w:tabs>
          <w:tab w:val="right" w:pos="8370"/>
          <w:tab w:val="right" w:pos="9000"/>
        </w:tabs>
        <w:spacing w:before="60"/>
        <w:ind w:firstLine="360"/>
        <w:rPr>
          <w:sz w:val="20"/>
          <w:szCs w:val="22"/>
        </w:rPr>
      </w:pPr>
      <w:r>
        <w:rPr>
          <w:sz w:val="20"/>
          <w:szCs w:val="22"/>
        </w:rPr>
        <w:t xml:space="preserve">Age    </w:t>
      </w:r>
      <w:r>
        <w:rPr>
          <w:sz w:val="20"/>
          <w:szCs w:val="22"/>
        </w:rPr>
        <w:tab/>
        <w:t>…………………………….……..…………………………………………………………..</w:t>
      </w:r>
      <w:r>
        <w:rPr>
          <w:sz w:val="20"/>
          <w:szCs w:val="22"/>
        </w:rPr>
        <w:tab/>
      </w:r>
      <w:r w:rsidR="004A626A">
        <w:rPr>
          <w:sz w:val="20"/>
          <w:szCs w:val="22"/>
        </w:rPr>
        <w:t>1</w:t>
      </w:r>
      <w:r w:rsidR="00E20A14">
        <w:rPr>
          <w:sz w:val="20"/>
          <w:szCs w:val="22"/>
        </w:rPr>
        <w:t>1</w:t>
      </w:r>
      <w:r w:rsidR="00152C09">
        <w:rPr>
          <w:sz w:val="20"/>
          <w:szCs w:val="22"/>
        </w:rPr>
        <w:t>6</w:t>
      </w:r>
    </w:p>
    <w:p w:rsidR="005B720B" w:rsidRDefault="005B720B" w:rsidP="00485FF4">
      <w:pPr>
        <w:tabs>
          <w:tab w:val="right" w:pos="8370"/>
          <w:tab w:val="right" w:pos="9000"/>
        </w:tabs>
        <w:spacing w:before="60"/>
        <w:ind w:firstLine="360"/>
        <w:rPr>
          <w:sz w:val="20"/>
          <w:szCs w:val="22"/>
        </w:rPr>
      </w:pPr>
      <w:r>
        <w:rPr>
          <w:sz w:val="20"/>
          <w:szCs w:val="22"/>
        </w:rPr>
        <w:t>Sex</w:t>
      </w:r>
      <w:r>
        <w:rPr>
          <w:sz w:val="20"/>
          <w:szCs w:val="22"/>
        </w:rPr>
        <w:tab/>
        <w:t>..…………………………….……..…………………………………………………………..</w:t>
      </w:r>
      <w:r>
        <w:rPr>
          <w:sz w:val="20"/>
          <w:szCs w:val="22"/>
        </w:rPr>
        <w:tab/>
      </w:r>
      <w:r w:rsidR="004A626A">
        <w:rPr>
          <w:sz w:val="20"/>
          <w:szCs w:val="22"/>
        </w:rPr>
        <w:t>1</w:t>
      </w:r>
      <w:r w:rsidR="00E20A14">
        <w:rPr>
          <w:sz w:val="20"/>
          <w:szCs w:val="22"/>
        </w:rPr>
        <w:t>1</w:t>
      </w:r>
      <w:r w:rsidR="00152C09">
        <w:rPr>
          <w:sz w:val="20"/>
          <w:szCs w:val="22"/>
        </w:rPr>
        <w:t>8</w:t>
      </w:r>
    </w:p>
    <w:p w:rsidR="00AE0C8E" w:rsidRDefault="00AE0C8E" w:rsidP="00485FF4">
      <w:pPr>
        <w:tabs>
          <w:tab w:val="right" w:pos="8370"/>
          <w:tab w:val="right" w:pos="9000"/>
        </w:tabs>
        <w:spacing w:before="60"/>
        <w:ind w:firstLine="360"/>
        <w:rPr>
          <w:sz w:val="20"/>
          <w:szCs w:val="22"/>
        </w:rPr>
      </w:pPr>
      <w:r>
        <w:rPr>
          <w:sz w:val="20"/>
          <w:szCs w:val="22"/>
        </w:rPr>
        <w:lastRenderedPageBreak/>
        <w:t>Ethnicity</w:t>
      </w:r>
      <w:r>
        <w:rPr>
          <w:sz w:val="20"/>
          <w:szCs w:val="22"/>
        </w:rPr>
        <w:tab/>
        <w:t>……………………………………………………………………………………………..</w:t>
      </w:r>
      <w:r>
        <w:rPr>
          <w:sz w:val="20"/>
          <w:szCs w:val="22"/>
        </w:rPr>
        <w:tab/>
      </w:r>
      <w:r w:rsidR="00E20A14">
        <w:rPr>
          <w:sz w:val="20"/>
          <w:szCs w:val="22"/>
        </w:rPr>
        <w:t>11</w:t>
      </w:r>
      <w:r w:rsidR="00152C09">
        <w:rPr>
          <w:sz w:val="20"/>
          <w:szCs w:val="22"/>
        </w:rPr>
        <w:t>8</w:t>
      </w:r>
    </w:p>
    <w:p w:rsidR="00AE710B" w:rsidRDefault="00AE710B" w:rsidP="00485FF4">
      <w:pPr>
        <w:tabs>
          <w:tab w:val="right" w:pos="8370"/>
          <w:tab w:val="right" w:pos="9000"/>
        </w:tabs>
        <w:spacing w:before="60"/>
        <w:ind w:firstLine="360"/>
        <w:rPr>
          <w:sz w:val="20"/>
          <w:szCs w:val="22"/>
        </w:rPr>
      </w:pPr>
      <w:r>
        <w:rPr>
          <w:sz w:val="20"/>
          <w:szCs w:val="22"/>
        </w:rPr>
        <w:t>Tenure</w:t>
      </w:r>
      <w:r>
        <w:rPr>
          <w:sz w:val="20"/>
          <w:szCs w:val="22"/>
        </w:rPr>
        <w:tab/>
        <w:t>………………………………………………………………………………………………</w:t>
      </w:r>
      <w:r>
        <w:rPr>
          <w:sz w:val="20"/>
          <w:szCs w:val="22"/>
        </w:rPr>
        <w:tab/>
      </w:r>
      <w:r w:rsidR="004A626A">
        <w:rPr>
          <w:sz w:val="20"/>
          <w:szCs w:val="22"/>
        </w:rPr>
        <w:t>1</w:t>
      </w:r>
      <w:r w:rsidR="00E20A14">
        <w:rPr>
          <w:sz w:val="20"/>
          <w:szCs w:val="22"/>
        </w:rPr>
        <w:t>1</w:t>
      </w:r>
      <w:r w:rsidR="00152C09">
        <w:rPr>
          <w:sz w:val="20"/>
          <w:szCs w:val="22"/>
        </w:rPr>
        <w:t>9</w:t>
      </w:r>
    </w:p>
    <w:p w:rsidR="00485FF4" w:rsidRDefault="00485FF4" w:rsidP="00485FF4">
      <w:pPr>
        <w:tabs>
          <w:tab w:val="right" w:pos="8370"/>
          <w:tab w:val="right" w:pos="9000"/>
        </w:tabs>
        <w:spacing w:before="60"/>
        <w:ind w:firstLine="360"/>
        <w:rPr>
          <w:sz w:val="20"/>
          <w:szCs w:val="22"/>
        </w:rPr>
      </w:pPr>
      <w:r>
        <w:rPr>
          <w:sz w:val="20"/>
          <w:szCs w:val="22"/>
        </w:rPr>
        <w:t xml:space="preserve">Household </w:t>
      </w:r>
      <w:r w:rsidR="00421140">
        <w:rPr>
          <w:sz w:val="20"/>
          <w:szCs w:val="22"/>
        </w:rPr>
        <w:t xml:space="preserve">and family </w:t>
      </w:r>
      <w:r>
        <w:rPr>
          <w:sz w:val="20"/>
          <w:szCs w:val="22"/>
        </w:rPr>
        <w:t xml:space="preserve">type  </w:t>
      </w:r>
      <w:r>
        <w:rPr>
          <w:sz w:val="20"/>
          <w:szCs w:val="22"/>
        </w:rPr>
        <w:tab/>
      </w:r>
      <w:r w:rsidR="00421140">
        <w:rPr>
          <w:sz w:val="20"/>
          <w:szCs w:val="22"/>
        </w:rPr>
        <w:t>….</w:t>
      </w:r>
      <w:r>
        <w:rPr>
          <w:sz w:val="20"/>
          <w:szCs w:val="22"/>
        </w:rPr>
        <w:t>……………….…………………………………………………..</w:t>
      </w:r>
      <w:r>
        <w:rPr>
          <w:sz w:val="20"/>
          <w:szCs w:val="22"/>
        </w:rPr>
        <w:tab/>
      </w:r>
      <w:r w:rsidR="004A626A">
        <w:rPr>
          <w:sz w:val="20"/>
          <w:szCs w:val="22"/>
        </w:rPr>
        <w:t>1</w:t>
      </w:r>
      <w:r w:rsidR="00152C09">
        <w:rPr>
          <w:sz w:val="20"/>
          <w:szCs w:val="22"/>
        </w:rPr>
        <w:t>20</w:t>
      </w:r>
    </w:p>
    <w:p w:rsidR="00CF044D" w:rsidRDefault="00CF044D" w:rsidP="00CF044D">
      <w:pPr>
        <w:tabs>
          <w:tab w:val="right" w:pos="8370"/>
          <w:tab w:val="right" w:pos="9000"/>
        </w:tabs>
        <w:spacing w:before="60"/>
        <w:ind w:firstLine="360"/>
        <w:rPr>
          <w:sz w:val="20"/>
          <w:szCs w:val="22"/>
        </w:rPr>
      </w:pPr>
      <w:r>
        <w:rPr>
          <w:sz w:val="20"/>
          <w:szCs w:val="22"/>
        </w:rPr>
        <w:t>Main source of income for ‘working age’ households</w:t>
      </w:r>
      <w:r>
        <w:rPr>
          <w:sz w:val="20"/>
          <w:szCs w:val="22"/>
        </w:rPr>
        <w:tab/>
        <w:t>.………………………………………..</w:t>
      </w:r>
      <w:r>
        <w:rPr>
          <w:sz w:val="20"/>
          <w:szCs w:val="22"/>
        </w:rPr>
        <w:tab/>
      </w:r>
      <w:r w:rsidR="004A626A">
        <w:rPr>
          <w:sz w:val="20"/>
          <w:szCs w:val="22"/>
        </w:rPr>
        <w:t>1</w:t>
      </w:r>
      <w:r w:rsidR="00152C09">
        <w:rPr>
          <w:sz w:val="20"/>
          <w:szCs w:val="22"/>
        </w:rPr>
        <w:t>20</w:t>
      </w:r>
    </w:p>
    <w:p w:rsidR="00CF044D" w:rsidRDefault="00CF044D" w:rsidP="00485FF4">
      <w:pPr>
        <w:tabs>
          <w:tab w:val="right" w:pos="8370"/>
          <w:tab w:val="right" w:pos="9000"/>
        </w:tabs>
        <w:spacing w:before="60"/>
        <w:ind w:firstLine="360"/>
        <w:rPr>
          <w:sz w:val="20"/>
          <w:szCs w:val="22"/>
        </w:rPr>
      </w:pPr>
    </w:p>
    <w:p w:rsidR="00485FF4" w:rsidRDefault="00485FF4" w:rsidP="00485FF4">
      <w:pPr>
        <w:tabs>
          <w:tab w:val="left" w:pos="1440"/>
          <w:tab w:val="right" w:pos="9000"/>
        </w:tabs>
        <w:ind w:left="1440" w:hanging="1440"/>
        <w:rPr>
          <w:b/>
          <w:sz w:val="24"/>
          <w:szCs w:val="28"/>
        </w:rPr>
      </w:pPr>
    </w:p>
    <w:p w:rsidR="00421140"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H</w:t>
      </w:r>
      <w:r>
        <w:rPr>
          <w:b/>
          <w:sz w:val="24"/>
          <w:szCs w:val="28"/>
        </w:rPr>
        <w:tab/>
        <w:t>Trends for dependent children</w:t>
      </w:r>
      <w:r w:rsidR="00421140">
        <w:rPr>
          <w:b/>
          <w:sz w:val="24"/>
          <w:szCs w:val="28"/>
        </w:rPr>
        <w:t>, 1982</w:t>
      </w:r>
      <w:r w:rsidR="00E23F25">
        <w:rPr>
          <w:b/>
          <w:sz w:val="24"/>
          <w:szCs w:val="28"/>
        </w:rPr>
        <w:t xml:space="preserve"> </w:t>
      </w:r>
      <w:r w:rsidR="00E86E9F">
        <w:rPr>
          <w:b/>
          <w:sz w:val="24"/>
          <w:szCs w:val="28"/>
        </w:rPr>
        <w:t>to</w:t>
      </w:r>
      <w:r w:rsidR="00E23F25">
        <w:rPr>
          <w:b/>
          <w:sz w:val="24"/>
          <w:szCs w:val="28"/>
        </w:rPr>
        <w:t xml:space="preserve"> </w:t>
      </w:r>
      <w:r w:rsidR="00421140">
        <w:rPr>
          <w:b/>
          <w:sz w:val="24"/>
          <w:szCs w:val="28"/>
        </w:rPr>
        <w:t>20</w:t>
      </w:r>
      <w:r w:rsidR="004A626A">
        <w:rPr>
          <w:b/>
          <w:sz w:val="24"/>
          <w:szCs w:val="28"/>
        </w:rPr>
        <w:t>1</w:t>
      </w:r>
      <w:r w:rsidR="00E86E9F">
        <w:rPr>
          <w:b/>
          <w:sz w:val="24"/>
          <w:szCs w:val="28"/>
        </w:rPr>
        <w:t>1</w:t>
      </w:r>
      <w:r w:rsidR="008D1EDB">
        <w:rPr>
          <w:b/>
          <w:sz w:val="24"/>
          <w:szCs w:val="28"/>
        </w:rPr>
        <w:t>,</w:t>
      </w:r>
      <w:r w:rsidR="00421140">
        <w:rPr>
          <w:b/>
          <w:sz w:val="24"/>
          <w:szCs w:val="28"/>
        </w:rPr>
        <w:t xml:space="preserve"> by various</w:t>
      </w:r>
    </w:p>
    <w:p w:rsidR="00485FF4" w:rsidRPr="00961F57" w:rsidRDefault="00421140" w:rsidP="00485FF4">
      <w:pPr>
        <w:tabs>
          <w:tab w:val="left" w:pos="1440"/>
          <w:tab w:val="right" w:pos="9000"/>
        </w:tabs>
        <w:ind w:left="1440" w:hanging="1440"/>
        <w:rPr>
          <w:b/>
          <w:sz w:val="24"/>
          <w:szCs w:val="28"/>
        </w:rPr>
      </w:pPr>
      <w:r>
        <w:rPr>
          <w:b/>
          <w:sz w:val="24"/>
          <w:szCs w:val="28"/>
        </w:rPr>
        <w:tab/>
        <w:t>individual and household</w:t>
      </w:r>
      <w:r w:rsidR="00485FF4">
        <w:rPr>
          <w:b/>
          <w:sz w:val="24"/>
          <w:szCs w:val="28"/>
        </w:rPr>
        <w:t xml:space="preserve"> characteristics</w:t>
      </w:r>
    </w:p>
    <w:p w:rsidR="00485FF4" w:rsidRDefault="00485FF4" w:rsidP="00485FF4">
      <w:pPr>
        <w:tabs>
          <w:tab w:val="right" w:pos="8370"/>
          <w:tab w:val="right" w:pos="9000"/>
        </w:tabs>
        <w:spacing w:before="60"/>
        <w:ind w:firstLine="360"/>
        <w:rPr>
          <w:sz w:val="20"/>
          <w:szCs w:val="22"/>
        </w:rPr>
      </w:pPr>
      <w:r>
        <w:rPr>
          <w:sz w:val="20"/>
          <w:szCs w:val="22"/>
        </w:rPr>
        <w:t xml:space="preserve">Age    </w:t>
      </w:r>
      <w:r>
        <w:rPr>
          <w:sz w:val="20"/>
          <w:szCs w:val="22"/>
        </w:rPr>
        <w:tab/>
        <w:t>…………………………….……..…………………………………………………………..</w:t>
      </w:r>
      <w:r>
        <w:rPr>
          <w:sz w:val="20"/>
          <w:szCs w:val="22"/>
        </w:rPr>
        <w:tab/>
      </w:r>
      <w:r w:rsidR="004E1F21">
        <w:rPr>
          <w:sz w:val="20"/>
          <w:szCs w:val="22"/>
        </w:rPr>
        <w:t>1</w:t>
      </w:r>
      <w:r w:rsidR="00E86E9F">
        <w:rPr>
          <w:sz w:val="20"/>
          <w:szCs w:val="22"/>
        </w:rPr>
        <w:t>2</w:t>
      </w:r>
      <w:r w:rsidR="00152C09">
        <w:rPr>
          <w:sz w:val="20"/>
          <w:szCs w:val="22"/>
        </w:rPr>
        <w:t>4</w:t>
      </w:r>
    </w:p>
    <w:p w:rsidR="004E1F21" w:rsidRDefault="004E1F21" w:rsidP="00485FF4">
      <w:pPr>
        <w:tabs>
          <w:tab w:val="right" w:pos="8370"/>
          <w:tab w:val="right" w:pos="9000"/>
        </w:tabs>
        <w:spacing w:before="60"/>
        <w:ind w:firstLine="360"/>
        <w:rPr>
          <w:sz w:val="20"/>
          <w:szCs w:val="22"/>
        </w:rPr>
      </w:pPr>
      <w:r>
        <w:rPr>
          <w:sz w:val="20"/>
          <w:szCs w:val="22"/>
        </w:rPr>
        <w:t>Ethnicity</w:t>
      </w:r>
      <w:r>
        <w:rPr>
          <w:sz w:val="20"/>
          <w:szCs w:val="22"/>
        </w:rPr>
        <w:tab/>
        <w:t>……………………………………………………………………………………………..</w:t>
      </w:r>
      <w:r>
        <w:rPr>
          <w:sz w:val="20"/>
          <w:szCs w:val="22"/>
        </w:rPr>
        <w:tab/>
        <w:t>1</w:t>
      </w:r>
      <w:r w:rsidR="00E86E9F">
        <w:rPr>
          <w:sz w:val="20"/>
          <w:szCs w:val="22"/>
        </w:rPr>
        <w:t>2</w:t>
      </w:r>
      <w:r w:rsidR="00152C09">
        <w:rPr>
          <w:sz w:val="20"/>
          <w:szCs w:val="22"/>
        </w:rPr>
        <w:t>5</w:t>
      </w:r>
    </w:p>
    <w:p w:rsidR="00E86E9F" w:rsidRDefault="00E86E9F" w:rsidP="00485FF4">
      <w:pPr>
        <w:tabs>
          <w:tab w:val="right" w:pos="8370"/>
          <w:tab w:val="right" w:pos="9000"/>
        </w:tabs>
        <w:spacing w:before="60"/>
        <w:ind w:firstLine="360"/>
        <w:rPr>
          <w:sz w:val="20"/>
          <w:szCs w:val="22"/>
        </w:rPr>
      </w:pPr>
      <w:r>
        <w:rPr>
          <w:sz w:val="20"/>
          <w:szCs w:val="22"/>
        </w:rPr>
        <w:t>Tenure</w:t>
      </w:r>
      <w:r>
        <w:rPr>
          <w:sz w:val="20"/>
          <w:szCs w:val="22"/>
        </w:rPr>
        <w:tab/>
        <w:t>……………………………………………………………………………………………….</w:t>
      </w:r>
      <w:r>
        <w:rPr>
          <w:sz w:val="20"/>
          <w:szCs w:val="22"/>
        </w:rPr>
        <w:tab/>
        <w:t>12</w:t>
      </w:r>
      <w:r w:rsidR="00152C09">
        <w:rPr>
          <w:sz w:val="20"/>
          <w:szCs w:val="22"/>
        </w:rPr>
        <w:t>5</w:t>
      </w:r>
    </w:p>
    <w:p w:rsidR="00485FF4" w:rsidRDefault="00485FF4" w:rsidP="00485FF4">
      <w:pPr>
        <w:tabs>
          <w:tab w:val="right" w:pos="8370"/>
          <w:tab w:val="right" w:pos="9000"/>
        </w:tabs>
        <w:spacing w:before="60"/>
        <w:ind w:firstLine="360"/>
        <w:rPr>
          <w:sz w:val="20"/>
          <w:szCs w:val="22"/>
        </w:rPr>
      </w:pPr>
      <w:r>
        <w:rPr>
          <w:sz w:val="20"/>
          <w:szCs w:val="22"/>
        </w:rPr>
        <w:t xml:space="preserve">Household and family type </w:t>
      </w:r>
      <w:r>
        <w:rPr>
          <w:sz w:val="20"/>
          <w:szCs w:val="22"/>
        </w:rPr>
        <w:tab/>
        <w:t>…………………….…………………………………………………..</w:t>
      </w:r>
      <w:r>
        <w:rPr>
          <w:sz w:val="20"/>
          <w:szCs w:val="22"/>
        </w:rPr>
        <w:tab/>
      </w:r>
      <w:r w:rsidR="004E1F21">
        <w:rPr>
          <w:sz w:val="20"/>
          <w:szCs w:val="22"/>
        </w:rPr>
        <w:t>1</w:t>
      </w:r>
      <w:r w:rsidR="00E86E9F">
        <w:rPr>
          <w:sz w:val="20"/>
          <w:szCs w:val="22"/>
        </w:rPr>
        <w:t>2</w:t>
      </w:r>
      <w:r w:rsidR="00152C09">
        <w:rPr>
          <w:sz w:val="20"/>
          <w:szCs w:val="22"/>
        </w:rPr>
        <w:t>6</w:t>
      </w:r>
    </w:p>
    <w:p w:rsidR="00485FF4" w:rsidRDefault="00485FF4" w:rsidP="00485FF4">
      <w:pPr>
        <w:tabs>
          <w:tab w:val="right" w:pos="8370"/>
          <w:tab w:val="right" w:pos="9000"/>
        </w:tabs>
        <w:spacing w:before="60"/>
        <w:ind w:firstLine="360"/>
        <w:rPr>
          <w:sz w:val="20"/>
          <w:szCs w:val="22"/>
        </w:rPr>
      </w:pPr>
      <w:r>
        <w:rPr>
          <w:sz w:val="20"/>
          <w:szCs w:val="22"/>
        </w:rPr>
        <w:t xml:space="preserve">Work status of adults in the household </w:t>
      </w:r>
      <w:r>
        <w:rPr>
          <w:sz w:val="20"/>
          <w:szCs w:val="22"/>
        </w:rPr>
        <w:tab/>
        <w:t>……..…………………………………………………..</w:t>
      </w:r>
      <w:r>
        <w:rPr>
          <w:sz w:val="20"/>
          <w:szCs w:val="22"/>
        </w:rPr>
        <w:tab/>
      </w:r>
      <w:r w:rsidR="004E1F21">
        <w:rPr>
          <w:sz w:val="20"/>
          <w:szCs w:val="22"/>
        </w:rPr>
        <w:t>1</w:t>
      </w:r>
      <w:r w:rsidR="00E86E9F">
        <w:rPr>
          <w:sz w:val="20"/>
          <w:szCs w:val="22"/>
        </w:rPr>
        <w:t>2</w:t>
      </w:r>
      <w:r w:rsidR="00152C09">
        <w:rPr>
          <w:sz w:val="20"/>
          <w:szCs w:val="22"/>
        </w:rPr>
        <w:t>6</w:t>
      </w:r>
    </w:p>
    <w:p w:rsidR="00421140" w:rsidRDefault="004E1F21" w:rsidP="00485FF4">
      <w:pPr>
        <w:tabs>
          <w:tab w:val="right" w:pos="8370"/>
          <w:tab w:val="right" w:pos="9000"/>
        </w:tabs>
        <w:spacing w:before="60"/>
        <w:ind w:firstLine="360"/>
        <w:rPr>
          <w:sz w:val="20"/>
          <w:szCs w:val="22"/>
        </w:rPr>
      </w:pPr>
      <w:r>
        <w:rPr>
          <w:sz w:val="20"/>
          <w:szCs w:val="22"/>
        </w:rPr>
        <w:t>Children</w:t>
      </w:r>
      <w:r w:rsidR="00421140">
        <w:rPr>
          <w:sz w:val="20"/>
          <w:szCs w:val="22"/>
        </w:rPr>
        <w:t xml:space="preserve"> in </w:t>
      </w:r>
      <w:r>
        <w:rPr>
          <w:sz w:val="20"/>
          <w:szCs w:val="22"/>
        </w:rPr>
        <w:t>‘</w:t>
      </w:r>
      <w:r w:rsidR="00421140">
        <w:rPr>
          <w:sz w:val="20"/>
          <w:szCs w:val="22"/>
        </w:rPr>
        <w:t>workless</w:t>
      </w:r>
      <w:r>
        <w:rPr>
          <w:sz w:val="20"/>
          <w:szCs w:val="22"/>
        </w:rPr>
        <w:t>’</w:t>
      </w:r>
      <w:r w:rsidR="00421140">
        <w:rPr>
          <w:sz w:val="20"/>
          <w:szCs w:val="22"/>
        </w:rPr>
        <w:t xml:space="preserve"> and ‘working’ households</w:t>
      </w:r>
      <w:r w:rsidR="00B8683B">
        <w:rPr>
          <w:sz w:val="20"/>
          <w:szCs w:val="22"/>
        </w:rPr>
        <w:tab/>
        <w:t>.</w:t>
      </w:r>
      <w:r w:rsidR="00421140">
        <w:rPr>
          <w:sz w:val="20"/>
          <w:szCs w:val="22"/>
        </w:rPr>
        <w:t>………………………………..</w:t>
      </w:r>
      <w:r w:rsidR="00421140">
        <w:rPr>
          <w:sz w:val="20"/>
          <w:szCs w:val="22"/>
        </w:rPr>
        <w:tab/>
      </w:r>
      <w:r w:rsidR="005A46F7">
        <w:rPr>
          <w:sz w:val="20"/>
          <w:szCs w:val="22"/>
        </w:rPr>
        <w:t>1</w:t>
      </w:r>
      <w:r w:rsidR="00E86E9F">
        <w:rPr>
          <w:sz w:val="20"/>
          <w:szCs w:val="22"/>
        </w:rPr>
        <w:t>2</w:t>
      </w:r>
      <w:r w:rsidR="00152C09">
        <w:rPr>
          <w:sz w:val="20"/>
          <w:szCs w:val="22"/>
        </w:rPr>
        <w:t>8</w:t>
      </w:r>
    </w:p>
    <w:p w:rsidR="00485FF4" w:rsidRDefault="00485FF4" w:rsidP="00485FF4">
      <w:pPr>
        <w:tabs>
          <w:tab w:val="left" w:pos="1260"/>
          <w:tab w:val="right" w:pos="9000"/>
        </w:tabs>
        <w:rPr>
          <w:sz w:val="20"/>
          <w:szCs w:val="22"/>
        </w:rPr>
      </w:pPr>
    </w:p>
    <w:p w:rsidR="00185B59" w:rsidRDefault="00185B59" w:rsidP="00485FF4">
      <w:pPr>
        <w:tabs>
          <w:tab w:val="left" w:pos="1440"/>
          <w:tab w:val="right" w:pos="9000"/>
        </w:tabs>
        <w:ind w:left="1440" w:hanging="1440"/>
        <w:rPr>
          <w:b/>
          <w:sz w:val="24"/>
          <w:szCs w:val="28"/>
        </w:rPr>
      </w:pPr>
    </w:p>
    <w:p w:rsidR="00485FF4" w:rsidRPr="00961F57"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I</w:t>
      </w:r>
      <w:r>
        <w:rPr>
          <w:b/>
          <w:sz w:val="24"/>
          <w:szCs w:val="28"/>
        </w:rPr>
        <w:t xml:space="preserve"> </w:t>
      </w:r>
      <w:r>
        <w:rPr>
          <w:b/>
          <w:sz w:val="24"/>
          <w:szCs w:val="28"/>
        </w:rPr>
        <w:tab/>
        <w:t>Income trends for older New Zealanders</w:t>
      </w:r>
    </w:p>
    <w:p w:rsidR="002F7E49" w:rsidRDefault="002F7E49" w:rsidP="00485FF4">
      <w:pPr>
        <w:tabs>
          <w:tab w:val="right" w:pos="8370"/>
          <w:tab w:val="right" w:pos="9000"/>
        </w:tabs>
        <w:spacing w:before="60"/>
        <w:ind w:firstLine="360"/>
        <w:rPr>
          <w:sz w:val="20"/>
          <w:szCs w:val="22"/>
        </w:rPr>
      </w:pPr>
      <w:r>
        <w:rPr>
          <w:sz w:val="20"/>
          <w:szCs w:val="22"/>
        </w:rPr>
        <w:t xml:space="preserve">The </w:t>
      </w:r>
      <w:smartTag w:uri="urn:schemas-microsoft-com:office:smarttags" w:element="stockticker">
        <w:r>
          <w:rPr>
            <w:sz w:val="20"/>
            <w:szCs w:val="22"/>
          </w:rPr>
          <w:t>BHC</w:t>
        </w:r>
      </w:smartTag>
      <w:r>
        <w:rPr>
          <w:sz w:val="20"/>
          <w:szCs w:val="22"/>
        </w:rPr>
        <w:t xml:space="preserve"> incomes of older New Zealanders</w:t>
      </w:r>
      <w:r>
        <w:rPr>
          <w:sz w:val="20"/>
          <w:szCs w:val="22"/>
        </w:rPr>
        <w:tab/>
        <w:t>………………………………………………….</w:t>
      </w:r>
      <w:r>
        <w:rPr>
          <w:sz w:val="20"/>
          <w:szCs w:val="22"/>
        </w:rPr>
        <w:tab/>
        <w:t>1</w:t>
      </w:r>
      <w:r w:rsidR="00152C09">
        <w:rPr>
          <w:sz w:val="20"/>
          <w:szCs w:val="22"/>
        </w:rPr>
        <w:t>33</w:t>
      </w:r>
    </w:p>
    <w:p w:rsidR="002F7E49" w:rsidRDefault="002F7E49" w:rsidP="00485FF4">
      <w:pPr>
        <w:tabs>
          <w:tab w:val="right" w:pos="8370"/>
          <w:tab w:val="right" w:pos="9000"/>
        </w:tabs>
        <w:spacing w:before="60"/>
        <w:ind w:firstLine="360"/>
        <w:rPr>
          <w:sz w:val="20"/>
          <w:szCs w:val="22"/>
        </w:rPr>
      </w:pPr>
      <w:r>
        <w:rPr>
          <w:sz w:val="20"/>
          <w:szCs w:val="22"/>
        </w:rPr>
        <w:t>The incomes of older New Zealanders relative to the whole population (OECD comparisons)</w:t>
      </w:r>
      <w:r>
        <w:rPr>
          <w:sz w:val="20"/>
          <w:szCs w:val="22"/>
        </w:rPr>
        <w:tab/>
        <w:t>1</w:t>
      </w:r>
      <w:r w:rsidR="00E86E9F">
        <w:rPr>
          <w:sz w:val="20"/>
          <w:szCs w:val="22"/>
        </w:rPr>
        <w:t>3</w:t>
      </w:r>
      <w:r w:rsidR="00152C09">
        <w:rPr>
          <w:sz w:val="20"/>
          <w:szCs w:val="22"/>
        </w:rPr>
        <w:t>4</w:t>
      </w:r>
    </w:p>
    <w:p w:rsidR="002F7E49" w:rsidRDefault="002F7E49" w:rsidP="002F7E49">
      <w:pPr>
        <w:tabs>
          <w:tab w:val="right" w:pos="8370"/>
          <w:tab w:val="right" w:pos="9000"/>
        </w:tabs>
        <w:spacing w:before="60"/>
        <w:ind w:firstLine="360"/>
        <w:rPr>
          <w:sz w:val="20"/>
          <w:szCs w:val="22"/>
        </w:rPr>
      </w:pPr>
      <w:r>
        <w:rPr>
          <w:sz w:val="20"/>
          <w:szCs w:val="22"/>
        </w:rPr>
        <w:t xml:space="preserve">NZS relative to average earnings and to median household income </w:t>
      </w:r>
      <w:r>
        <w:rPr>
          <w:sz w:val="20"/>
          <w:szCs w:val="22"/>
        </w:rPr>
        <w:tab/>
        <w:t>…………….…………..</w:t>
      </w:r>
      <w:r>
        <w:rPr>
          <w:sz w:val="20"/>
          <w:szCs w:val="22"/>
        </w:rPr>
        <w:tab/>
        <w:t>1</w:t>
      </w:r>
      <w:r w:rsidR="00E86E9F">
        <w:rPr>
          <w:sz w:val="20"/>
          <w:szCs w:val="22"/>
        </w:rPr>
        <w:t>3</w:t>
      </w:r>
      <w:r w:rsidR="00152C09">
        <w:rPr>
          <w:sz w:val="20"/>
          <w:szCs w:val="22"/>
        </w:rPr>
        <w:t>4</w:t>
      </w:r>
    </w:p>
    <w:p w:rsidR="00485FF4" w:rsidRDefault="00594BFF" w:rsidP="00485FF4">
      <w:pPr>
        <w:tabs>
          <w:tab w:val="right" w:pos="8370"/>
          <w:tab w:val="right" w:pos="9000"/>
        </w:tabs>
        <w:spacing w:before="60"/>
        <w:ind w:firstLine="360"/>
        <w:rPr>
          <w:sz w:val="20"/>
          <w:szCs w:val="22"/>
        </w:rPr>
      </w:pPr>
      <w:r>
        <w:rPr>
          <w:sz w:val="20"/>
          <w:szCs w:val="22"/>
        </w:rPr>
        <w:t xml:space="preserve">Sensitivity of </w:t>
      </w:r>
      <w:r w:rsidR="00BF6F14">
        <w:rPr>
          <w:sz w:val="20"/>
          <w:szCs w:val="22"/>
        </w:rPr>
        <w:t>reported</w:t>
      </w:r>
      <w:r>
        <w:rPr>
          <w:sz w:val="20"/>
          <w:szCs w:val="22"/>
        </w:rPr>
        <w:t xml:space="preserve"> poverty rates to the choice of poverty line</w:t>
      </w:r>
      <w:r>
        <w:rPr>
          <w:sz w:val="20"/>
          <w:szCs w:val="22"/>
        </w:rPr>
        <w:tab/>
        <w:t>….………….. …………..</w:t>
      </w:r>
      <w:r>
        <w:rPr>
          <w:sz w:val="20"/>
          <w:szCs w:val="22"/>
        </w:rPr>
        <w:tab/>
      </w:r>
      <w:r w:rsidR="005A46F7">
        <w:rPr>
          <w:sz w:val="20"/>
          <w:szCs w:val="22"/>
        </w:rPr>
        <w:t>1</w:t>
      </w:r>
      <w:r w:rsidR="00E86E9F">
        <w:rPr>
          <w:sz w:val="20"/>
          <w:szCs w:val="22"/>
        </w:rPr>
        <w:t>3</w:t>
      </w:r>
      <w:r w:rsidR="00152C09">
        <w:rPr>
          <w:sz w:val="20"/>
          <w:szCs w:val="22"/>
        </w:rPr>
        <w:t>6</w:t>
      </w:r>
    </w:p>
    <w:p w:rsidR="002F7E49" w:rsidRPr="002F7E49" w:rsidRDefault="002F7E49" w:rsidP="00485FF4">
      <w:pPr>
        <w:tabs>
          <w:tab w:val="right" w:pos="8370"/>
          <w:tab w:val="right" w:pos="9000"/>
        </w:tabs>
        <w:spacing w:before="60"/>
        <w:ind w:firstLine="360"/>
        <w:rPr>
          <w:sz w:val="20"/>
          <w:szCs w:val="22"/>
        </w:rPr>
      </w:pPr>
      <w:r w:rsidRPr="002F7E49">
        <w:rPr>
          <w:sz w:val="20"/>
        </w:rPr>
        <w:t>Using incomes after deducting housing costs (</w:t>
      </w:r>
      <w:smartTag w:uri="urn:schemas-microsoft-com:office:smarttags" w:element="stockticker">
        <w:r w:rsidRPr="002F7E49">
          <w:rPr>
            <w:sz w:val="20"/>
          </w:rPr>
          <w:t>AHC</w:t>
        </w:r>
      </w:smartTag>
      <w:r w:rsidRPr="002F7E49">
        <w:rPr>
          <w:sz w:val="20"/>
        </w:rPr>
        <w:t>) to give more stable and reliable results</w:t>
      </w:r>
      <w:r>
        <w:rPr>
          <w:sz w:val="20"/>
        </w:rPr>
        <w:tab/>
        <w:t>1</w:t>
      </w:r>
      <w:r w:rsidR="00E86E9F">
        <w:rPr>
          <w:sz w:val="20"/>
        </w:rPr>
        <w:t>3</w:t>
      </w:r>
      <w:r w:rsidR="00152C09">
        <w:rPr>
          <w:sz w:val="20"/>
        </w:rPr>
        <w:t>7</w:t>
      </w:r>
      <w:r w:rsidRPr="002F7E49">
        <w:rPr>
          <w:sz w:val="20"/>
          <w:szCs w:val="22"/>
        </w:rPr>
        <w:t xml:space="preserve"> </w:t>
      </w:r>
    </w:p>
    <w:p w:rsidR="00594BFF" w:rsidRDefault="00594BFF" w:rsidP="00594BFF">
      <w:pPr>
        <w:tabs>
          <w:tab w:val="right" w:pos="8370"/>
          <w:tab w:val="right" w:pos="9000"/>
        </w:tabs>
        <w:spacing w:before="60"/>
        <w:ind w:firstLine="360"/>
        <w:rPr>
          <w:sz w:val="20"/>
          <w:szCs w:val="22"/>
        </w:rPr>
      </w:pPr>
      <w:r>
        <w:rPr>
          <w:sz w:val="20"/>
          <w:szCs w:val="22"/>
        </w:rPr>
        <w:t xml:space="preserve">Sources of income </w:t>
      </w:r>
      <w:r w:rsidR="00BF6F14">
        <w:rPr>
          <w:sz w:val="20"/>
          <w:szCs w:val="22"/>
        </w:rPr>
        <w:t>for older New Zealanders</w:t>
      </w:r>
      <w:r>
        <w:rPr>
          <w:sz w:val="20"/>
          <w:szCs w:val="22"/>
        </w:rPr>
        <w:tab/>
      </w:r>
      <w:r w:rsidR="00BF6F14">
        <w:rPr>
          <w:sz w:val="20"/>
          <w:szCs w:val="22"/>
        </w:rPr>
        <w:t>……</w:t>
      </w:r>
      <w:r>
        <w:rPr>
          <w:sz w:val="20"/>
          <w:szCs w:val="22"/>
        </w:rPr>
        <w:t>………………….…………….…………..</w:t>
      </w:r>
      <w:r>
        <w:rPr>
          <w:sz w:val="20"/>
          <w:szCs w:val="22"/>
        </w:rPr>
        <w:tab/>
        <w:t>1</w:t>
      </w:r>
      <w:r w:rsidR="00E86E9F">
        <w:rPr>
          <w:sz w:val="20"/>
          <w:szCs w:val="22"/>
        </w:rPr>
        <w:t>3</w:t>
      </w:r>
      <w:r w:rsidR="00152C09">
        <w:rPr>
          <w:sz w:val="20"/>
          <w:szCs w:val="22"/>
        </w:rPr>
        <w:t>8</w:t>
      </w:r>
    </w:p>
    <w:p w:rsidR="00594BFF" w:rsidRDefault="00594BFF" w:rsidP="005B720B">
      <w:pPr>
        <w:tabs>
          <w:tab w:val="right" w:pos="8370"/>
          <w:tab w:val="right" w:pos="9000"/>
        </w:tabs>
        <w:spacing w:before="60"/>
        <w:ind w:firstLine="360"/>
        <w:rPr>
          <w:sz w:val="20"/>
          <w:szCs w:val="22"/>
        </w:rPr>
      </w:pPr>
    </w:p>
    <w:p w:rsidR="00485FF4" w:rsidRDefault="00485FF4" w:rsidP="00485FF4">
      <w:pPr>
        <w:tabs>
          <w:tab w:val="left" w:pos="1440"/>
          <w:tab w:val="right" w:pos="9000"/>
        </w:tabs>
        <w:rPr>
          <w:b/>
          <w:sz w:val="24"/>
          <w:szCs w:val="28"/>
        </w:rPr>
      </w:pPr>
    </w:p>
    <w:p w:rsidR="00485FF4" w:rsidRPr="00961F57"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J</w:t>
      </w:r>
      <w:r>
        <w:rPr>
          <w:b/>
          <w:sz w:val="24"/>
          <w:szCs w:val="28"/>
        </w:rPr>
        <w:t xml:space="preserve"> </w:t>
      </w:r>
      <w:r>
        <w:rPr>
          <w:b/>
          <w:sz w:val="24"/>
          <w:szCs w:val="28"/>
        </w:rPr>
        <w:tab/>
        <w:t>International comparisons</w:t>
      </w:r>
      <w:r w:rsidR="00587084">
        <w:rPr>
          <w:b/>
          <w:sz w:val="24"/>
          <w:szCs w:val="28"/>
        </w:rPr>
        <w:t xml:space="preserve"> for income poverty</w:t>
      </w:r>
      <w:r w:rsidR="004D652C">
        <w:rPr>
          <w:b/>
          <w:sz w:val="24"/>
          <w:szCs w:val="28"/>
        </w:rPr>
        <w:t>,</w:t>
      </w:r>
      <w:r w:rsidR="00975AA2">
        <w:rPr>
          <w:b/>
          <w:sz w:val="24"/>
          <w:szCs w:val="28"/>
        </w:rPr>
        <w:t xml:space="preserve"> inequality</w:t>
      </w:r>
      <w:r w:rsidR="004D652C">
        <w:rPr>
          <w:b/>
          <w:sz w:val="24"/>
          <w:szCs w:val="28"/>
        </w:rPr>
        <w:t xml:space="preserve"> and wealth</w:t>
      </w:r>
    </w:p>
    <w:p w:rsidR="00485FF4" w:rsidRPr="00AF3635" w:rsidRDefault="00F800C9" w:rsidP="00485FF4">
      <w:pPr>
        <w:tabs>
          <w:tab w:val="right" w:pos="8370"/>
          <w:tab w:val="right" w:pos="9000"/>
        </w:tabs>
        <w:spacing w:before="60"/>
        <w:ind w:firstLine="360"/>
        <w:rPr>
          <w:sz w:val="20"/>
        </w:rPr>
      </w:pPr>
      <w:r>
        <w:rPr>
          <w:sz w:val="20"/>
        </w:rPr>
        <w:t>International comparisons of income poverty</w:t>
      </w:r>
      <w:r w:rsidR="00485FF4" w:rsidRPr="00AF3635">
        <w:rPr>
          <w:sz w:val="20"/>
        </w:rPr>
        <w:t xml:space="preserve">  </w:t>
      </w:r>
      <w:r w:rsidR="00485FF4">
        <w:rPr>
          <w:sz w:val="20"/>
        </w:rPr>
        <w:tab/>
      </w:r>
      <w:r>
        <w:rPr>
          <w:sz w:val="20"/>
        </w:rPr>
        <w:t>………………………………………</w:t>
      </w:r>
      <w:r w:rsidR="00485FF4" w:rsidRPr="00AF3635">
        <w:rPr>
          <w:sz w:val="20"/>
        </w:rPr>
        <w:t>…………..</w:t>
      </w:r>
      <w:r w:rsidR="00485FF4">
        <w:rPr>
          <w:sz w:val="20"/>
        </w:rPr>
        <w:tab/>
      </w:r>
      <w:r w:rsidR="00975AA2">
        <w:rPr>
          <w:sz w:val="20"/>
        </w:rPr>
        <w:t>1</w:t>
      </w:r>
      <w:r w:rsidR="00152C09">
        <w:rPr>
          <w:sz w:val="20"/>
        </w:rPr>
        <w:t>43</w:t>
      </w:r>
    </w:p>
    <w:p w:rsidR="00F800C9" w:rsidRDefault="00F800C9" w:rsidP="00E86E9F">
      <w:pPr>
        <w:numPr>
          <w:ilvl w:val="1"/>
          <w:numId w:val="4"/>
        </w:numPr>
        <w:tabs>
          <w:tab w:val="clear" w:pos="1440"/>
          <w:tab w:val="num" w:pos="1134"/>
          <w:tab w:val="right" w:pos="9000"/>
        </w:tabs>
        <w:spacing w:before="40"/>
        <w:ind w:left="1134" w:hanging="283"/>
        <w:rPr>
          <w:sz w:val="18"/>
        </w:rPr>
      </w:pPr>
      <w:r>
        <w:rPr>
          <w:sz w:val="18"/>
        </w:rPr>
        <w:t>International comparisons using non-monetary indicators</w:t>
      </w:r>
    </w:p>
    <w:p w:rsidR="00975AA2" w:rsidRPr="004D652C" w:rsidRDefault="00F800C9" w:rsidP="00E86E9F">
      <w:pPr>
        <w:numPr>
          <w:ilvl w:val="1"/>
          <w:numId w:val="4"/>
        </w:numPr>
        <w:tabs>
          <w:tab w:val="clear" w:pos="1440"/>
          <w:tab w:val="num" w:pos="1134"/>
          <w:tab w:val="right" w:pos="9000"/>
        </w:tabs>
        <w:spacing w:before="40"/>
        <w:ind w:left="1134" w:hanging="283"/>
        <w:rPr>
          <w:sz w:val="18"/>
        </w:rPr>
      </w:pPr>
      <w:r>
        <w:rPr>
          <w:sz w:val="18"/>
          <w:szCs w:val="18"/>
        </w:rPr>
        <w:t>Cautions when making comparisons between poverty figures across countries</w:t>
      </w:r>
      <w:r w:rsidR="00975AA2">
        <w:rPr>
          <w:sz w:val="20"/>
        </w:rPr>
        <w:tab/>
      </w:r>
    </w:p>
    <w:p w:rsidR="00485FF4" w:rsidRDefault="00CD3B8B" w:rsidP="00485FF4">
      <w:pPr>
        <w:tabs>
          <w:tab w:val="right" w:pos="8370"/>
          <w:tab w:val="right" w:pos="9000"/>
        </w:tabs>
        <w:spacing w:before="60"/>
        <w:ind w:left="360"/>
        <w:rPr>
          <w:sz w:val="20"/>
          <w:szCs w:val="22"/>
        </w:rPr>
      </w:pPr>
      <w:r>
        <w:rPr>
          <w:sz w:val="20"/>
        </w:rPr>
        <w:t>Population</w:t>
      </w:r>
      <w:r w:rsidR="00485FF4" w:rsidRPr="00AF3635">
        <w:rPr>
          <w:sz w:val="20"/>
        </w:rPr>
        <w:t xml:space="preserve"> </w:t>
      </w:r>
      <w:r w:rsidR="00421140">
        <w:rPr>
          <w:sz w:val="20"/>
        </w:rPr>
        <w:t xml:space="preserve">poverty using a 50% </w:t>
      </w:r>
      <w:smartTag w:uri="urn:schemas-microsoft-com:office:smarttags" w:element="stockticker">
        <w:r w:rsidR="00421140">
          <w:rPr>
            <w:sz w:val="20"/>
          </w:rPr>
          <w:t>BHC</w:t>
        </w:r>
      </w:smartTag>
      <w:r w:rsidR="00421140">
        <w:rPr>
          <w:sz w:val="20"/>
        </w:rPr>
        <w:t xml:space="preserve"> threshold</w:t>
      </w:r>
      <w:r w:rsidR="00421140">
        <w:rPr>
          <w:sz w:val="20"/>
        </w:rPr>
        <w:tab/>
      </w:r>
      <w:r>
        <w:rPr>
          <w:sz w:val="20"/>
        </w:rPr>
        <w:t>……………………..</w:t>
      </w:r>
      <w:r w:rsidR="00421140">
        <w:rPr>
          <w:sz w:val="20"/>
        </w:rPr>
        <w:t>….</w:t>
      </w:r>
      <w:r w:rsidR="00485FF4">
        <w:rPr>
          <w:sz w:val="20"/>
          <w:szCs w:val="22"/>
        </w:rPr>
        <w:t>……………………</w:t>
      </w:r>
      <w:r w:rsidR="00485FF4">
        <w:rPr>
          <w:sz w:val="20"/>
          <w:szCs w:val="22"/>
        </w:rPr>
        <w:tab/>
      </w:r>
      <w:r w:rsidR="00E86E9F">
        <w:rPr>
          <w:sz w:val="20"/>
          <w:szCs w:val="22"/>
        </w:rPr>
        <w:t>14</w:t>
      </w:r>
      <w:r w:rsidR="00152C09">
        <w:rPr>
          <w:sz w:val="20"/>
          <w:szCs w:val="22"/>
        </w:rPr>
        <w:t>6</w:t>
      </w:r>
    </w:p>
    <w:p w:rsidR="00421140" w:rsidRPr="00AF3635" w:rsidRDefault="00CD3B8B" w:rsidP="00421140">
      <w:pPr>
        <w:tabs>
          <w:tab w:val="right" w:pos="8370"/>
          <w:tab w:val="right" w:pos="9000"/>
        </w:tabs>
        <w:spacing w:before="60"/>
        <w:ind w:left="360"/>
        <w:rPr>
          <w:sz w:val="20"/>
        </w:rPr>
      </w:pPr>
      <w:r>
        <w:rPr>
          <w:sz w:val="20"/>
        </w:rPr>
        <w:t xml:space="preserve">Population poverty </w:t>
      </w:r>
      <w:r w:rsidR="00421140">
        <w:rPr>
          <w:sz w:val="20"/>
        </w:rPr>
        <w:t xml:space="preserve">using a 60% </w:t>
      </w:r>
      <w:smartTag w:uri="urn:schemas-microsoft-com:office:smarttags" w:element="stockticker">
        <w:r w:rsidR="00421140">
          <w:rPr>
            <w:sz w:val="20"/>
          </w:rPr>
          <w:t>BHC</w:t>
        </w:r>
      </w:smartTag>
      <w:r w:rsidR="00421140">
        <w:rPr>
          <w:sz w:val="20"/>
        </w:rPr>
        <w:t xml:space="preserve"> threshold</w:t>
      </w:r>
      <w:r w:rsidR="00421140">
        <w:rPr>
          <w:sz w:val="20"/>
        </w:rPr>
        <w:tab/>
      </w:r>
      <w:r>
        <w:rPr>
          <w:sz w:val="20"/>
        </w:rPr>
        <w:t>……………………..</w:t>
      </w:r>
      <w:r w:rsidR="00421140">
        <w:rPr>
          <w:sz w:val="20"/>
        </w:rPr>
        <w:t>….</w:t>
      </w:r>
      <w:r w:rsidR="00421140">
        <w:rPr>
          <w:sz w:val="20"/>
          <w:szCs w:val="22"/>
        </w:rPr>
        <w:t>……………………</w:t>
      </w:r>
      <w:r w:rsidR="00421140">
        <w:rPr>
          <w:sz w:val="20"/>
          <w:szCs w:val="22"/>
        </w:rPr>
        <w:tab/>
      </w:r>
      <w:r w:rsidR="00F800C9">
        <w:rPr>
          <w:sz w:val="20"/>
          <w:szCs w:val="22"/>
        </w:rPr>
        <w:t>1</w:t>
      </w:r>
      <w:r w:rsidR="00E86E9F">
        <w:rPr>
          <w:sz w:val="20"/>
          <w:szCs w:val="22"/>
        </w:rPr>
        <w:t>4</w:t>
      </w:r>
      <w:r w:rsidR="00152C09">
        <w:rPr>
          <w:sz w:val="20"/>
          <w:szCs w:val="22"/>
        </w:rPr>
        <w:t>7</w:t>
      </w:r>
    </w:p>
    <w:p w:rsidR="00421140" w:rsidRPr="00AF3635" w:rsidRDefault="00421140" w:rsidP="00421140">
      <w:pPr>
        <w:tabs>
          <w:tab w:val="right" w:pos="8370"/>
          <w:tab w:val="right" w:pos="9000"/>
        </w:tabs>
        <w:spacing w:before="60"/>
        <w:ind w:left="360"/>
        <w:rPr>
          <w:sz w:val="20"/>
        </w:rPr>
      </w:pPr>
      <w:r>
        <w:rPr>
          <w:sz w:val="20"/>
        </w:rPr>
        <w:t>Child</w:t>
      </w:r>
      <w:r w:rsidRPr="00AF3635">
        <w:rPr>
          <w:sz w:val="20"/>
        </w:rPr>
        <w:t xml:space="preserve"> </w:t>
      </w:r>
      <w:r>
        <w:rPr>
          <w:sz w:val="20"/>
        </w:rPr>
        <w:t xml:space="preserve">poverty comparisons using a 50% </w:t>
      </w:r>
      <w:smartTag w:uri="urn:schemas-microsoft-com:office:smarttags" w:element="stockticker">
        <w:r>
          <w:rPr>
            <w:sz w:val="20"/>
          </w:rPr>
          <w:t>BHC</w:t>
        </w:r>
      </w:smartTag>
      <w:r>
        <w:rPr>
          <w:sz w:val="20"/>
        </w:rPr>
        <w:t xml:space="preserve"> threshold</w:t>
      </w:r>
      <w:r>
        <w:rPr>
          <w:sz w:val="20"/>
        </w:rPr>
        <w:tab/>
        <w:t>…………….….</w:t>
      </w:r>
      <w:r>
        <w:rPr>
          <w:sz w:val="20"/>
          <w:szCs w:val="22"/>
        </w:rPr>
        <w:t>……………………</w:t>
      </w:r>
      <w:r>
        <w:rPr>
          <w:sz w:val="20"/>
          <w:szCs w:val="22"/>
        </w:rPr>
        <w:tab/>
      </w:r>
      <w:r w:rsidR="00F800C9">
        <w:rPr>
          <w:sz w:val="20"/>
          <w:szCs w:val="22"/>
        </w:rPr>
        <w:t>1</w:t>
      </w:r>
      <w:r w:rsidR="00E86E9F">
        <w:rPr>
          <w:sz w:val="20"/>
          <w:szCs w:val="22"/>
        </w:rPr>
        <w:t>4</w:t>
      </w:r>
      <w:r w:rsidR="00152C09">
        <w:rPr>
          <w:sz w:val="20"/>
          <w:szCs w:val="22"/>
        </w:rPr>
        <w:t>8</w:t>
      </w:r>
    </w:p>
    <w:p w:rsidR="00421140" w:rsidRDefault="00421140" w:rsidP="00421140">
      <w:pPr>
        <w:tabs>
          <w:tab w:val="right" w:pos="8370"/>
          <w:tab w:val="right" w:pos="9000"/>
        </w:tabs>
        <w:spacing w:before="60"/>
        <w:ind w:left="360"/>
        <w:rPr>
          <w:sz w:val="20"/>
          <w:szCs w:val="22"/>
        </w:rPr>
      </w:pPr>
      <w:r>
        <w:rPr>
          <w:sz w:val="20"/>
        </w:rPr>
        <w:t>Child</w:t>
      </w:r>
      <w:r w:rsidRPr="00AF3635">
        <w:rPr>
          <w:sz w:val="20"/>
        </w:rPr>
        <w:t xml:space="preserve"> </w:t>
      </w:r>
      <w:r>
        <w:rPr>
          <w:sz w:val="20"/>
        </w:rPr>
        <w:t xml:space="preserve">poverty comparisons using a </w:t>
      </w:r>
      <w:r w:rsidR="00EB7FBD">
        <w:rPr>
          <w:sz w:val="20"/>
        </w:rPr>
        <w:t>6</w:t>
      </w:r>
      <w:r>
        <w:rPr>
          <w:sz w:val="20"/>
        </w:rPr>
        <w:t xml:space="preserve">0% </w:t>
      </w:r>
      <w:smartTag w:uri="urn:schemas-microsoft-com:office:smarttags" w:element="stockticker">
        <w:r>
          <w:rPr>
            <w:sz w:val="20"/>
          </w:rPr>
          <w:t>BHC</w:t>
        </w:r>
      </w:smartTag>
      <w:r>
        <w:rPr>
          <w:sz w:val="20"/>
        </w:rPr>
        <w:t xml:space="preserve"> threshold</w:t>
      </w:r>
      <w:r>
        <w:rPr>
          <w:sz w:val="20"/>
        </w:rPr>
        <w:tab/>
        <w:t>…………….….</w:t>
      </w:r>
      <w:r>
        <w:rPr>
          <w:sz w:val="20"/>
          <w:szCs w:val="22"/>
        </w:rPr>
        <w:t>……………………</w:t>
      </w:r>
      <w:r>
        <w:rPr>
          <w:sz w:val="20"/>
          <w:szCs w:val="22"/>
        </w:rPr>
        <w:tab/>
      </w:r>
      <w:r w:rsidR="00F800C9">
        <w:rPr>
          <w:sz w:val="20"/>
          <w:szCs w:val="22"/>
        </w:rPr>
        <w:t>1</w:t>
      </w:r>
      <w:r w:rsidR="00E86E9F">
        <w:rPr>
          <w:sz w:val="20"/>
          <w:szCs w:val="22"/>
        </w:rPr>
        <w:t>4</w:t>
      </w:r>
      <w:r w:rsidR="00152C09">
        <w:rPr>
          <w:sz w:val="20"/>
          <w:szCs w:val="22"/>
        </w:rPr>
        <w:t>9</w:t>
      </w:r>
    </w:p>
    <w:p w:rsidR="00DA63CC" w:rsidRDefault="00DA63CC" w:rsidP="00421140">
      <w:pPr>
        <w:tabs>
          <w:tab w:val="right" w:pos="8370"/>
          <w:tab w:val="right" w:pos="9000"/>
        </w:tabs>
        <w:spacing w:before="60"/>
        <w:ind w:left="360"/>
        <w:rPr>
          <w:sz w:val="20"/>
          <w:szCs w:val="22"/>
        </w:rPr>
      </w:pPr>
      <w:r>
        <w:rPr>
          <w:sz w:val="20"/>
          <w:szCs w:val="22"/>
        </w:rPr>
        <w:t>Children in workless households</w:t>
      </w:r>
      <w:r>
        <w:rPr>
          <w:sz w:val="20"/>
          <w:szCs w:val="22"/>
        </w:rPr>
        <w:tab/>
        <w:t>…………………………………………………………………..</w:t>
      </w:r>
      <w:r>
        <w:rPr>
          <w:sz w:val="20"/>
          <w:szCs w:val="22"/>
        </w:rPr>
        <w:tab/>
        <w:t>1</w:t>
      </w:r>
      <w:r w:rsidR="00152C09">
        <w:rPr>
          <w:sz w:val="20"/>
          <w:szCs w:val="22"/>
        </w:rPr>
        <w:t>50</w:t>
      </w:r>
    </w:p>
    <w:p w:rsidR="00421140" w:rsidRPr="00AF3635" w:rsidRDefault="00CD3B8B" w:rsidP="00421140">
      <w:pPr>
        <w:tabs>
          <w:tab w:val="right" w:pos="8370"/>
          <w:tab w:val="right" w:pos="9000"/>
        </w:tabs>
        <w:spacing w:before="60"/>
        <w:ind w:left="360"/>
        <w:rPr>
          <w:sz w:val="20"/>
        </w:rPr>
      </w:pPr>
      <w:r>
        <w:rPr>
          <w:sz w:val="20"/>
        </w:rPr>
        <w:t>Older New Zealanders</w:t>
      </w:r>
      <w:r w:rsidR="00421140">
        <w:rPr>
          <w:sz w:val="20"/>
        </w:rPr>
        <w:tab/>
      </w:r>
      <w:r>
        <w:rPr>
          <w:sz w:val="20"/>
        </w:rPr>
        <w:t>…………………………………………..</w:t>
      </w:r>
      <w:r w:rsidR="00421140">
        <w:rPr>
          <w:sz w:val="20"/>
        </w:rPr>
        <w:t>……….….</w:t>
      </w:r>
      <w:r w:rsidR="00421140">
        <w:rPr>
          <w:sz w:val="20"/>
          <w:szCs w:val="22"/>
        </w:rPr>
        <w:t>……………………</w:t>
      </w:r>
      <w:r w:rsidR="00421140">
        <w:rPr>
          <w:sz w:val="20"/>
          <w:szCs w:val="22"/>
        </w:rPr>
        <w:tab/>
      </w:r>
      <w:r w:rsidR="00975AA2">
        <w:rPr>
          <w:sz w:val="20"/>
          <w:szCs w:val="22"/>
        </w:rPr>
        <w:t>1</w:t>
      </w:r>
      <w:r w:rsidR="00152C09">
        <w:rPr>
          <w:sz w:val="20"/>
          <w:szCs w:val="22"/>
        </w:rPr>
        <w:t>51</w:t>
      </w:r>
    </w:p>
    <w:p w:rsidR="00CF044D" w:rsidRDefault="00975AA2" w:rsidP="00CF044D">
      <w:pPr>
        <w:tabs>
          <w:tab w:val="right" w:pos="8280"/>
          <w:tab w:val="right" w:pos="9000"/>
        </w:tabs>
        <w:spacing w:before="60"/>
        <w:ind w:left="360"/>
        <w:rPr>
          <w:sz w:val="20"/>
          <w:szCs w:val="22"/>
        </w:rPr>
      </w:pPr>
      <w:r>
        <w:rPr>
          <w:sz w:val="20"/>
        </w:rPr>
        <w:t>International c</w:t>
      </w:r>
      <w:r w:rsidR="00CF044D">
        <w:rPr>
          <w:sz w:val="20"/>
        </w:rPr>
        <w:t>omparisons of income inequality</w:t>
      </w:r>
      <w:r>
        <w:rPr>
          <w:sz w:val="20"/>
        </w:rPr>
        <w:tab/>
      </w:r>
      <w:r w:rsidR="00C74DEE">
        <w:rPr>
          <w:sz w:val="20"/>
        </w:rPr>
        <w:t>.</w:t>
      </w:r>
      <w:r w:rsidR="00CF044D">
        <w:rPr>
          <w:sz w:val="20"/>
          <w:szCs w:val="22"/>
        </w:rPr>
        <w:t>………………………………………………</w:t>
      </w:r>
      <w:r w:rsidR="00CF044D">
        <w:rPr>
          <w:sz w:val="20"/>
          <w:szCs w:val="22"/>
        </w:rPr>
        <w:tab/>
      </w:r>
      <w:r>
        <w:rPr>
          <w:sz w:val="20"/>
          <w:szCs w:val="22"/>
        </w:rPr>
        <w:t>1</w:t>
      </w:r>
      <w:r w:rsidR="00E86E9F">
        <w:rPr>
          <w:sz w:val="20"/>
          <w:szCs w:val="22"/>
        </w:rPr>
        <w:t>5</w:t>
      </w:r>
      <w:r w:rsidR="00152C09">
        <w:rPr>
          <w:sz w:val="20"/>
          <w:szCs w:val="22"/>
        </w:rPr>
        <w:t>4</w:t>
      </w:r>
    </w:p>
    <w:p w:rsidR="004D652C" w:rsidRPr="00961F57" w:rsidRDefault="004D652C" w:rsidP="004D652C">
      <w:pPr>
        <w:tabs>
          <w:tab w:val="right" w:pos="8280"/>
          <w:tab w:val="right" w:pos="9000"/>
        </w:tabs>
        <w:spacing w:before="60"/>
        <w:ind w:left="360"/>
        <w:rPr>
          <w:sz w:val="20"/>
          <w:szCs w:val="22"/>
        </w:rPr>
      </w:pPr>
      <w:r>
        <w:rPr>
          <w:sz w:val="20"/>
        </w:rPr>
        <w:t>International comparisons of wealth inequality</w:t>
      </w:r>
      <w:r>
        <w:rPr>
          <w:sz w:val="20"/>
        </w:rPr>
        <w:tab/>
        <w:t>.</w:t>
      </w:r>
      <w:r>
        <w:rPr>
          <w:sz w:val="20"/>
          <w:szCs w:val="22"/>
        </w:rPr>
        <w:t>………………………………………………</w:t>
      </w:r>
      <w:r>
        <w:rPr>
          <w:sz w:val="20"/>
          <w:szCs w:val="22"/>
        </w:rPr>
        <w:tab/>
        <w:t>1</w:t>
      </w:r>
      <w:r w:rsidR="00E86E9F">
        <w:rPr>
          <w:sz w:val="20"/>
          <w:szCs w:val="22"/>
        </w:rPr>
        <w:t>5</w:t>
      </w:r>
      <w:r w:rsidR="00152C09">
        <w:rPr>
          <w:sz w:val="20"/>
          <w:szCs w:val="22"/>
        </w:rPr>
        <w:t>8</w:t>
      </w:r>
    </w:p>
    <w:p w:rsidR="004D652C" w:rsidRPr="00961F57" w:rsidRDefault="004D652C" w:rsidP="00CF044D">
      <w:pPr>
        <w:tabs>
          <w:tab w:val="right" w:pos="8280"/>
          <w:tab w:val="right" w:pos="9000"/>
        </w:tabs>
        <w:spacing w:before="60"/>
        <w:ind w:left="360"/>
        <w:rPr>
          <w:sz w:val="20"/>
          <w:szCs w:val="22"/>
        </w:rPr>
      </w:pPr>
    </w:p>
    <w:p w:rsidR="00421140" w:rsidRDefault="00421140" w:rsidP="002F7E49">
      <w:pPr>
        <w:tabs>
          <w:tab w:val="right" w:pos="8370"/>
          <w:tab w:val="right" w:pos="9000"/>
        </w:tabs>
        <w:ind w:left="360"/>
        <w:rPr>
          <w:sz w:val="20"/>
        </w:rPr>
      </w:pPr>
    </w:p>
    <w:p w:rsidR="002F7E49" w:rsidRPr="00AF3635" w:rsidRDefault="002F7E49" w:rsidP="002F7E49">
      <w:pPr>
        <w:tabs>
          <w:tab w:val="right" w:pos="8370"/>
          <w:tab w:val="right" w:pos="9000"/>
        </w:tabs>
        <w:ind w:left="360"/>
        <w:rPr>
          <w:sz w:val="20"/>
        </w:rPr>
      </w:pPr>
    </w:p>
    <w:p w:rsidR="00485FF4" w:rsidRPr="00961F57" w:rsidRDefault="00485FF4" w:rsidP="00485FF4">
      <w:pPr>
        <w:tabs>
          <w:tab w:val="left" w:pos="1440"/>
          <w:tab w:val="right" w:pos="9000"/>
        </w:tabs>
        <w:ind w:left="1440" w:hanging="1440"/>
        <w:rPr>
          <w:b/>
          <w:sz w:val="24"/>
          <w:szCs w:val="28"/>
        </w:rPr>
      </w:pPr>
      <w:r>
        <w:rPr>
          <w:b/>
          <w:sz w:val="24"/>
          <w:szCs w:val="28"/>
        </w:rPr>
        <w:t xml:space="preserve">Section </w:t>
      </w:r>
      <w:r w:rsidR="00A470A1">
        <w:rPr>
          <w:b/>
          <w:sz w:val="24"/>
          <w:szCs w:val="28"/>
        </w:rPr>
        <w:t>K</w:t>
      </w:r>
      <w:r>
        <w:rPr>
          <w:b/>
          <w:sz w:val="24"/>
          <w:szCs w:val="28"/>
        </w:rPr>
        <w:t xml:space="preserve"> </w:t>
      </w:r>
      <w:r>
        <w:rPr>
          <w:b/>
          <w:sz w:val="24"/>
          <w:szCs w:val="28"/>
        </w:rPr>
        <w:tab/>
      </w:r>
      <w:r w:rsidR="00DD0BBE">
        <w:rPr>
          <w:b/>
          <w:sz w:val="24"/>
          <w:szCs w:val="28"/>
        </w:rPr>
        <w:t>Using non-monetary indicators to assess material hardship</w:t>
      </w:r>
    </w:p>
    <w:p w:rsidR="00485FF4" w:rsidRDefault="004F38F0" w:rsidP="0065698B">
      <w:pPr>
        <w:tabs>
          <w:tab w:val="right" w:pos="8370"/>
          <w:tab w:val="right" w:pos="9000"/>
        </w:tabs>
        <w:spacing w:before="60"/>
        <w:ind w:left="426"/>
        <w:rPr>
          <w:sz w:val="20"/>
          <w:szCs w:val="22"/>
        </w:rPr>
      </w:pPr>
      <w:r>
        <w:rPr>
          <w:sz w:val="20"/>
          <w:szCs w:val="22"/>
        </w:rPr>
        <w:t xml:space="preserve">Introduction </w:t>
      </w:r>
      <w:r>
        <w:rPr>
          <w:sz w:val="20"/>
          <w:szCs w:val="22"/>
        </w:rPr>
        <w:tab/>
        <w:t>………………</w:t>
      </w:r>
      <w:r w:rsidR="00485FF4">
        <w:rPr>
          <w:sz w:val="20"/>
          <w:szCs w:val="22"/>
        </w:rPr>
        <w:t>….……..…………………………………………………………..</w:t>
      </w:r>
      <w:r w:rsidR="00485FF4">
        <w:rPr>
          <w:sz w:val="20"/>
          <w:szCs w:val="22"/>
        </w:rPr>
        <w:tab/>
      </w:r>
      <w:r w:rsidR="00975AA2">
        <w:rPr>
          <w:sz w:val="20"/>
          <w:szCs w:val="22"/>
        </w:rPr>
        <w:t>1</w:t>
      </w:r>
      <w:r w:rsidR="00E86E9F">
        <w:rPr>
          <w:sz w:val="20"/>
          <w:szCs w:val="22"/>
        </w:rPr>
        <w:t>5</w:t>
      </w:r>
      <w:r w:rsidR="00152C09">
        <w:rPr>
          <w:sz w:val="20"/>
          <w:szCs w:val="22"/>
        </w:rPr>
        <w:t>9</w:t>
      </w:r>
    </w:p>
    <w:p w:rsidR="00BF6F14" w:rsidRDefault="0065698B" w:rsidP="0065698B">
      <w:pPr>
        <w:tabs>
          <w:tab w:val="left" w:pos="720"/>
          <w:tab w:val="right" w:pos="8370"/>
          <w:tab w:val="right" w:pos="9000"/>
        </w:tabs>
        <w:spacing w:before="60"/>
        <w:ind w:left="426"/>
        <w:rPr>
          <w:sz w:val="20"/>
          <w:szCs w:val="22"/>
        </w:rPr>
      </w:pPr>
      <w:r>
        <w:rPr>
          <w:sz w:val="20"/>
          <w:szCs w:val="22"/>
        </w:rPr>
        <w:t xml:space="preserve">Comparing the results for the two approaches </w:t>
      </w:r>
      <w:r>
        <w:rPr>
          <w:sz w:val="20"/>
          <w:szCs w:val="22"/>
        </w:rPr>
        <w:tab/>
      </w:r>
      <w:r w:rsidR="00BF6F14">
        <w:rPr>
          <w:sz w:val="20"/>
          <w:szCs w:val="22"/>
        </w:rPr>
        <w:t>………….……………………………………..</w:t>
      </w:r>
      <w:r w:rsidR="00BF6F14">
        <w:rPr>
          <w:sz w:val="20"/>
          <w:szCs w:val="22"/>
        </w:rPr>
        <w:tab/>
      </w:r>
      <w:r w:rsidR="008C09B1">
        <w:rPr>
          <w:sz w:val="20"/>
          <w:szCs w:val="22"/>
        </w:rPr>
        <w:t>1</w:t>
      </w:r>
      <w:r>
        <w:rPr>
          <w:sz w:val="20"/>
          <w:szCs w:val="22"/>
        </w:rPr>
        <w:t>6</w:t>
      </w:r>
      <w:r w:rsidR="008D0883">
        <w:rPr>
          <w:sz w:val="20"/>
          <w:szCs w:val="22"/>
        </w:rPr>
        <w:t>3</w:t>
      </w:r>
    </w:p>
    <w:p w:rsidR="0065698B" w:rsidRDefault="0065698B" w:rsidP="0065698B">
      <w:pPr>
        <w:tabs>
          <w:tab w:val="left" w:pos="720"/>
          <w:tab w:val="right" w:pos="8370"/>
          <w:tab w:val="right" w:pos="9000"/>
        </w:tabs>
        <w:spacing w:before="60"/>
        <w:ind w:left="426"/>
        <w:rPr>
          <w:sz w:val="20"/>
          <w:szCs w:val="22"/>
        </w:rPr>
      </w:pPr>
      <w:r>
        <w:rPr>
          <w:sz w:val="20"/>
          <w:szCs w:val="22"/>
        </w:rPr>
        <w:t xml:space="preserve">Using NMIs to illustrate the sorts of restrictions on living standards experienced </w:t>
      </w:r>
    </w:p>
    <w:p w:rsidR="0065698B" w:rsidRDefault="0065698B" w:rsidP="0065698B">
      <w:pPr>
        <w:tabs>
          <w:tab w:val="left" w:pos="720"/>
          <w:tab w:val="right" w:pos="8370"/>
          <w:tab w:val="right" w:pos="9000"/>
        </w:tabs>
        <w:ind w:left="425"/>
        <w:rPr>
          <w:sz w:val="20"/>
          <w:szCs w:val="22"/>
        </w:rPr>
      </w:pPr>
      <w:r>
        <w:rPr>
          <w:sz w:val="20"/>
          <w:szCs w:val="22"/>
        </w:rPr>
        <w:t>by low-income households</w:t>
      </w:r>
      <w:r>
        <w:rPr>
          <w:sz w:val="20"/>
          <w:szCs w:val="22"/>
        </w:rPr>
        <w:tab/>
        <w:t>……………………………………………………………………..</w:t>
      </w:r>
      <w:r>
        <w:rPr>
          <w:sz w:val="20"/>
          <w:szCs w:val="22"/>
        </w:rPr>
        <w:tab/>
        <w:t>16</w:t>
      </w:r>
      <w:r w:rsidR="008D0883">
        <w:rPr>
          <w:sz w:val="20"/>
          <w:szCs w:val="22"/>
        </w:rPr>
        <w:t>4</w:t>
      </w:r>
    </w:p>
    <w:p w:rsidR="0065698B" w:rsidRDefault="0065698B" w:rsidP="0065698B">
      <w:pPr>
        <w:tabs>
          <w:tab w:val="left" w:pos="720"/>
          <w:tab w:val="right" w:pos="8370"/>
          <w:tab w:val="right" w:pos="9000"/>
        </w:tabs>
        <w:spacing w:before="60"/>
        <w:ind w:left="426"/>
        <w:rPr>
          <w:sz w:val="20"/>
          <w:szCs w:val="22"/>
        </w:rPr>
      </w:pPr>
      <w:r>
        <w:rPr>
          <w:sz w:val="20"/>
          <w:szCs w:val="22"/>
        </w:rPr>
        <w:t>Using NMIs to help assess the credibility of a given income poverty threshold</w:t>
      </w:r>
      <w:r>
        <w:rPr>
          <w:sz w:val="20"/>
          <w:szCs w:val="22"/>
        </w:rPr>
        <w:tab/>
        <w:t>……………</w:t>
      </w:r>
      <w:r>
        <w:rPr>
          <w:sz w:val="20"/>
          <w:szCs w:val="22"/>
        </w:rPr>
        <w:tab/>
        <w:t>16</w:t>
      </w:r>
      <w:r w:rsidR="008D0883">
        <w:rPr>
          <w:sz w:val="20"/>
          <w:szCs w:val="22"/>
        </w:rPr>
        <w:t>5</w:t>
      </w:r>
    </w:p>
    <w:p w:rsidR="0065698B" w:rsidRDefault="0065698B" w:rsidP="0065698B">
      <w:pPr>
        <w:tabs>
          <w:tab w:val="left" w:pos="720"/>
          <w:tab w:val="right" w:pos="8370"/>
          <w:tab w:val="right" w:pos="9000"/>
        </w:tabs>
        <w:spacing w:before="60"/>
        <w:ind w:left="426"/>
        <w:rPr>
          <w:sz w:val="20"/>
          <w:szCs w:val="22"/>
        </w:rPr>
      </w:pPr>
      <w:r>
        <w:rPr>
          <w:sz w:val="20"/>
          <w:szCs w:val="22"/>
        </w:rPr>
        <w:t>Tracking hardship from the 2006-07 HES to the 2010-11 HES</w:t>
      </w:r>
      <w:r>
        <w:rPr>
          <w:sz w:val="20"/>
          <w:szCs w:val="22"/>
        </w:rPr>
        <w:tab/>
        <w:t>…………………………….</w:t>
      </w:r>
      <w:r>
        <w:rPr>
          <w:sz w:val="20"/>
          <w:szCs w:val="22"/>
        </w:rPr>
        <w:tab/>
        <w:t>16</w:t>
      </w:r>
      <w:r w:rsidR="008D0883">
        <w:rPr>
          <w:sz w:val="20"/>
          <w:szCs w:val="22"/>
        </w:rPr>
        <w:t>6</w:t>
      </w:r>
    </w:p>
    <w:p w:rsidR="0065698B" w:rsidRDefault="0065698B" w:rsidP="0065698B">
      <w:pPr>
        <w:tabs>
          <w:tab w:val="left" w:pos="720"/>
          <w:tab w:val="right" w:pos="8370"/>
          <w:tab w:val="right" w:pos="9000"/>
        </w:tabs>
        <w:spacing w:before="60"/>
        <w:ind w:left="426"/>
        <w:rPr>
          <w:sz w:val="20"/>
          <w:szCs w:val="22"/>
        </w:rPr>
      </w:pPr>
      <w:r>
        <w:rPr>
          <w:sz w:val="20"/>
          <w:szCs w:val="22"/>
        </w:rPr>
        <w:t>Using NMIs and income together</w:t>
      </w:r>
      <w:r>
        <w:rPr>
          <w:sz w:val="20"/>
          <w:szCs w:val="22"/>
        </w:rPr>
        <w:tab/>
        <w:t>……………………………………………………………….</w:t>
      </w:r>
      <w:r>
        <w:rPr>
          <w:sz w:val="20"/>
          <w:szCs w:val="22"/>
        </w:rPr>
        <w:tab/>
        <w:t>16</w:t>
      </w:r>
      <w:r w:rsidR="008D0883">
        <w:rPr>
          <w:sz w:val="20"/>
          <w:szCs w:val="22"/>
        </w:rPr>
        <w:t>7</w:t>
      </w:r>
    </w:p>
    <w:p w:rsidR="0065698B" w:rsidRDefault="0065698B" w:rsidP="0065698B">
      <w:pPr>
        <w:tabs>
          <w:tab w:val="left" w:pos="720"/>
          <w:tab w:val="right" w:pos="8370"/>
          <w:tab w:val="right" w:pos="9000"/>
        </w:tabs>
        <w:spacing w:before="60"/>
        <w:ind w:left="426"/>
        <w:rPr>
          <w:sz w:val="20"/>
          <w:szCs w:val="22"/>
        </w:rPr>
      </w:pPr>
    </w:p>
    <w:p w:rsidR="00A07712" w:rsidRPr="00961F57" w:rsidRDefault="00A07712" w:rsidP="00A07712">
      <w:pPr>
        <w:tabs>
          <w:tab w:val="left" w:pos="1440"/>
          <w:tab w:val="right" w:pos="9000"/>
        </w:tabs>
        <w:ind w:left="1440" w:hanging="1440"/>
        <w:rPr>
          <w:b/>
          <w:sz w:val="24"/>
          <w:szCs w:val="28"/>
        </w:rPr>
      </w:pPr>
      <w:r>
        <w:rPr>
          <w:b/>
          <w:sz w:val="24"/>
          <w:szCs w:val="28"/>
        </w:rPr>
        <w:t>Section L</w:t>
      </w:r>
      <w:r>
        <w:rPr>
          <w:b/>
          <w:sz w:val="24"/>
          <w:szCs w:val="28"/>
        </w:rPr>
        <w:tab/>
      </w:r>
      <w:r w:rsidR="0065698B">
        <w:rPr>
          <w:b/>
          <w:sz w:val="24"/>
          <w:szCs w:val="28"/>
        </w:rPr>
        <w:t>Income mobility and povert</w:t>
      </w:r>
      <w:r w:rsidR="00101B14">
        <w:rPr>
          <w:b/>
          <w:sz w:val="24"/>
          <w:szCs w:val="28"/>
        </w:rPr>
        <w:t>y persist</w:t>
      </w:r>
      <w:r w:rsidR="0065698B">
        <w:rPr>
          <w:b/>
          <w:sz w:val="24"/>
          <w:szCs w:val="28"/>
        </w:rPr>
        <w:t>ence</w:t>
      </w:r>
    </w:p>
    <w:p w:rsidR="00A07712" w:rsidRDefault="00A07712" w:rsidP="00A07712">
      <w:pPr>
        <w:tabs>
          <w:tab w:val="right" w:pos="8370"/>
          <w:tab w:val="right" w:pos="9000"/>
        </w:tabs>
        <w:spacing w:before="60"/>
        <w:ind w:firstLine="360"/>
        <w:rPr>
          <w:sz w:val="20"/>
          <w:szCs w:val="22"/>
        </w:rPr>
      </w:pPr>
      <w:r>
        <w:rPr>
          <w:sz w:val="20"/>
          <w:szCs w:val="22"/>
        </w:rPr>
        <w:t xml:space="preserve">Introduction </w:t>
      </w:r>
      <w:r>
        <w:rPr>
          <w:sz w:val="20"/>
          <w:szCs w:val="22"/>
        </w:rPr>
        <w:tab/>
        <w:t>………………….……..…………………………………………………………..</w:t>
      </w:r>
      <w:r>
        <w:rPr>
          <w:sz w:val="20"/>
          <w:szCs w:val="22"/>
        </w:rPr>
        <w:tab/>
        <w:t>1</w:t>
      </w:r>
      <w:r w:rsidR="003E780E">
        <w:rPr>
          <w:sz w:val="20"/>
          <w:szCs w:val="22"/>
        </w:rPr>
        <w:t>6</w:t>
      </w:r>
      <w:r w:rsidR="00152C09">
        <w:rPr>
          <w:sz w:val="20"/>
          <w:szCs w:val="22"/>
        </w:rPr>
        <w:t>9</w:t>
      </w:r>
    </w:p>
    <w:p w:rsidR="00A07712" w:rsidRDefault="003E780E" w:rsidP="003E780E">
      <w:pPr>
        <w:tabs>
          <w:tab w:val="right" w:pos="8370"/>
          <w:tab w:val="right" w:pos="9000"/>
        </w:tabs>
        <w:spacing w:before="60"/>
        <w:ind w:firstLine="357"/>
        <w:rPr>
          <w:sz w:val="20"/>
          <w:szCs w:val="22"/>
        </w:rPr>
      </w:pPr>
      <w:r>
        <w:rPr>
          <w:sz w:val="20"/>
        </w:rPr>
        <w:t>The SoFIE data</w:t>
      </w:r>
      <w:r w:rsidR="00A07712">
        <w:rPr>
          <w:sz w:val="20"/>
        </w:rPr>
        <w:tab/>
      </w:r>
      <w:r>
        <w:rPr>
          <w:sz w:val="20"/>
        </w:rPr>
        <w:t>……………………………….</w:t>
      </w:r>
      <w:r w:rsidR="00A07712">
        <w:rPr>
          <w:sz w:val="20"/>
          <w:szCs w:val="22"/>
        </w:rPr>
        <w:t>…………………………………………………..</w:t>
      </w:r>
      <w:r w:rsidR="00A07712">
        <w:rPr>
          <w:sz w:val="20"/>
          <w:szCs w:val="22"/>
        </w:rPr>
        <w:tab/>
      </w:r>
      <w:r>
        <w:rPr>
          <w:sz w:val="20"/>
          <w:szCs w:val="22"/>
        </w:rPr>
        <w:t>1</w:t>
      </w:r>
      <w:r w:rsidR="00152C09">
        <w:rPr>
          <w:sz w:val="20"/>
          <w:szCs w:val="22"/>
        </w:rPr>
        <w:t>70</w:t>
      </w:r>
    </w:p>
    <w:p w:rsidR="00A07712" w:rsidRDefault="003E780E" w:rsidP="003E780E">
      <w:pPr>
        <w:tabs>
          <w:tab w:val="left" w:pos="720"/>
          <w:tab w:val="right" w:pos="8370"/>
          <w:tab w:val="right" w:pos="9000"/>
        </w:tabs>
        <w:spacing w:before="60"/>
        <w:ind w:firstLine="357"/>
        <w:rPr>
          <w:sz w:val="20"/>
          <w:szCs w:val="22"/>
        </w:rPr>
      </w:pPr>
      <w:r>
        <w:rPr>
          <w:sz w:val="20"/>
          <w:szCs w:val="22"/>
        </w:rPr>
        <w:t>What is meant by income mobility and how is it measured?</w:t>
      </w:r>
      <w:r w:rsidR="00A07712">
        <w:rPr>
          <w:sz w:val="20"/>
          <w:szCs w:val="22"/>
        </w:rPr>
        <w:tab/>
      </w:r>
      <w:r>
        <w:rPr>
          <w:sz w:val="20"/>
          <w:szCs w:val="22"/>
        </w:rPr>
        <w:t>………………………………..</w:t>
      </w:r>
      <w:r>
        <w:rPr>
          <w:sz w:val="20"/>
          <w:szCs w:val="22"/>
        </w:rPr>
        <w:tab/>
        <w:t>1</w:t>
      </w:r>
      <w:r w:rsidR="00152C09">
        <w:rPr>
          <w:sz w:val="20"/>
          <w:szCs w:val="22"/>
        </w:rPr>
        <w:t>71</w:t>
      </w:r>
    </w:p>
    <w:p w:rsidR="008055B1" w:rsidRDefault="008055B1" w:rsidP="003E780E">
      <w:pPr>
        <w:tabs>
          <w:tab w:val="left" w:pos="720"/>
          <w:tab w:val="right" w:pos="8370"/>
          <w:tab w:val="right" w:pos="9000"/>
        </w:tabs>
        <w:spacing w:before="60"/>
        <w:ind w:firstLine="357"/>
        <w:rPr>
          <w:sz w:val="20"/>
          <w:szCs w:val="22"/>
        </w:rPr>
      </w:pPr>
      <w:r>
        <w:rPr>
          <w:sz w:val="20"/>
          <w:szCs w:val="22"/>
        </w:rPr>
        <w:t>Selected findings on income mobility</w:t>
      </w:r>
      <w:r>
        <w:rPr>
          <w:sz w:val="20"/>
          <w:szCs w:val="22"/>
        </w:rPr>
        <w:tab/>
        <w:t>……………………………………………………………</w:t>
      </w:r>
      <w:r>
        <w:rPr>
          <w:sz w:val="20"/>
          <w:szCs w:val="22"/>
        </w:rPr>
        <w:tab/>
        <w:t>1</w:t>
      </w:r>
      <w:r w:rsidR="00152C09">
        <w:rPr>
          <w:sz w:val="20"/>
          <w:szCs w:val="22"/>
        </w:rPr>
        <w:t>73</w:t>
      </w:r>
    </w:p>
    <w:p w:rsidR="008055B1" w:rsidRDefault="008055B1" w:rsidP="003E780E">
      <w:pPr>
        <w:tabs>
          <w:tab w:val="left" w:pos="720"/>
          <w:tab w:val="right" w:pos="8370"/>
          <w:tab w:val="right" w:pos="9000"/>
        </w:tabs>
        <w:spacing w:before="60"/>
        <w:ind w:firstLine="357"/>
        <w:rPr>
          <w:sz w:val="20"/>
          <w:szCs w:val="22"/>
        </w:rPr>
      </w:pPr>
      <w:r>
        <w:rPr>
          <w:sz w:val="20"/>
          <w:szCs w:val="22"/>
        </w:rPr>
        <w:t>What is meant by low-income persistence and how is it measured?</w:t>
      </w:r>
      <w:r>
        <w:rPr>
          <w:sz w:val="20"/>
          <w:szCs w:val="22"/>
        </w:rPr>
        <w:tab/>
        <w:t>………………………..</w:t>
      </w:r>
      <w:r>
        <w:rPr>
          <w:sz w:val="20"/>
          <w:szCs w:val="22"/>
        </w:rPr>
        <w:tab/>
        <w:t>17</w:t>
      </w:r>
      <w:r w:rsidR="00152C09">
        <w:rPr>
          <w:sz w:val="20"/>
          <w:szCs w:val="22"/>
        </w:rPr>
        <w:t>8</w:t>
      </w:r>
    </w:p>
    <w:p w:rsidR="008055B1" w:rsidRDefault="008055B1" w:rsidP="003E780E">
      <w:pPr>
        <w:tabs>
          <w:tab w:val="left" w:pos="720"/>
          <w:tab w:val="right" w:pos="8370"/>
          <w:tab w:val="right" w:pos="9000"/>
        </w:tabs>
        <w:spacing w:before="60"/>
        <w:ind w:firstLine="357"/>
        <w:rPr>
          <w:sz w:val="20"/>
          <w:szCs w:val="22"/>
        </w:rPr>
      </w:pPr>
      <w:r>
        <w:rPr>
          <w:sz w:val="20"/>
          <w:szCs w:val="22"/>
        </w:rPr>
        <w:t>Selected findings on low-income persistence</w:t>
      </w:r>
      <w:r>
        <w:rPr>
          <w:sz w:val="20"/>
          <w:szCs w:val="22"/>
        </w:rPr>
        <w:tab/>
        <w:t>…………………………………………………</w:t>
      </w:r>
      <w:r>
        <w:rPr>
          <w:sz w:val="20"/>
          <w:szCs w:val="22"/>
        </w:rPr>
        <w:tab/>
        <w:t>17</w:t>
      </w:r>
      <w:r w:rsidR="00152C09">
        <w:rPr>
          <w:sz w:val="20"/>
          <w:szCs w:val="22"/>
        </w:rPr>
        <w:t>9</w:t>
      </w:r>
    </w:p>
    <w:p w:rsidR="003E780E" w:rsidRDefault="003E780E" w:rsidP="003E780E">
      <w:pPr>
        <w:tabs>
          <w:tab w:val="left" w:pos="720"/>
          <w:tab w:val="right" w:pos="8370"/>
          <w:tab w:val="right" w:pos="9000"/>
        </w:tabs>
        <w:spacing w:before="60"/>
        <w:ind w:firstLine="357"/>
        <w:rPr>
          <w:sz w:val="20"/>
          <w:szCs w:val="22"/>
        </w:rPr>
      </w:pPr>
    </w:p>
    <w:p w:rsidR="00485FF4" w:rsidRDefault="00485FF4" w:rsidP="00485FF4">
      <w:pPr>
        <w:rPr>
          <w:b/>
          <w:sz w:val="24"/>
          <w:szCs w:val="28"/>
        </w:rPr>
      </w:pPr>
    </w:p>
    <w:p w:rsidR="00304A48" w:rsidRDefault="00304A48" w:rsidP="00485FF4">
      <w:pPr>
        <w:rPr>
          <w:b/>
          <w:sz w:val="24"/>
          <w:szCs w:val="24"/>
        </w:rPr>
      </w:pPr>
    </w:p>
    <w:p w:rsidR="00A07712" w:rsidRDefault="00A07712" w:rsidP="006831A9">
      <w:pPr>
        <w:tabs>
          <w:tab w:val="right" w:pos="8370"/>
          <w:tab w:val="right" w:pos="9000"/>
        </w:tabs>
        <w:rPr>
          <w:b/>
          <w:sz w:val="24"/>
          <w:szCs w:val="24"/>
        </w:rPr>
      </w:pPr>
    </w:p>
    <w:p w:rsidR="00304A48" w:rsidRPr="006831A9" w:rsidRDefault="00304A48" w:rsidP="006831A9">
      <w:pPr>
        <w:tabs>
          <w:tab w:val="right" w:pos="8370"/>
          <w:tab w:val="right" w:pos="9000"/>
        </w:tabs>
        <w:rPr>
          <w:b/>
          <w:sz w:val="20"/>
        </w:rPr>
      </w:pPr>
      <w:r w:rsidRPr="00C372DD">
        <w:rPr>
          <w:b/>
          <w:sz w:val="24"/>
          <w:szCs w:val="24"/>
        </w:rPr>
        <w:t>References</w:t>
      </w:r>
      <w:r w:rsidR="006831A9">
        <w:rPr>
          <w:b/>
          <w:sz w:val="24"/>
          <w:szCs w:val="24"/>
        </w:rPr>
        <w:tab/>
      </w:r>
      <w:r w:rsidR="006831A9" w:rsidRPr="006831A9">
        <w:rPr>
          <w:sz w:val="20"/>
        </w:rPr>
        <w:tab/>
      </w:r>
      <w:r w:rsidR="00975AA2">
        <w:rPr>
          <w:sz w:val="20"/>
        </w:rPr>
        <w:t>1</w:t>
      </w:r>
      <w:r w:rsidR="00152C09">
        <w:rPr>
          <w:sz w:val="20"/>
        </w:rPr>
        <w:t>83</w:t>
      </w:r>
    </w:p>
    <w:p w:rsidR="00304A48" w:rsidRDefault="00304A48" w:rsidP="00485FF4">
      <w:pPr>
        <w:rPr>
          <w:b/>
          <w:sz w:val="24"/>
          <w:szCs w:val="24"/>
        </w:rPr>
      </w:pPr>
    </w:p>
    <w:p w:rsidR="00304A48" w:rsidRDefault="00304A48" w:rsidP="00485FF4">
      <w:pPr>
        <w:rPr>
          <w:b/>
          <w:sz w:val="24"/>
          <w:szCs w:val="28"/>
        </w:rPr>
      </w:pPr>
    </w:p>
    <w:p w:rsidR="00485FF4" w:rsidRPr="006831A9" w:rsidRDefault="00485FF4" w:rsidP="006831A9">
      <w:pPr>
        <w:tabs>
          <w:tab w:val="right" w:pos="8370"/>
          <w:tab w:val="right" w:pos="9000"/>
        </w:tabs>
        <w:rPr>
          <w:sz w:val="20"/>
        </w:rPr>
      </w:pPr>
      <w:r w:rsidRPr="00961F57">
        <w:rPr>
          <w:b/>
          <w:sz w:val="24"/>
          <w:szCs w:val="28"/>
        </w:rPr>
        <w:t>Appendices</w:t>
      </w:r>
      <w:r w:rsidR="006831A9">
        <w:rPr>
          <w:b/>
          <w:sz w:val="24"/>
          <w:szCs w:val="28"/>
        </w:rPr>
        <w:tab/>
      </w:r>
      <w:r w:rsidR="006831A9">
        <w:rPr>
          <w:sz w:val="20"/>
        </w:rPr>
        <w:tab/>
      </w:r>
      <w:r w:rsidR="001C3F56">
        <w:rPr>
          <w:sz w:val="20"/>
        </w:rPr>
        <w:t>1</w:t>
      </w:r>
      <w:r w:rsidR="003E780E">
        <w:rPr>
          <w:sz w:val="20"/>
        </w:rPr>
        <w:t>8</w:t>
      </w:r>
      <w:r w:rsidR="00152C09">
        <w:rPr>
          <w:sz w:val="20"/>
        </w:rPr>
        <w:t>7</w:t>
      </w:r>
    </w:p>
    <w:p w:rsidR="00485FF4" w:rsidRPr="00961F57" w:rsidRDefault="00485FF4" w:rsidP="00485FF4">
      <w:pPr>
        <w:rPr>
          <w:b/>
          <w:sz w:val="24"/>
          <w:szCs w:val="28"/>
        </w:rPr>
      </w:pPr>
    </w:p>
    <w:p w:rsidR="008B3C5A" w:rsidRDefault="008B3C5A" w:rsidP="006831A9">
      <w:pPr>
        <w:tabs>
          <w:tab w:val="left" w:pos="1800"/>
          <w:tab w:val="right" w:pos="8370"/>
          <w:tab w:val="right" w:pos="9000"/>
        </w:tabs>
        <w:ind w:left="360"/>
        <w:rPr>
          <w:sz w:val="20"/>
          <w:szCs w:val="22"/>
        </w:rPr>
      </w:pPr>
      <w:r>
        <w:rPr>
          <w:sz w:val="20"/>
          <w:szCs w:val="22"/>
        </w:rPr>
        <w:t xml:space="preserve">Appendix </w:t>
      </w:r>
      <w:r w:rsidR="007A5EA1">
        <w:rPr>
          <w:sz w:val="20"/>
          <w:szCs w:val="22"/>
        </w:rPr>
        <w:t>1</w:t>
      </w:r>
      <w:r>
        <w:rPr>
          <w:sz w:val="20"/>
          <w:szCs w:val="22"/>
        </w:rPr>
        <w:tab/>
        <w:t>Key specifications for the incomes analysis in this report</w:t>
      </w:r>
    </w:p>
    <w:p w:rsidR="00485FF4" w:rsidRDefault="00485FF4" w:rsidP="006831A9">
      <w:pPr>
        <w:tabs>
          <w:tab w:val="left" w:pos="1800"/>
          <w:tab w:val="right" w:pos="8370"/>
          <w:tab w:val="right" w:pos="9000"/>
        </w:tabs>
        <w:ind w:left="360"/>
        <w:rPr>
          <w:sz w:val="20"/>
          <w:szCs w:val="22"/>
        </w:rPr>
      </w:pPr>
    </w:p>
    <w:p w:rsidR="00485FF4" w:rsidRDefault="00485FF4" w:rsidP="006831A9">
      <w:pPr>
        <w:tabs>
          <w:tab w:val="left" w:pos="1800"/>
          <w:tab w:val="right" w:pos="8370"/>
          <w:tab w:val="right" w:pos="9000"/>
        </w:tabs>
        <w:ind w:left="360"/>
        <w:rPr>
          <w:sz w:val="20"/>
          <w:szCs w:val="22"/>
        </w:rPr>
      </w:pPr>
      <w:r w:rsidRPr="00961F57">
        <w:rPr>
          <w:sz w:val="20"/>
          <w:szCs w:val="22"/>
        </w:rPr>
        <w:t xml:space="preserve">Appendix </w:t>
      </w:r>
      <w:r w:rsidR="007A5EA1">
        <w:rPr>
          <w:sz w:val="20"/>
          <w:szCs w:val="22"/>
        </w:rPr>
        <w:t>2</w:t>
      </w:r>
      <w:r w:rsidRPr="00961F57">
        <w:rPr>
          <w:sz w:val="20"/>
          <w:szCs w:val="22"/>
        </w:rPr>
        <w:tab/>
        <w:t xml:space="preserve">Choice of </w:t>
      </w:r>
      <w:r>
        <w:rPr>
          <w:sz w:val="20"/>
          <w:szCs w:val="22"/>
        </w:rPr>
        <w:t>income sharing unit (ISU)</w:t>
      </w:r>
      <w:r w:rsidR="001A59AB">
        <w:rPr>
          <w:sz w:val="20"/>
          <w:szCs w:val="22"/>
        </w:rPr>
        <w:t xml:space="preserve"> </w:t>
      </w:r>
      <w:r w:rsidR="006831A9">
        <w:rPr>
          <w:sz w:val="20"/>
          <w:szCs w:val="22"/>
        </w:rPr>
        <w:tab/>
      </w:r>
      <w:r w:rsidR="006831A9" w:rsidRPr="006831A9">
        <w:rPr>
          <w:sz w:val="20"/>
        </w:rPr>
        <w:t xml:space="preserve"> </w:t>
      </w:r>
    </w:p>
    <w:p w:rsidR="00485FF4" w:rsidRDefault="00485FF4" w:rsidP="006831A9">
      <w:pPr>
        <w:tabs>
          <w:tab w:val="left" w:pos="1800"/>
          <w:tab w:val="right" w:pos="8370"/>
          <w:tab w:val="right" w:pos="9000"/>
        </w:tabs>
        <w:ind w:left="360"/>
        <w:rPr>
          <w:sz w:val="20"/>
          <w:szCs w:val="22"/>
        </w:rPr>
      </w:pPr>
    </w:p>
    <w:p w:rsidR="00485FF4" w:rsidRDefault="00485FF4" w:rsidP="006831A9">
      <w:pPr>
        <w:tabs>
          <w:tab w:val="left" w:pos="1800"/>
          <w:tab w:val="right" w:pos="8370"/>
          <w:tab w:val="right" w:pos="9000"/>
        </w:tabs>
        <w:ind w:left="360"/>
        <w:rPr>
          <w:sz w:val="20"/>
          <w:szCs w:val="22"/>
        </w:rPr>
      </w:pPr>
      <w:r w:rsidRPr="00961F57">
        <w:rPr>
          <w:sz w:val="20"/>
          <w:szCs w:val="22"/>
        </w:rPr>
        <w:t xml:space="preserve">Appendix </w:t>
      </w:r>
      <w:r w:rsidR="007A5EA1">
        <w:rPr>
          <w:sz w:val="20"/>
          <w:szCs w:val="22"/>
        </w:rPr>
        <w:t>3</w:t>
      </w:r>
      <w:r w:rsidRPr="00961F57">
        <w:rPr>
          <w:b/>
          <w:sz w:val="20"/>
          <w:szCs w:val="22"/>
        </w:rPr>
        <w:tab/>
      </w:r>
      <w:r w:rsidRPr="00961F57">
        <w:rPr>
          <w:sz w:val="20"/>
          <w:szCs w:val="22"/>
        </w:rPr>
        <w:t>Equivalence scales: sensitivity of results to choice of scale</w:t>
      </w:r>
    </w:p>
    <w:p w:rsidR="00F80C9F" w:rsidRDefault="00F80C9F" w:rsidP="006831A9">
      <w:pPr>
        <w:tabs>
          <w:tab w:val="left" w:pos="1800"/>
          <w:tab w:val="right" w:pos="8370"/>
          <w:tab w:val="right" w:pos="9000"/>
        </w:tabs>
        <w:ind w:left="360"/>
        <w:rPr>
          <w:sz w:val="20"/>
          <w:szCs w:val="22"/>
        </w:rPr>
      </w:pPr>
    </w:p>
    <w:p w:rsidR="00F80C9F" w:rsidRPr="00F80C9F" w:rsidRDefault="00F80C9F" w:rsidP="00F80C9F">
      <w:pPr>
        <w:tabs>
          <w:tab w:val="left" w:pos="1800"/>
          <w:tab w:val="right" w:pos="8370"/>
          <w:tab w:val="right" w:pos="9000"/>
        </w:tabs>
        <w:ind w:left="1800" w:hanging="1440"/>
        <w:rPr>
          <w:sz w:val="20"/>
          <w:szCs w:val="22"/>
        </w:rPr>
      </w:pPr>
      <w:r w:rsidRPr="00F80C9F">
        <w:rPr>
          <w:sz w:val="20"/>
        </w:rPr>
        <w:t>Appendix 4</w:t>
      </w:r>
      <w:r>
        <w:rPr>
          <w:szCs w:val="22"/>
        </w:rPr>
        <w:tab/>
      </w:r>
      <w:r w:rsidRPr="00F80C9F">
        <w:rPr>
          <w:sz w:val="20"/>
        </w:rPr>
        <w:t>Analysis unit: sensitivity of results to choice of household or individual for calculating medians and reporting poverty rates and inequality</w:t>
      </w:r>
    </w:p>
    <w:p w:rsidR="00485FF4" w:rsidRPr="00961F57" w:rsidRDefault="00485FF4" w:rsidP="006831A9">
      <w:pPr>
        <w:tabs>
          <w:tab w:val="left" w:pos="1800"/>
          <w:tab w:val="right" w:pos="8370"/>
          <w:tab w:val="right" w:pos="9000"/>
        </w:tabs>
        <w:ind w:left="360"/>
        <w:rPr>
          <w:sz w:val="20"/>
          <w:szCs w:val="22"/>
        </w:rPr>
      </w:pPr>
    </w:p>
    <w:p w:rsidR="00485FF4" w:rsidRDefault="00485FF4" w:rsidP="006831A9">
      <w:pPr>
        <w:tabs>
          <w:tab w:val="left" w:pos="1800"/>
          <w:tab w:val="right" w:pos="8370"/>
          <w:tab w:val="right" w:pos="9000"/>
        </w:tabs>
        <w:ind w:left="360"/>
        <w:rPr>
          <w:sz w:val="20"/>
          <w:szCs w:val="22"/>
        </w:rPr>
      </w:pPr>
      <w:r w:rsidRPr="00961F57">
        <w:rPr>
          <w:sz w:val="20"/>
          <w:szCs w:val="22"/>
        </w:rPr>
        <w:t xml:space="preserve">Appendix </w:t>
      </w:r>
      <w:r w:rsidR="00BE75C6">
        <w:rPr>
          <w:sz w:val="20"/>
          <w:szCs w:val="22"/>
        </w:rPr>
        <w:t>5</w:t>
      </w:r>
      <w:r>
        <w:rPr>
          <w:sz w:val="20"/>
          <w:szCs w:val="22"/>
        </w:rPr>
        <w:tab/>
      </w:r>
      <w:r w:rsidR="002B185D">
        <w:rPr>
          <w:sz w:val="20"/>
          <w:szCs w:val="22"/>
        </w:rPr>
        <w:t>Incomes before and after deducting housing costs (</w:t>
      </w:r>
      <w:smartTag w:uri="urn:schemas-microsoft-com:office:smarttags" w:element="stockticker">
        <w:r w:rsidR="002B185D">
          <w:rPr>
            <w:sz w:val="20"/>
            <w:szCs w:val="22"/>
          </w:rPr>
          <w:t>BHC</w:t>
        </w:r>
      </w:smartTag>
      <w:r w:rsidR="002B185D">
        <w:rPr>
          <w:sz w:val="20"/>
          <w:szCs w:val="22"/>
        </w:rPr>
        <w:t xml:space="preserve"> and </w:t>
      </w:r>
      <w:smartTag w:uri="urn:schemas-microsoft-com:office:smarttags" w:element="stockticker">
        <w:r w:rsidR="002B185D">
          <w:rPr>
            <w:sz w:val="20"/>
            <w:szCs w:val="22"/>
          </w:rPr>
          <w:t>AHC</w:t>
        </w:r>
      </w:smartTag>
      <w:r w:rsidR="002B185D">
        <w:rPr>
          <w:sz w:val="20"/>
          <w:szCs w:val="22"/>
        </w:rPr>
        <w:t>)</w:t>
      </w:r>
    </w:p>
    <w:p w:rsidR="00485FF4" w:rsidRDefault="00485FF4" w:rsidP="006831A9">
      <w:pPr>
        <w:tabs>
          <w:tab w:val="left" w:pos="1800"/>
          <w:tab w:val="right" w:pos="8370"/>
          <w:tab w:val="right" w:pos="9000"/>
        </w:tabs>
        <w:ind w:left="360"/>
        <w:rPr>
          <w:sz w:val="20"/>
          <w:szCs w:val="22"/>
        </w:rPr>
      </w:pPr>
    </w:p>
    <w:p w:rsidR="008B3C5A" w:rsidRDefault="008B3C5A" w:rsidP="006831A9">
      <w:pPr>
        <w:tabs>
          <w:tab w:val="left" w:pos="1800"/>
          <w:tab w:val="right" w:pos="8370"/>
          <w:tab w:val="right" w:pos="9000"/>
        </w:tabs>
        <w:ind w:left="360"/>
        <w:rPr>
          <w:sz w:val="20"/>
          <w:szCs w:val="22"/>
        </w:rPr>
      </w:pPr>
      <w:r>
        <w:rPr>
          <w:sz w:val="20"/>
          <w:szCs w:val="22"/>
        </w:rPr>
        <w:t xml:space="preserve">Appendix </w:t>
      </w:r>
      <w:r w:rsidR="00BE75C6">
        <w:rPr>
          <w:sz w:val="20"/>
          <w:szCs w:val="22"/>
        </w:rPr>
        <w:t>6</w:t>
      </w:r>
      <w:r>
        <w:rPr>
          <w:sz w:val="20"/>
          <w:szCs w:val="22"/>
        </w:rPr>
        <w:tab/>
      </w:r>
      <w:r w:rsidR="00EC2A27">
        <w:rPr>
          <w:sz w:val="20"/>
          <w:szCs w:val="22"/>
        </w:rPr>
        <w:t>Rationale for setting the low-income t</w:t>
      </w:r>
      <w:r>
        <w:rPr>
          <w:sz w:val="20"/>
          <w:szCs w:val="22"/>
        </w:rPr>
        <w:t>hresholds</w:t>
      </w:r>
      <w:r w:rsidR="00EC2A27">
        <w:rPr>
          <w:sz w:val="20"/>
          <w:szCs w:val="22"/>
        </w:rPr>
        <w:t xml:space="preserve"> or poverty lines</w:t>
      </w:r>
    </w:p>
    <w:p w:rsidR="008B3C5A" w:rsidRDefault="008B3C5A" w:rsidP="006831A9">
      <w:pPr>
        <w:tabs>
          <w:tab w:val="left" w:pos="1800"/>
          <w:tab w:val="right" w:pos="8370"/>
          <w:tab w:val="right" w:pos="9000"/>
        </w:tabs>
        <w:ind w:left="360"/>
        <w:rPr>
          <w:sz w:val="20"/>
          <w:szCs w:val="22"/>
        </w:rPr>
      </w:pPr>
    </w:p>
    <w:p w:rsidR="00485FF4" w:rsidRDefault="00485FF4" w:rsidP="006831A9">
      <w:pPr>
        <w:tabs>
          <w:tab w:val="left" w:pos="1800"/>
          <w:tab w:val="right" w:pos="8370"/>
          <w:tab w:val="right" w:pos="9000"/>
        </w:tabs>
        <w:ind w:left="360"/>
        <w:rPr>
          <w:sz w:val="20"/>
          <w:szCs w:val="22"/>
        </w:rPr>
      </w:pPr>
      <w:r>
        <w:rPr>
          <w:sz w:val="20"/>
          <w:szCs w:val="22"/>
        </w:rPr>
        <w:t xml:space="preserve">Appendix </w:t>
      </w:r>
      <w:r w:rsidR="00BE75C6">
        <w:rPr>
          <w:sz w:val="20"/>
          <w:szCs w:val="22"/>
        </w:rPr>
        <w:t>7</w:t>
      </w:r>
      <w:r>
        <w:rPr>
          <w:sz w:val="20"/>
          <w:szCs w:val="22"/>
        </w:rPr>
        <w:tab/>
      </w:r>
      <w:r w:rsidR="00EC2A27">
        <w:rPr>
          <w:sz w:val="20"/>
          <w:szCs w:val="22"/>
        </w:rPr>
        <w:t>Indices used to adjust for inflation</w:t>
      </w:r>
    </w:p>
    <w:p w:rsidR="00EC2A27" w:rsidRDefault="00EC2A27" w:rsidP="006831A9">
      <w:pPr>
        <w:tabs>
          <w:tab w:val="left" w:pos="1800"/>
          <w:tab w:val="right" w:pos="8370"/>
          <w:tab w:val="right" w:pos="9000"/>
        </w:tabs>
        <w:ind w:left="360"/>
        <w:rPr>
          <w:sz w:val="20"/>
          <w:szCs w:val="22"/>
        </w:rPr>
      </w:pPr>
    </w:p>
    <w:p w:rsidR="007A5EA1" w:rsidRDefault="007A5EA1" w:rsidP="006831A9">
      <w:pPr>
        <w:tabs>
          <w:tab w:val="left" w:pos="1800"/>
          <w:tab w:val="right" w:pos="8370"/>
          <w:tab w:val="right" w:pos="9000"/>
        </w:tabs>
        <w:ind w:left="360"/>
        <w:rPr>
          <w:sz w:val="20"/>
          <w:szCs w:val="22"/>
        </w:rPr>
      </w:pPr>
      <w:r>
        <w:rPr>
          <w:sz w:val="20"/>
          <w:szCs w:val="22"/>
        </w:rPr>
        <w:t xml:space="preserve">Appendix </w:t>
      </w:r>
      <w:r w:rsidR="00BE75C6">
        <w:rPr>
          <w:sz w:val="20"/>
          <w:szCs w:val="22"/>
        </w:rPr>
        <w:t>8</w:t>
      </w:r>
      <w:r>
        <w:rPr>
          <w:sz w:val="20"/>
          <w:szCs w:val="22"/>
        </w:rPr>
        <w:tab/>
        <w:t xml:space="preserve">The bottom income decile: income often not a reliable indicator of </w:t>
      </w:r>
      <w:r w:rsidR="00E30F4E">
        <w:rPr>
          <w:sz w:val="20"/>
          <w:szCs w:val="22"/>
        </w:rPr>
        <w:t>material</w:t>
      </w:r>
      <w:r>
        <w:rPr>
          <w:sz w:val="20"/>
          <w:szCs w:val="22"/>
        </w:rPr>
        <w:t xml:space="preserve"> </w:t>
      </w:r>
      <w:r>
        <w:rPr>
          <w:sz w:val="20"/>
          <w:szCs w:val="22"/>
        </w:rPr>
        <w:tab/>
        <w:t>wellbeing</w:t>
      </w:r>
    </w:p>
    <w:p w:rsidR="007A5EA1" w:rsidRDefault="007A5EA1" w:rsidP="006831A9">
      <w:pPr>
        <w:tabs>
          <w:tab w:val="left" w:pos="1800"/>
          <w:tab w:val="right" w:pos="8370"/>
          <w:tab w:val="right" w:pos="9000"/>
        </w:tabs>
        <w:ind w:left="360"/>
        <w:rPr>
          <w:sz w:val="20"/>
          <w:szCs w:val="22"/>
        </w:rPr>
      </w:pPr>
    </w:p>
    <w:p w:rsidR="00BE75C6" w:rsidRDefault="00BE75C6" w:rsidP="00BE75C6">
      <w:pPr>
        <w:tabs>
          <w:tab w:val="left" w:pos="1800"/>
          <w:tab w:val="right" w:pos="8370"/>
          <w:tab w:val="right" w:pos="9000"/>
        </w:tabs>
        <w:ind w:left="360"/>
        <w:rPr>
          <w:sz w:val="20"/>
          <w:szCs w:val="22"/>
        </w:rPr>
      </w:pPr>
      <w:r>
        <w:rPr>
          <w:sz w:val="20"/>
          <w:szCs w:val="22"/>
        </w:rPr>
        <w:t>Appendix 9</w:t>
      </w:r>
      <w:r>
        <w:rPr>
          <w:sz w:val="20"/>
          <w:szCs w:val="22"/>
        </w:rPr>
        <w:tab/>
        <w:t>Decile and quintile means and shares (</w:t>
      </w:r>
      <w:smartTag w:uri="urn:schemas-microsoft-com:office:smarttags" w:element="stockticker">
        <w:r>
          <w:rPr>
            <w:sz w:val="20"/>
            <w:szCs w:val="22"/>
          </w:rPr>
          <w:t>BHC</w:t>
        </w:r>
      </w:smartTag>
      <w:r>
        <w:rPr>
          <w:sz w:val="20"/>
          <w:szCs w:val="22"/>
        </w:rPr>
        <w:t>), 1982 to 2008</w:t>
      </w:r>
    </w:p>
    <w:p w:rsidR="00074390" w:rsidRDefault="00074390" w:rsidP="00BE75C6">
      <w:pPr>
        <w:tabs>
          <w:tab w:val="left" w:pos="1800"/>
          <w:tab w:val="right" w:pos="8370"/>
          <w:tab w:val="right" w:pos="9000"/>
        </w:tabs>
        <w:ind w:left="360"/>
        <w:rPr>
          <w:sz w:val="20"/>
          <w:szCs w:val="22"/>
        </w:rPr>
      </w:pPr>
    </w:p>
    <w:p w:rsidR="00BE75C6" w:rsidRDefault="00BE75C6" w:rsidP="006831A9">
      <w:pPr>
        <w:tabs>
          <w:tab w:val="left" w:pos="1800"/>
          <w:tab w:val="right" w:pos="8370"/>
          <w:tab w:val="right" w:pos="9000"/>
        </w:tabs>
        <w:ind w:left="360"/>
        <w:rPr>
          <w:sz w:val="20"/>
          <w:szCs w:val="22"/>
        </w:rPr>
      </w:pPr>
    </w:p>
    <w:p w:rsidR="00485FF4" w:rsidRPr="00E37B05" w:rsidRDefault="00485FF4" w:rsidP="00485FF4">
      <w:pPr>
        <w:tabs>
          <w:tab w:val="right" w:pos="9000"/>
        </w:tabs>
        <w:ind w:left="1080" w:hanging="1080"/>
        <w:rPr>
          <w:rFonts w:cs="Arial"/>
          <w:b/>
          <w:color w:val="FF0000"/>
          <w:sz w:val="24"/>
          <w:szCs w:val="24"/>
        </w:rPr>
      </w:pPr>
      <w:r>
        <w:rPr>
          <w:b/>
          <w:sz w:val="28"/>
          <w:szCs w:val="28"/>
        </w:rPr>
        <w:br w:type="page"/>
      </w:r>
      <w:r w:rsidRPr="00841E48">
        <w:rPr>
          <w:rFonts w:cs="Arial"/>
          <w:b/>
          <w:sz w:val="24"/>
          <w:szCs w:val="24"/>
        </w:rPr>
        <w:lastRenderedPageBreak/>
        <w:t xml:space="preserve">List of </w:t>
      </w:r>
      <w:r w:rsidR="00C80797">
        <w:rPr>
          <w:rFonts w:cs="Arial"/>
          <w:b/>
          <w:sz w:val="24"/>
          <w:szCs w:val="24"/>
        </w:rPr>
        <w:t>Figures and Tables</w:t>
      </w:r>
      <w:r w:rsidR="00E37B05">
        <w:rPr>
          <w:rFonts w:cs="Arial"/>
          <w:b/>
          <w:sz w:val="24"/>
          <w:szCs w:val="24"/>
        </w:rPr>
        <w:t xml:space="preserve"> </w:t>
      </w:r>
    </w:p>
    <w:p w:rsidR="0036521B" w:rsidRPr="00232598" w:rsidRDefault="0036521B" w:rsidP="00485FF4">
      <w:pPr>
        <w:tabs>
          <w:tab w:val="right" w:pos="9000"/>
        </w:tabs>
        <w:ind w:left="1080" w:hanging="1080"/>
        <w:rPr>
          <w:rFonts w:cs="Arial"/>
          <w:b/>
          <w:sz w:val="20"/>
        </w:rPr>
      </w:pPr>
    </w:p>
    <w:p w:rsidR="0036521B" w:rsidRPr="00232598" w:rsidRDefault="0036521B" w:rsidP="00485FF4">
      <w:pPr>
        <w:tabs>
          <w:tab w:val="right" w:pos="9000"/>
        </w:tabs>
        <w:ind w:left="1080" w:hanging="1080"/>
        <w:rPr>
          <w:rFonts w:cs="Arial"/>
          <w:b/>
          <w:sz w:val="20"/>
        </w:rPr>
      </w:pPr>
    </w:p>
    <w:p w:rsidR="00E1200C" w:rsidRPr="0097726E" w:rsidRDefault="008624B7" w:rsidP="007329A6">
      <w:pPr>
        <w:pStyle w:val="Heading1"/>
        <w:tabs>
          <w:tab w:val="left" w:pos="1170"/>
          <w:tab w:val="left" w:pos="1440"/>
        </w:tabs>
        <w:spacing w:after="80"/>
        <w:ind w:left="1440" w:hanging="1440"/>
        <w:rPr>
          <w:sz w:val="22"/>
          <w:szCs w:val="22"/>
        </w:rPr>
      </w:pPr>
      <w:r w:rsidRPr="0097726E">
        <w:rPr>
          <w:sz w:val="22"/>
          <w:szCs w:val="22"/>
        </w:rPr>
        <w:t>Section A</w:t>
      </w:r>
      <w:r w:rsidR="0097726E">
        <w:rPr>
          <w:sz w:val="22"/>
          <w:szCs w:val="22"/>
        </w:rPr>
        <w:t xml:space="preserve">   </w:t>
      </w:r>
      <w:r w:rsidR="00E1200C" w:rsidRPr="0097726E">
        <w:rPr>
          <w:sz w:val="22"/>
          <w:szCs w:val="22"/>
        </w:rPr>
        <w:t>Introduction</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A.1 </w:t>
      </w:r>
      <w:r w:rsidRPr="0008073A">
        <w:rPr>
          <w:rFonts w:cs="Arial"/>
          <w:sz w:val="20"/>
        </w:rPr>
        <w:tab/>
        <w:t xml:space="preserve">Same current income – different living standards (material </w:t>
      </w:r>
      <w:r w:rsidR="00C42A24">
        <w:rPr>
          <w:rFonts w:cs="Arial"/>
          <w:sz w:val="20"/>
        </w:rPr>
        <w:t>wellbeing</w:t>
      </w:r>
      <w:r w:rsidRPr="0008073A">
        <w:rPr>
          <w:rFonts w:cs="Arial"/>
          <w:sz w:val="20"/>
        </w:rPr>
        <w:t>)</w:t>
      </w:r>
      <w:r w:rsidRPr="0008073A">
        <w:rPr>
          <w:rFonts w:cs="Arial"/>
          <w:sz w:val="20"/>
        </w:rPr>
        <w:tab/>
        <w:t>…………</w:t>
      </w:r>
      <w:r w:rsidRPr="0008073A">
        <w:rPr>
          <w:rFonts w:cs="Arial"/>
          <w:sz w:val="20"/>
        </w:rPr>
        <w:tab/>
      </w:r>
      <w:r w:rsidR="00E626F0">
        <w:rPr>
          <w:rFonts w:cs="Arial"/>
          <w:sz w:val="20"/>
        </w:rPr>
        <w:t>2</w:t>
      </w:r>
      <w:r w:rsidR="00093050">
        <w:rPr>
          <w:rFonts w:cs="Arial"/>
          <w:sz w:val="20"/>
        </w:rPr>
        <w:t>6</w:t>
      </w:r>
    </w:p>
    <w:p w:rsidR="00EF3364" w:rsidRDefault="00EF3364" w:rsidP="008624B7">
      <w:pPr>
        <w:tabs>
          <w:tab w:val="left" w:pos="1170"/>
          <w:tab w:val="right" w:pos="8460"/>
          <w:tab w:val="right" w:pos="8910"/>
        </w:tabs>
        <w:ind w:left="1170" w:hanging="1170"/>
        <w:rPr>
          <w:rFonts w:cs="Arial"/>
          <w:sz w:val="20"/>
        </w:rPr>
      </w:pPr>
      <w:r w:rsidRPr="0008073A">
        <w:rPr>
          <w:rFonts w:cs="Arial"/>
          <w:sz w:val="20"/>
        </w:rPr>
        <w:t>Table A.1</w:t>
      </w:r>
      <w:r w:rsidRPr="0008073A">
        <w:rPr>
          <w:rFonts w:cs="Arial"/>
          <w:sz w:val="20"/>
        </w:rPr>
        <w:tab/>
        <w:t xml:space="preserve">Conversion of equivalised dollars to ordinary dollars for low-to-middle-income households </w:t>
      </w:r>
      <w:r w:rsidRPr="0008073A">
        <w:rPr>
          <w:rFonts w:cs="Arial"/>
          <w:sz w:val="20"/>
        </w:rPr>
        <w:tab/>
        <w:t>……………………………………………………………………………….</w:t>
      </w:r>
      <w:r w:rsidRPr="0008073A">
        <w:rPr>
          <w:rFonts w:cs="Arial"/>
          <w:sz w:val="20"/>
        </w:rPr>
        <w:tab/>
      </w:r>
      <w:r w:rsidR="00FA45C2">
        <w:rPr>
          <w:rFonts w:cs="Arial"/>
          <w:sz w:val="20"/>
        </w:rPr>
        <w:t>2</w:t>
      </w:r>
      <w:r w:rsidR="00093050">
        <w:rPr>
          <w:rFonts w:cs="Arial"/>
          <w:sz w:val="20"/>
        </w:rPr>
        <w:t>8</w:t>
      </w:r>
    </w:p>
    <w:p w:rsidR="006667DA" w:rsidRPr="0008073A" w:rsidRDefault="006667DA" w:rsidP="006667DA">
      <w:pPr>
        <w:tabs>
          <w:tab w:val="left" w:pos="1170"/>
          <w:tab w:val="right" w:pos="8460"/>
          <w:tab w:val="right" w:pos="8910"/>
        </w:tabs>
        <w:spacing w:before="80"/>
        <w:ind w:left="1166" w:hanging="1166"/>
        <w:rPr>
          <w:rFonts w:cs="Arial"/>
          <w:sz w:val="20"/>
        </w:rPr>
      </w:pPr>
      <w:r>
        <w:rPr>
          <w:rFonts w:cs="Arial"/>
          <w:sz w:val="20"/>
        </w:rPr>
        <w:t>Table A.2</w:t>
      </w:r>
      <w:r>
        <w:rPr>
          <w:rFonts w:cs="Arial"/>
          <w:sz w:val="20"/>
        </w:rPr>
        <w:tab/>
        <w:t>Achieved sample sizes and response rates for recent HES</w:t>
      </w:r>
      <w:r>
        <w:rPr>
          <w:rFonts w:cs="Arial"/>
          <w:sz w:val="20"/>
        </w:rPr>
        <w:tab/>
        <w:t>………………………</w:t>
      </w:r>
      <w:r>
        <w:rPr>
          <w:rFonts w:cs="Arial"/>
          <w:sz w:val="20"/>
        </w:rPr>
        <w:tab/>
      </w:r>
      <w:r w:rsidR="00E626F0">
        <w:rPr>
          <w:rFonts w:cs="Arial"/>
          <w:sz w:val="20"/>
        </w:rPr>
        <w:t>3</w:t>
      </w:r>
      <w:r w:rsidR="00093050">
        <w:rPr>
          <w:rFonts w:cs="Arial"/>
          <w:sz w:val="20"/>
        </w:rPr>
        <w:t>2</w:t>
      </w:r>
    </w:p>
    <w:p w:rsidR="00EF3364" w:rsidRDefault="00EF3364" w:rsidP="008624B7">
      <w:pPr>
        <w:tabs>
          <w:tab w:val="left" w:pos="1170"/>
          <w:tab w:val="right" w:pos="8460"/>
          <w:tab w:val="right" w:pos="8910"/>
        </w:tabs>
        <w:ind w:left="1170" w:hanging="1170"/>
        <w:rPr>
          <w:rFonts w:cs="Arial"/>
          <w:sz w:val="20"/>
          <w:lang w:val="en-NZ"/>
        </w:rPr>
      </w:pPr>
    </w:p>
    <w:p w:rsidR="00E1200C" w:rsidRPr="0097726E" w:rsidRDefault="00E1200C" w:rsidP="007329A6">
      <w:pPr>
        <w:tabs>
          <w:tab w:val="left" w:pos="1170"/>
          <w:tab w:val="left" w:pos="1440"/>
        </w:tabs>
        <w:spacing w:after="80"/>
        <w:ind w:left="1440" w:hanging="1440"/>
        <w:rPr>
          <w:b/>
          <w:szCs w:val="22"/>
        </w:rPr>
      </w:pPr>
      <w:r w:rsidRPr="0097726E">
        <w:rPr>
          <w:b/>
          <w:szCs w:val="22"/>
        </w:rPr>
        <w:t xml:space="preserve">Section B </w:t>
      </w:r>
      <w:r w:rsidRPr="0097726E">
        <w:rPr>
          <w:b/>
          <w:szCs w:val="22"/>
        </w:rPr>
        <w:tab/>
        <w:t xml:space="preserve">Household incomes in </w:t>
      </w:r>
      <w:r w:rsidR="00D44402">
        <w:rPr>
          <w:b/>
          <w:szCs w:val="22"/>
        </w:rPr>
        <w:t>20</w:t>
      </w:r>
      <w:r w:rsidR="00D52D4A">
        <w:rPr>
          <w:b/>
          <w:szCs w:val="22"/>
        </w:rPr>
        <w:t>10</w:t>
      </w:r>
      <w:r w:rsidR="00D44402">
        <w:rPr>
          <w:b/>
          <w:szCs w:val="22"/>
        </w:rPr>
        <w:t>-1</w:t>
      </w:r>
      <w:r w:rsidR="00D52D4A">
        <w:rPr>
          <w:b/>
          <w:szCs w:val="22"/>
        </w:rPr>
        <w:t>1</w:t>
      </w:r>
    </w:p>
    <w:p w:rsidR="00EF3364" w:rsidRDefault="00EF3364" w:rsidP="007329A6">
      <w:pPr>
        <w:tabs>
          <w:tab w:val="left" w:pos="1170"/>
          <w:tab w:val="right" w:pos="8460"/>
          <w:tab w:val="right" w:pos="8910"/>
        </w:tabs>
        <w:ind w:left="1166" w:hanging="1166"/>
        <w:rPr>
          <w:rFonts w:cs="Arial"/>
          <w:sz w:val="20"/>
          <w:lang w:val="en-NZ"/>
        </w:rPr>
      </w:pPr>
      <w:r w:rsidRPr="0008073A">
        <w:rPr>
          <w:rFonts w:cs="Arial"/>
          <w:sz w:val="20"/>
          <w:lang w:val="en-NZ"/>
        </w:rPr>
        <w:t>Table B.1</w:t>
      </w:r>
      <w:r w:rsidRPr="0008073A">
        <w:rPr>
          <w:rFonts w:cs="Arial"/>
          <w:sz w:val="20"/>
          <w:lang w:val="en-NZ"/>
        </w:rPr>
        <w:tab/>
        <w:t xml:space="preserve">Gross, disposable and equivalised disposable household incomes:  </w:t>
      </w:r>
      <w:r>
        <w:rPr>
          <w:rFonts w:cs="Arial"/>
          <w:sz w:val="20"/>
          <w:lang w:val="en-NZ"/>
        </w:rPr>
        <w:t>annual</w:t>
      </w:r>
    </w:p>
    <w:p w:rsidR="00EF3364" w:rsidRPr="0008073A" w:rsidRDefault="00EF3364" w:rsidP="007329A6">
      <w:pPr>
        <w:tabs>
          <w:tab w:val="left" w:pos="1170"/>
          <w:tab w:val="right" w:pos="8460"/>
          <w:tab w:val="right" w:pos="8910"/>
        </w:tabs>
        <w:spacing w:after="80"/>
        <w:ind w:left="1166" w:hanging="1166"/>
        <w:rPr>
          <w:rFonts w:cs="Arial"/>
          <w:sz w:val="20"/>
          <w:lang w:val="en-NZ"/>
        </w:rPr>
      </w:pPr>
      <w:r>
        <w:rPr>
          <w:rFonts w:cs="Arial"/>
          <w:sz w:val="20"/>
          <w:lang w:val="en-NZ"/>
        </w:rPr>
        <w:tab/>
        <w:t xml:space="preserve">medians and </w:t>
      </w:r>
      <w:r w:rsidRPr="0008073A">
        <w:rPr>
          <w:rFonts w:cs="Arial"/>
          <w:sz w:val="20"/>
          <w:lang w:val="en-NZ"/>
        </w:rPr>
        <w:t xml:space="preserve">means (HES </w:t>
      </w:r>
      <w:r w:rsidR="00D44402">
        <w:rPr>
          <w:rFonts w:cs="Arial"/>
          <w:sz w:val="20"/>
          <w:lang w:val="en-NZ"/>
        </w:rPr>
        <w:t>201</w:t>
      </w:r>
      <w:r w:rsidR="00E626F0">
        <w:rPr>
          <w:rFonts w:cs="Arial"/>
          <w:sz w:val="20"/>
          <w:lang w:val="en-NZ"/>
        </w:rPr>
        <w:t>1</w:t>
      </w:r>
      <w:r w:rsidRPr="0008073A">
        <w:rPr>
          <w:rFonts w:cs="Arial"/>
          <w:sz w:val="20"/>
          <w:lang w:val="en-NZ"/>
        </w:rPr>
        <w:t>)</w:t>
      </w:r>
      <w:r>
        <w:rPr>
          <w:rFonts w:cs="Arial"/>
          <w:sz w:val="20"/>
          <w:lang w:val="en-NZ"/>
        </w:rPr>
        <w:tab/>
        <w:t>………………………………………………………..</w:t>
      </w:r>
      <w:r>
        <w:rPr>
          <w:rFonts w:cs="Arial"/>
          <w:sz w:val="20"/>
          <w:lang w:val="en-NZ"/>
        </w:rPr>
        <w:tab/>
      </w:r>
      <w:r w:rsidR="00FA45C2">
        <w:rPr>
          <w:rFonts w:cs="Arial"/>
          <w:sz w:val="20"/>
          <w:lang w:val="en-NZ"/>
        </w:rPr>
        <w:t>3</w:t>
      </w:r>
      <w:r w:rsidR="00093050">
        <w:rPr>
          <w:rFonts w:cs="Arial"/>
          <w:sz w:val="20"/>
          <w:lang w:val="en-NZ"/>
        </w:rPr>
        <w:t>2</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Table B.2</w:t>
      </w:r>
      <w:r w:rsidRPr="0008073A">
        <w:rPr>
          <w:rFonts w:cs="Arial"/>
          <w:sz w:val="20"/>
        </w:rPr>
        <w:tab/>
        <w:t>Median disposable income (</w:t>
      </w:r>
      <w:smartTag w:uri="urn:schemas-microsoft-com:office:smarttags" w:element="stockticker">
        <w:r w:rsidRPr="0008073A">
          <w:rPr>
            <w:rFonts w:cs="Arial"/>
            <w:sz w:val="20"/>
          </w:rPr>
          <w:t>BHC</w:t>
        </w:r>
      </w:smartTag>
      <w:r w:rsidRPr="0008073A">
        <w:rPr>
          <w:rFonts w:cs="Arial"/>
          <w:sz w:val="20"/>
        </w:rPr>
        <w:t>) for different household types (</w:t>
      </w:r>
      <w:r w:rsidR="00D44402" w:rsidRPr="0008073A">
        <w:rPr>
          <w:rFonts w:cs="Arial"/>
          <w:sz w:val="20"/>
          <w:lang w:val="en-NZ"/>
        </w:rPr>
        <w:t xml:space="preserve">HES </w:t>
      </w:r>
      <w:r w:rsidR="00D44402">
        <w:rPr>
          <w:rFonts w:cs="Arial"/>
          <w:sz w:val="20"/>
          <w:lang w:val="en-NZ"/>
        </w:rPr>
        <w:t>201</w:t>
      </w:r>
      <w:r w:rsidR="00E626F0">
        <w:rPr>
          <w:rFonts w:cs="Arial"/>
          <w:sz w:val="20"/>
          <w:lang w:val="en-NZ"/>
        </w:rPr>
        <w:t>1</w:t>
      </w:r>
      <w:r w:rsidRPr="0008073A">
        <w:rPr>
          <w:rFonts w:cs="Arial"/>
          <w:sz w:val="20"/>
        </w:rPr>
        <w:t>)</w:t>
      </w:r>
      <w:r>
        <w:rPr>
          <w:rFonts w:cs="Arial"/>
          <w:sz w:val="20"/>
        </w:rPr>
        <w:tab/>
        <w:t>……...</w:t>
      </w:r>
      <w:r>
        <w:rPr>
          <w:rFonts w:cs="Arial"/>
          <w:sz w:val="20"/>
        </w:rPr>
        <w:tab/>
      </w:r>
      <w:r w:rsidR="00093050">
        <w:rPr>
          <w:rFonts w:cs="Arial"/>
          <w:sz w:val="20"/>
        </w:rPr>
        <w:t>41</w:t>
      </w:r>
    </w:p>
    <w:p w:rsidR="00EF3364" w:rsidRPr="000C7D02" w:rsidRDefault="00EF3364" w:rsidP="007329A6">
      <w:pPr>
        <w:tabs>
          <w:tab w:val="left" w:pos="1170"/>
          <w:tab w:val="right" w:pos="8460"/>
          <w:tab w:val="right" w:pos="8910"/>
        </w:tabs>
        <w:spacing w:after="80"/>
        <w:ind w:left="1166" w:hanging="1166"/>
        <w:rPr>
          <w:rFonts w:cs="Arial"/>
          <w:sz w:val="20"/>
        </w:rPr>
      </w:pPr>
      <w:r w:rsidRPr="000C7D02">
        <w:rPr>
          <w:rFonts w:cs="Arial"/>
          <w:sz w:val="20"/>
        </w:rPr>
        <w:t>Table B.3</w:t>
      </w:r>
      <w:r w:rsidRPr="000C7D02">
        <w:rPr>
          <w:rFonts w:cs="Arial"/>
          <w:sz w:val="20"/>
        </w:rPr>
        <w:tab/>
        <w:t>Median disposable income (</w:t>
      </w:r>
      <w:smartTag w:uri="urn:schemas-microsoft-com:office:smarttags" w:element="stockticker">
        <w:r w:rsidRPr="000C7D02">
          <w:rPr>
            <w:rFonts w:cs="Arial"/>
            <w:sz w:val="20"/>
          </w:rPr>
          <w:t>AHC</w:t>
        </w:r>
      </w:smartTag>
      <w:r w:rsidRPr="000C7D02">
        <w:rPr>
          <w:rFonts w:cs="Arial"/>
          <w:sz w:val="20"/>
        </w:rPr>
        <w:t>) for different household types (</w:t>
      </w:r>
      <w:r w:rsidR="00D44402" w:rsidRPr="0008073A">
        <w:rPr>
          <w:rFonts w:cs="Arial"/>
          <w:sz w:val="20"/>
          <w:lang w:val="en-NZ"/>
        </w:rPr>
        <w:t xml:space="preserve">HES </w:t>
      </w:r>
      <w:r w:rsidR="00D44402">
        <w:rPr>
          <w:rFonts w:cs="Arial"/>
          <w:sz w:val="20"/>
          <w:lang w:val="en-NZ"/>
        </w:rPr>
        <w:t>201</w:t>
      </w:r>
      <w:r w:rsidR="00E626F0">
        <w:rPr>
          <w:rFonts w:cs="Arial"/>
          <w:sz w:val="20"/>
          <w:lang w:val="en-NZ"/>
        </w:rPr>
        <w:t>1</w:t>
      </w:r>
      <w:r w:rsidRPr="000C7D02">
        <w:rPr>
          <w:rFonts w:cs="Arial"/>
          <w:sz w:val="20"/>
        </w:rPr>
        <w:t>)</w:t>
      </w:r>
      <w:r>
        <w:rPr>
          <w:rFonts w:cs="Arial"/>
          <w:sz w:val="20"/>
        </w:rPr>
        <w:tab/>
        <w:t>……..</w:t>
      </w:r>
      <w:r>
        <w:rPr>
          <w:rFonts w:cs="Arial"/>
          <w:sz w:val="20"/>
        </w:rPr>
        <w:tab/>
      </w:r>
      <w:r w:rsidR="00093050">
        <w:rPr>
          <w:rFonts w:cs="Arial"/>
          <w:sz w:val="20"/>
        </w:rPr>
        <w:t>41</w:t>
      </w:r>
    </w:p>
    <w:p w:rsidR="00EF3364" w:rsidRPr="000C7D02" w:rsidRDefault="00EF3364" w:rsidP="007329A6">
      <w:pPr>
        <w:tabs>
          <w:tab w:val="left" w:pos="1170"/>
          <w:tab w:val="right" w:pos="8460"/>
          <w:tab w:val="right" w:pos="8910"/>
        </w:tabs>
        <w:spacing w:after="80"/>
        <w:ind w:left="1166" w:hanging="1166"/>
        <w:rPr>
          <w:rFonts w:cs="Arial"/>
          <w:sz w:val="20"/>
          <w:lang w:val="en-NZ"/>
        </w:rPr>
      </w:pPr>
      <w:r w:rsidRPr="000C7D02">
        <w:rPr>
          <w:rFonts w:cs="Arial"/>
          <w:sz w:val="20"/>
          <w:lang w:val="en-NZ"/>
        </w:rPr>
        <w:t>Figure B.1</w:t>
      </w:r>
      <w:r w:rsidRPr="000C7D02">
        <w:rPr>
          <w:rFonts w:cs="Arial"/>
          <w:sz w:val="20"/>
          <w:lang w:val="en-NZ"/>
        </w:rPr>
        <w:tab/>
      </w:r>
      <w:smartTag w:uri="urn:schemas-microsoft-com:office:smarttags" w:element="stockticker">
        <w:r w:rsidRPr="000C7D02">
          <w:rPr>
            <w:rFonts w:cs="Arial"/>
            <w:sz w:val="20"/>
          </w:rPr>
          <w:t>BHC</w:t>
        </w:r>
      </w:smartTag>
      <w:r w:rsidRPr="000C7D02">
        <w:rPr>
          <w:rFonts w:cs="Arial"/>
          <w:sz w:val="20"/>
        </w:rPr>
        <w:t xml:space="preserve"> </w:t>
      </w:r>
      <w:r>
        <w:rPr>
          <w:rFonts w:cs="Arial"/>
          <w:sz w:val="20"/>
        </w:rPr>
        <w:t>h</w:t>
      </w:r>
      <w:r w:rsidRPr="000C7D02">
        <w:rPr>
          <w:rFonts w:cs="Arial"/>
          <w:sz w:val="20"/>
        </w:rPr>
        <w:t xml:space="preserve">ousehold </w:t>
      </w:r>
      <w:r>
        <w:rPr>
          <w:rFonts w:cs="Arial"/>
          <w:sz w:val="20"/>
        </w:rPr>
        <w:t>i</w:t>
      </w:r>
      <w:r w:rsidRPr="000C7D02">
        <w:rPr>
          <w:rFonts w:cs="Arial"/>
          <w:sz w:val="20"/>
        </w:rPr>
        <w:t xml:space="preserve">ncome </w:t>
      </w:r>
      <w:r>
        <w:rPr>
          <w:rFonts w:cs="Arial"/>
          <w:sz w:val="20"/>
        </w:rPr>
        <w:t>d</w:t>
      </w:r>
      <w:r w:rsidRPr="000C7D02">
        <w:rPr>
          <w:rFonts w:cs="Arial"/>
          <w:sz w:val="20"/>
        </w:rPr>
        <w:t xml:space="preserve">istribution for all individuals: </w:t>
      </w:r>
      <w:r w:rsidR="00D44402" w:rsidRPr="0008073A">
        <w:rPr>
          <w:rFonts w:cs="Arial"/>
          <w:sz w:val="20"/>
          <w:lang w:val="en-NZ"/>
        </w:rPr>
        <w:t xml:space="preserve">HES </w:t>
      </w:r>
      <w:r w:rsidR="00D44402">
        <w:rPr>
          <w:rFonts w:cs="Arial"/>
          <w:sz w:val="20"/>
          <w:lang w:val="en-NZ"/>
        </w:rPr>
        <w:t>201</w:t>
      </w:r>
      <w:r w:rsidR="00E626F0">
        <w:rPr>
          <w:rFonts w:cs="Arial"/>
          <w:sz w:val="20"/>
          <w:lang w:val="en-NZ"/>
        </w:rPr>
        <w:t>1</w:t>
      </w:r>
      <w:r>
        <w:rPr>
          <w:rFonts w:cs="Arial"/>
          <w:sz w:val="20"/>
        </w:rPr>
        <w:tab/>
        <w:t>……………….</w:t>
      </w:r>
      <w:r>
        <w:rPr>
          <w:rFonts w:cs="Arial"/>
          <w:sz w:val="20"/>
        </w:rPr>
        <w:tab/>
      </w:r>
      <w:r w:rsidR="00E626F0">
        <w:rPr>
          <w:rFonts w:cs="Arial"/>
          <w:sz w:val="20"/>
        </w:rPr>
        <w:t>4</w:t>
      </w:r>
      <w:r w:rsidR="00093050">
        <w:rPr>
          <w:rFonts w:cs="Arial"/>
          <w:sz w:val="20"/>
        </w:rPr>
        <w:t>3</w:t>
      </w:r>
    </w:p>
    <w:p w:rsidR="00EF3364" w:rsidRDefault="00EF3364" w:rsidP="007329A6">
      <w:pPr>
        <w:tabs>
          <w:tab w:val="left" w:pos="1170"/>
          <w:tab w:val="right" w:pos="8460"/>
          <w:tab w:val="right" w:pos="8910"/>
        </w:tabs>
        <w:spacing w:after="80"/>
        <w:ind w:left="1166" w:hanging="1166"/>
        <w:rPr>
          <w:rFonts w:cs="Arial"/>
          <w:sz w:val="20"/>
        </w:rPr>
      </w:pPr>
      <w:r w:rsidRPr="000C7D02">
        <w:rPr>
          <w:rFonts w:cs="Arial"/>
          <w:sz w:val="20"/>
          <w:lang w:val="en-NZ"/>
        </w:rPr>
        <w:t>Figure B.2</w:t>
      </w:r>
      <w:r w:rsidRPr="000C7D02">
        <w:rPr>
          <w:rFonts w:cs="Arial"/>
          <w:sz w:val="20"/>
          <w:lang w:val="en-NZ"/>
        </w:rPr>
        <w:tab/>
      </w:r>
      <w:smartTag w:uri="urn:schemas-microsoft-com:office:smarttags" w:element="stockticker">
        <w:r w:rsidRPr="000C7D02">
          <w:rPr>
            <w:rFonts w:cs="Arial"/>
            <w:sz w:val="20"/>
          </w:rPr>
          <w:t>BHC</w:t>
        </w:r>
      </w:smartTag>
      <w:r w:rsidRPr="000C7D02">
        <w:rPr>
          <w:rFonts w:cs="Arial"/>
          <w:sz w:val="20"/>
        </w:rPr>
        <w:t xml:space="preserve"> </w:t>
      </w:r>
      <w:r>
        <w:rPr>
          <w:rFonts w:cs="Arial"/>
          <w:sz w:val="20"/>
        </w:rPr>
        <w:t>h</w:t>
      </w:r>
      <w:r w:rsidRPr="000C7D02">
        <w:rPr>
          <w:rFonts w:cs="Arial"/>
          <w:sz w:val="20"/>
        </w:rPr>
        <w:t xml:space="preserve">ousehold </w:t>
      </w:r>
      <w:r>
        <w:rPr>
          <w:rFonts w:cs="Arial"/>
          <w:sz w:val="20"/>
        </w:rPr>
        <w:t>i</w:t>
      </w:r>
      <w:r w:rsidRPr="000C7D02">
        <w:rPr>
          <w:rFonts w:cs="Arial"/>
          <w:sz w:val="20"/>
        </w:rPr>
        <w:t xml:space="preserve">ncome </w:t>
      </w:r>
      <w:r>
        <w:rPr>
          <w:rFonts w:cs="Arial"/>
          <w:sz w:val="20"/>
        </w:rPr>
        <w:t>d</w:t>
      </w:r>
      <w:r w:rsidRPr="000C7D02">
        <w:rPr>
          <w:rFonts w:cs="Arial"/>
          <w:sz w:val="20"/>
        </w:rPr>
        <w:t xml:space="preserve">istribution for all individuals: </w:t>
      </w:r>
      <w:r w:rsidR="00D44402" w:rsidRPr="0008073A">
        <w:rPr>
          <w:rFonts w:cs="Arial"/>
          <w:sz w:val="20"/>
          <w:lang w:val="en-NZ"/>
        </w:rPr>
        <w:t xml:space="preserve">HES </w:t>
      </w:r>
      <w:r w:rsidR="00D44402">
        <w:rPr>
          <w:rFonts w:cs="Arial"/>
          <w:sz w:val="20"/>
          <w:lang w:val="en-NZ"/>
        </w:rPr>
        <w:t>201</w:t>
      </w:r>
      <w:r w:rsidR="00E626F0">
        <w:rPr>
          <w:rFonts w:cs="Arial"/>
          <w:sz w:val="20"/>
          <w:lang w:val="en-NZ"/>
        </w:rPr>
        <w:t>1</w:t>
      </w:r>
      <w:r>
        <w:rPr>
          <w:rFonts w:cs="Arial"/>
          <w:sz w:val="20"/>
        </w:rPr>
        <w:tab/>
        <w:t>……………….</w:t>
      </w:r>
      <w:r>
        <w:rPr>
          <w:rFonts w:cs="Arial"/>
          <w:sz w:val="20"/>
        </w:rPr>
        <w:tab/>
      </w:r>
      <w:r w:rsidR="00E626F0">
        <w:rPr>
          <w:rFonts w:cs="Arial"/>
          <w:sz w:val="20"/>
        </w:rPr>
        <w:t>4</w:t>
      </w:r>
      <w:r w:rsidR="00093050">
        <w:rPr>
          <w:rFonts w:cs="Arial"/>
          <w:sz w:val="20"/>
        </w:rPr>
        <w:t>3</w:t>
      </w:r>
    </w:p>
    <w:p w:rsidR="00347442" w:rsidRPr="000C7D02" w:rsidRDefault="00347442" w:rsidP="007329A6">
      <w:pPr>
        <w:tabs>
          <w:tab w:val="left" w:pos="1170"/>
          <w:tab w:val="right" w:pos="8460"/>
          <w:tab w:val="right" w:pos="8910"/>
        </w:tabs>
        <w:spacing w:after="80"/>
        <w:ind w:left="1166" w:hanging="1166"/>
        <w:rPr>
          <w:rFonts w:cs="Arial"/>
          <w:sz w:val="20"/>
          <w:lang w:val="en-NZ"/>
        </w:rPr>
      </w:pPr>
      <w:r>
        <w:rPr>
          <w:rFonts w:cs="Arial"/>
          <w:sz w:val="20"/>
        </w:rPr>
        <w:t>Figure B.3</w:t>
      </w:r>
      <w:r>
        <w:rPr>
          <w:rFonts w:cs="Arial"/>
          <w:sz w:val="20"/>
        </w:rPr>
        <w:tab/>
        <w:t>Distribution of sole</w:t>
      </w:r>
      <w:r w:rsidR="00D44402">
        <w:rPr>
          <w:rFonts w:cs="Arial"/>
          <w:sz w:val="20"/>
        </w:rPr>
        <w:t>-</w:t>
      </w:r>
      <w:r>
        <w:rPr>
          <w:rFonts w:cs="Arial"/>
          <w:sz w:val="20"/>
        </w:rPr>
        <w:t>parent and two</w:t>
      </w:r>
      <w:r w:rsidR="00D44402">
        <w:rPr>
          <w:rFonts w:cs="Arial"/>
          <w:sz w:val="20"/>
        </w:rPr>
        <w:t>-</w:t>
      </w:r>
      <w:r>
        <w:rPr>
          <w:rFonts w:cs="Arial"/>
          <w:sz w:val="20"/>
        </w:rPr>
        <w:t>parent family income</w:t>
      </w:r>
      <w:r>
        <w:rPr>
          <w:rFonts w:cs="Arial"/>
          <w:sz w:val="20"/>
        </w:rPr>
        <w:tab/>
        <w:t>…………………………..</w:t>
      </w:r>
      <w:r>
        <w:rPr>
          <w:rFonts w:cs="Arial"/>
          <w:sz w:val="20"/>
        </w:rPr>
        <w:tab/>
      </w:r>
      <w:r w:rsidR="00E626F0">
        <w:rPr>
          <w:rFonts w:cs="Arial"/>
          <w:sz w:val="20"/>
        </w:rPr>
        <w:t>4</w:t>
      </w:r>
      <w:r w:rsidR="00093050">
        <w:rPr>
          <w:rFonts w:cs="Arial"/>
          <w:sz w:val="20"/>
        </w:rPr>
        <w:t>4</w:t>
      </w:r>
    </w:p>
    <w:p w:rsidR="00EF3364" w:rsidRPr="0008073A" w:rsidRDefault="00EF3364" w:rsidP="007329A6">
      <w:pPr>
        <w:pStyle w:val="FootnoteText"/>
        <w:tabs>
          <w:tab w:val="left" w:pos="1170"/>
          <w:tab w:val="right" w:pos="8460"/>
          <w:tab w:val="right" w:pos="8910"/>
        </w:tabs>
        <w:spacing w:after="80"/>
        <w:ind w:left="1166" w:hanging="1166"/>
        <w:rPr>
          <w:rFonts w:cs="Arial"/>
          <w:sz w:val="20"/>
        </w:rPr>
      </w:pPr>
      <w:r w:rsidRPr="0008073A">
        <w:rPr>
          <w:rFonts w:cs="Arial"/>
          <w:sz w:val="20"/>
        </w:rPr>
        <w:t>Table B.4</w:t>
      </w:r>
      <w:r w:rsidRPr="0008073A">
        <w:rPr>
          <w:rFonts w:cs="Arial"/>
          <w:sz w:val="20"/>
        </w:rPr>
        <w:tab/>
        <w:t>Where does your household fit in the overall hous</w:t>
      </w:r>
      <w:r>
        <w:rPr>
          <w:rFonts w:cs="Arial"/>
          <w:sz w:val="20"/>
        </w:rPr>
        <w:t>ehold income distribution (</w:t>
      </w:r>
      <w:smartTag w:uri="urn:schemas-microsoft-com:office:smarttags" w:element="stockticker">
        <w:r>
          <w:rPr>
            <w:rFonts w:cs="Arial"/>
            <w:sz w:val="20"/>
          </w:rPr>
          <w:t>BHC</w:t>
        </w:r>
      </w:smartTag>
      <w:r>
        <w:rPr>
          <w:rFonts w:cs="Arial"/>
          <w:sz w:val="20"/>
        </w:rPr>
        <w:t>)</w:t>
      </w:r>
      <w:r w:rsidRPr="0008073A">
        <w:rPr>
          <w:rFonts w:cs="Arial"/>
          <w:sz w:val="20"/>
        </w:rPr>
        <w:t>?</w:t>
      </w:r>
      <w:r>
        <w:rPr>
          <w:rFonts w:cs="Arial"/>
          <w:sz w:val="20"/>
        </w:rPr>
        <w:tab/>
      </w:r>
      <w:r w:rsidR="00E626F0">
        <w:rPr>
          <w:rFonts w:cs="Arial"/>
          <w:sz w:val="20"/>
        </w:rPr>
        <w:t>4</w:t>
      </w:r>
      <w:r w:rsidR="00093050">
        <w:rPr>
          <w:rFonts w:cs="Arial"/>
          <w:sz w:val="20"/>
        </w:rPr>
        <w:t>5</w:t>
      </w:r>
    </w:p>
    <w:p w:rsidR="00EF3364" w:rsidRPr="0008073A" w:rsidRDefault="00EF3364" w:rsidP="007329A6">
      <w:pPr>
        <w:tabs>
          <w:tab w:val="left" w:pos="1170"/>
          <w:tab w:val="right" w:pos="8460"/>
          <w:tab w:val="right" w:pos="8910"/>
        </w:tabs>
        <w:spacing w:after="80"/>
        <w:ind w:left="1166" w:hanging="1166"/>
        <w:rPr>
          <w:rFonts w:cs="Arial"/>
          <w:sz w:val="20"/>
          <w:lang w:val="en-NZ"/>
        </w:rPr>
      </w:pPr>
      <w:r w:rsidRPr="0008073A">
        <w:rPr>
          <w:rFonts w:cs="Arial"/>
          <w:sz w:val="20"/>
          <w:lang w:val="en-NZ"/>
        </w:rPr>
        <w:t>Table B.5</w:t>
      </w:r>
      <w:r w:rsidRPr="0008073A">
        <w:rPr>
          <w:rFonts w:cs="Arial"/>
          <w:sz w:val="20"/>
          <w:lang w:val="en-NZ"/>
        </w:rPr>
        <w:tab/>
        <w:t>Distribution of individuals across income quintiles (</w:t>
      </w:r>
      <w:smartTag w:uri="urn:schemas-microsoft-com:office:smarttags" w:element="stockticker">
        <w:r w:rsidRPr="0008073A">
          <w:rPr>
            <w:rFonts w:cs="Arial"/>
            <w:sz w:val="20"/>
            <w:lang w:val="en-NZ"/>
          </w:rPr>
          <w:t>BHC</w:t>
        </w:r>
      </w:smartTag>
      <w:r w:rsidRPr="0008073A">
        <w:rPr>
          <w:rFonts w:cs="Arial"/>
          <w:sz w:val="20"/>
          <w:lang w:val="en-NZ"/>
        </w:rPr>
        <w:t>) by various household and individual characteristics (%)</w:t>
      </w:r>
      <w:r w:rsidR="00EE059E">
        <w:rPr>
          <w:rFonts w:cs="Arial"/>
          <w:sz w:val="20"/>
          <w:lang w:val="en-NZ"/>
        </w:rPr>
        <w:t>, 20</w:t>
      </w:r>
      <w:r w:rsidR="00E626F0">
        <w:rPr>
          <w:rFonts w:cs="Arial"/>
          <w:sz w:val="20"/>
          <w:lang w:val="en-NZ"/>
        </w:rPr>
        <w:t>09</w:t>
      </w:r>
      <w:r w:rsidR="00EE059E">
        <w:rPr>
          <w:rFonts w:cs="Arial"/>
          <w:sz w:val="20"/>
          <w:lang w:val="en-NZ"/>
        </w:rPr>
        <w:tab/>
      </w:r>
      <w:r>
        <w:rPr>
          <w:rFonts w:cs="Arial"/>
          <w:sz w:val="20"/>
          <w:lang w:val="en-NZ"/>
        </w:rPr>
        <w:t>……………………………………………………</w:t>
      </w:r>
      <w:r>
        <w:rPr>
          <w:rFonts w:cs="Arial"/>
          <w:sz w:val="20"/>
          <w:lang w:val="en-NZ"/>
        </w:rPr>
        <w:tab/>
      </w:r>
      <w:r w:rsidR="00FA45C2">
        <w:rPr>
          <w:rFonts w:cs="Arial"/>
          <w:sz w:val="20"/>
          <w:lang w:val="en-NZ"/>
        </w:rPr>
        <w:t>4</w:t>
      </w:r>
      <w:r w:rsidR="00093050">
        <w:rPr>
          <w:rFonts w:cs="Arial"/>
          <w:sz w:val="20"/>
          <w:lang w:val="en-NZ"/>
        </w:rPr>
        <w:t>8</w:t>
      </w:r>
    </w:p>
    <w:p w:rsidR="00EF3364" w:rsidRPr="0008073A" w:rsidRDefault="00EF3364" w:rsidP="007329A6">
      <w:pPr>
        <w:tabs>
          <w:tab w:val="left" w:pos="1170"/>
          <w:tab w:val="right" w:pos="8460"/>
          <w:tab w:val="right" w:pos="8910"/>
        </w:tabs>
        <w:spacing w:after="80"/>
        <w:ind w:left="1170" w:hanging="1170"/>
        <w:rPr>
          <w:rFonts w:cs="Arial"/>
          <w:sz w:val="20"/>
          <w:lang w:val="en-NZ"/>
        </w:rPr>
      </w:pPr>
      <w:r w:rsidRPr="0008073A">
        <w:rPr>
          <w:rFonts w:cs="Arial"/>
          <w:sz w:val="20"/>
          <w:lang w:val="en-NZ"/>
        </w:rPr>
        <w:t>Table B.6</w:t>
      </w:r>
      <w:r w:rsidRPr="0008073A">
        <w:rPr>
          <w:rFonts w:cs="Arial"/>
          <w:sz w:val="20"/>
          <w:lang w:val="en-NZ"/>
        </w:rPr>
        <w:tab/>
        <w:t>Composition of income quintiles (</w:t>
      </w:r>
      <w:smartTag w:uri="urn:schemas-microsoft-com:office:smarttags" w:element="stockticker">
        <w:r w:rsidRPr="0008073A">
          <w:rPr>
            <w:rFonts w:cs="Arial"/>
            <w:sz w:val="20"/>
            <w:lang w:val="en-NZ"/>
          </w:rPr>
          <w:t>BHC</w:t>
        </w:r>
      </w:smartTag>
      <w:r w:rsidRPr="0008073A">
        <w:rPr>
          <w:rFonts w:cs="Arial"/>
          <w:sz w:val="20"/>
          <w:lang w:val="en-NZ"/>
        </w:rPr>
        <w:t>) by various household and individual characteristics (%)</w:t>
      </w:r>
      <w:r w:rsidR="00EE059E">
        <w:rPr>
          <w:rFonts w:cs="Arial"/>
          <w:sz w:val="20"/>
          <w:lang w:val="en-NZ"/>
        </w:rPr>
        <w:t>,</w:t>
      </w:r>
      <w:r w:rsidR="00D44402">
        <w:rPr>
          <w:rFonts w:cs="Arial"/>
          <w:sz w:val="20"/>
          <w:lang w:val="en-NZ"/>
        </w:rPr>
        <w:t>2010</w:t>
      </w:r>
      <w:r w:rsidR="00EE059E">
        <w:rPr>
          <w:rFonts w:cs="Arial"/>
          <w:sz w:val="20"/>
          <w:lang w:val="en-NZ"/>
        </w:rPr>
        <w:tab/>
        <w:t>..</w:t>
      </w:r>
      <w:r>
        <w:rPr>
          <w:rFonts w:cs="Arial"/>
          <w:sz w:val="20"/>
          <w:lang w:val="en-NZ"/>
        </w:rPr>
        <w:t>……………………………………………………………….</w:t>
      </w:r>
      <w:r>
        <w:rPr>
          <w:rFonts w:cs="Arial"/>
          <w:sz w:val="20"/>
          <w:lang w:val="en-NZ"/>
        </w:rPr>
        <w:tab/>
      </w:r>
      <w:r w:rsidR="00FA45C2">
        <w:rPr>
          <w:rFonts w:cs="Arial"/>
          <w:sz w:val="20"/>
          <w:lang w:val="en-NZ"/>
        </w:rPr>
        <w:t>4</w:t>
      </w:r>
      <w:r w:rsidR="00093050">
        <w:rPr>
          <w:rFonts w:cs="Arial"/>
          <w:sz w:val="20"/>
          <w:lang w:val="en-NZ"/>
        </w:rPr>
        <w:t>9</w:t>
      </w:r>
    </w:p>
    <w:p w:rsidR="00EF3364" w:rsidRPr="0008073A" w:rsidRDefault="00EF3364" w:rsidP="007329A6">
      <w:pPr>
        <w:tabs>
          <w:tab w:val="left" w:pos="1170"/>
          <w:tab w:val="right" w:pos="8460"/>
          <w:tab w:val="right" w:pos="8910"/>
        </w:tabs>
        <w:spacing w:after="80"/>
        <w:ind w:left="1170" w:hanging="1170"/>
        <w:rPr>
          <w:rFonts w:cs="Arial"/>
          <w:sz w:val="20"/>
          <w:lang w:val="en-NZ"/>
        </w:rPr>
      </w:pPr>
      <w:r w:rsidRPr="0008073A">
        <w:rPr>
          <w:rFonts w:cs="Arial"/>
          <w:sz w:val="20"/>
          <w:lang w:val="en-NZ"/>
        </w:rPr>
        <w:t>Table B.7</w:t>
      </w:r>
      <w:r>
        <w:rPr>
          <w:rFonts w:cs="Arial"/>
          <w:sz w:val="20"/>
          <w:lang w:val="en-NZ"/>
        </w:rPr>
        <w:tab/>
      </w:r>
      <w:r w:rsidRPr="0008073A">
        <w:rPr>
          <w:rFonts w:cs="Arial"/>
          <w:sz w:val="20"/>
          <w:lang w:val="en-NZ"/>
        </w:rPr>
        <w:t>Distribution of individuals across income quintiles (</w:t>
      </w:r>
      <w:smartTag w:uri="urn:schemas-microsoft-com:office:smarttags" w:element="stockticker">
        <w:r w:rsidRPr="0008073A">
          <w:rPr>
            <w:rFonts w:cs="Arial"/>
            <w:sz w:val="20"/>
            <w:lang w:val="en-NZ"/>
          </w:rPr>
          <w:t>AHC</w:t>
        </w:r>
      </w:smartTag>
      <w:r w:rsidRPr="0008073A">
        <w:rPr>
          <w:rFonts w:cs="Arial"/>
          <w:sz w:val="20"/>
          <w:lang w:val="en-NZ"/>
        </w:rPr>
        <w:t>) by various household and individual characteristics (%)</w:t>
      </w:r>
      <w:r w:rsidR="00EE059E">
        <w:rPr>
          <w:rFonts w:cs="Arial"/>
          <w:sz w:val="20"/>
          <w:lang w:val="en-NZ"/>
        </w:rPr>
        <w:t>,</w:t>
      </w:r>
      <w:r w:rsidR="00E626F0">
        <w:rPr>
          <w:rFonts w:cs="Arial"/>
          <w:sz w:val="20"/>
          <w:lang w:val="en-NZ"/>
        </w:rPr>
        <w:t xml:space="preserve"> </w:t>
      </w:r>
      <w:r w:rsidR="00D44402">
        <w:rPr>
          <w:rFonts w:cs="Arial"/>
          <w:sz w:val="20"/>
          <w:lang w:val="en-NZ"/>
        </w:rPr>
        <w:t>20</w:t>
      </w:r>
      <w:r w:rsidR="00E626F0">
        <w:rPr>
          <w:rFonts w:cs="Arial"/>
          <w:sz w:val="20"/>
          <w:lang w:val="en-NZ"/>
        </w:rPr>
        <w:t>09</w:t>
      </w:r>
      <w:r w:rsidR="00EE059E">
        <w:rPr>
          <w:rFonts w:cs="Arial"/>
          <w:sz w:val="20"/>
          <w:lang w:val="en-NZ"/>
        </w:rPr>
        <w:tab/>
      </w:r>
      <w:r>
        <w:rPr>
          <w:rFonts w:cs="Arial"/>
          <w:sz w:val="20"/>
          <w:lang w:val="en-NZ"/>
        </w:rPr>
        <w:t>…………………………………………………….</w:t>
      </w:r>
      <w:r>
        <w:rPr>
          <w:rFonts w:cs="Arial"/>
          <w:sz w:val="20"/>
          <w:lang w:val="en-NZ"/>
        </w:rPr>
        <w:tab/>
      </w:r>
      <w:r w:rsidR="00093050">
        <w:rPr>
          <w:rFonts w:cs="Arial"/>
          <w:sz w:val="20"/>
          <w:lang w:val="en-NZ"/>
        </w:rPr>
        <w:t>50</w:t>
      </w:r>
    </w:p>
    <w:p w:rsidR="00EF3364" w:rsidRPr="0008073A" w:rsidRDefault="00EF3364" w:rsidP="007329A6">
      <w:pPr>
        <w:tabs>
          <w:tab w:val="left" w:pos="1170"/>
          <w:tab w:val="right" w:pos="8460"/>
          <w:tab w:val="right" w:pos="8910"/>
        </w:tabs>
        <w:spacing w:after="80"/>
        <w:ind w:left="1170" w:hanging="1170"/>
        <w:rPr>
          <w:rFonts w:cs="Arial"/>
          <w:sz w:val="20"/>
          <w:lang w:val="en-NZ"/>
        </w:rPr>
      </w:pPr>
      <w:r w:rsidRPr="0008073A">
        <w:rPr>
          <w:rFonts w:cs="Arial"/>
          <w:sz w:val="20"/>
          <w:lang w:val="en-NZ"/>
        </w:rPr>
        <w:t>Table B.8</w:t>
      </w:r>
      <w:r>
        <w:rPr>
          <w:rFonts w:cs="Arial"/>
          <w:sz w:val="20"/>
          <w:lang w:val="en-NZ"/>
        </w:rPr>
        <w:tab/>
      </w:r>
      <w:r w:rsidRPr="0008073A">
        <w:rPr>
          <w:rFonts w:cs="Arial"/>
          <w:sz w:val="20"/>
          <w:lang w:val="en-NZ"/>
        </w:rPr>
        <w:t>Composition of income quintiles (</w:t>
      </w:r>
      <w:smartTag w:uri="urn:schemas-microsoft-com:office:smarttags" w:element="stockticker">
        <w:r w:rsidRPr="0008073A">
          <w:rPr>
            <w:rFonts w:cs="Arial"/>
            <w:sz w:val="20"/>
            <w:lang w:val="en-NZ"/>
          </w:rPr>
          <w:t>AHC</w:t>
        </w:r>
      </w:smartTag>
      <w:r w:rsidRPr="0008073A">
        <w:rPr>
          <w:rFonts w:cs="Arial"/>
          <w:sz w:val="20"/>
          <w:lang w:val="en-NZ"/>
        </w:rPr>
        <w:t>) by various household and individual characteristics (%)</w:t>
      </w:r>
      <w:r w:rsidR="00EE059E">
        <w:rPr>
          <w:rFonts w:cs="Arial"/>
          <w:sz w:val="20"/>
          <w:lang w:val="en-NZ"/>
        </w:rPr>
        <w:t>,</w:t>
      </w:r>
      <w:r w:rsidR="00E626F0">
        <w:rPr>
          <w:rFonts w:cs="Arial"/>
          <w:sz w:val="20"/>
          <w:lang w:val="en-NZ"/>
        </w:rPr>
        <w:t xml:space="preserve"> </w:t>
      </w:r>
      <w:r w:rsidR="00D44402">
        <w:rPr>
          <w:rFonts w:cs="Arial"/>
          <w:sz w:val="20"/>
          <w:lang w:val="en-NZ"/>
        </w:rPr>
        <w:t>20</w:t>
      </w:r>
      <w:r w:rsidR="00E626F0">
        <w:rPr>
          <w:rFonts w:cs="Arial"/>
          <w:sz w:val="20"/>
          <w:lang w:val="en-NZ"/>
        </w:rPr>
        <w:t>09</w:t>
      </w:r>
      <w:r w:rsidR="00EE059E">
        <w:rPr>
          <w:rFonts w:cs="Arial"/>
          <w:sz w:val="20"/>
          <w:lang w:val="en-NZ"/>
        </w:rPr>
        <w:tab/>
      </w:r>
      <w:r>
        <w:rPr>
          <w:rFonts w:cs="Arial"/>
          <w:sz w:val="20"/>
          <w:lang w:val="en-NZ"/>
        </w:rPr>
        <w:t>……………………………………………………………….</w:t>
      </w:r>
      <w:r>
        <w:rPr>
          <w:rFonts w:cs="Arial"/>
          <w:sz w:val="20"/>
          <w:lang w:val="en-NZ"/>
        </w:rPr>
        <w:tab/>
      </w:r>
      <w:r w:rsidR="00093050">
        <w:rPr>
          <w:rFonts w:cs="Arial"/>
          <w:sz w:val="20"/>
          <w:lang w:val="en-NZ"/>
        </w:rPr>
        <w:t>51</w:t>
      </w:r>
    </w:p>
    <w:p w:rsidR="00EF3364" w:rsidRPr="0008073A" w:rsidRDefault="00EF3364" w:rsidP="007329A6">
      <w:pPr>
        <w:tabs>
          <w:tab w:val="left" w:pos="1170"/>
          <w:tab w:val="right" w:pos="8460"/>
          <w:tab w:val="right" w:pos="8910"/>
        </w:tabs>
        <w:spacing w:after="80"/>
        <w:ind w:left="1170" w:hanging="1170"/>
        <w:rPr>
          <w:rFonts w:cs="Arial"/>
          <w:sz w:val="20"/>
          <w:lang w:val="en-NZ"/>
        </w:rPr>
      </w:pPr>
      <w:r w:rsidRPr="0008073A">
        <w:rPr>
          <w:rFonts w:cs="Arial"/>
          <w:sz w:val="20"/>
          <w:lang w:val="en-NZ"/>
        </w:rPr>
        <w:t>Figure B.</w:t>
      </w:r>
      <w:r w:rsidR="00347442">
        <w:rPr>
          <w:rFonts w:cs="Arial"/>
          <w:sz w:val="20"/>
          <w:lang w:val="en-NZ"/>
        </w:rPr>
        <w:t>4</w:t>
      </w:r>
      <w:r>
        <w:rPr>
          <w:rFonts w:cs="Arial"/>
          <w:sz w:val="20"/>
          <w:lang w:val="en-NZ"/>
        </w:rPr>
        <w:tab/>
      </w:r>
      <w:r w:rsidRPr="0008073A">
        <w:rPr>
          <w:rFonts w:cs="Arial"/>
          <w:sz w:val="20"/>
          <w:lang w:val="en-NZ"/>
        </w:rPr>
        <w:t xml:space="preserve">Shares of total income by deciles: HES </w:t>
      </w:r>
      <w:r w:rsidR="00D44402">
        <w:rPr>
          <w:rFonts w:cs="Arial"/>
          <w:sz w:val="20"/>
          <w:lang w:val="en-NZ"/>
        </w:rPr>
        <w:t>201</w:t>
      </w:r>
      <w:r w:rsidR="00E626F0">
        <w:rPr>
          <w:rFonts w:cs="Arial"/>
          <w:sz w:val="20"/>
          <w:lang w:val="en-NZ"/>
        </w:rPr>
        <w:t>1</w:t>
      </w:r>
      <w:r>
        <w:rPr>
          <w:rFonts w:cs="Arial"/>
          <w:sz w:val="20"/>
          <w:lang w:val="en-NZ"/>
        </w:rPr>
        <w:tab/>
        <w:t>……………………………………….</w:t>
      </w:r>
      <w:r>
        <w:rPr>
          <w:rFonts w:cs="Arial"/>
          <w:sz w:val="20"/>
          <w:lang w:val="en-NZ"/>
        </w:rPr>
        <w:tab/>
      </w:r>
      <w:r w:rsidR="00E626F0">
        <w:rPr>
          <w:rFonts w:cs="Arial"/>
          <w:sz w:val="20"/>
          <w:lang w:val="en-NZ"/>
        </w:rPr>
        <w:t>5</w:t>
      </w:r>
      <w:r w:rsidR="00093050">
        <w:rPr>
          <w:rFonts w:cs="Arial"/>
          <w:sz w:val="20"/>
          <w:lang w:val="en-NZ"/>
        </w:rPr>
        <w:t>2</w:t>
      </w:r>
    </w:p>
    <w:p w:rsidR="00EF3364" w:rsidRPr="0008073A" w:rsidRDefault="00EF3364" w:rsidP="007329A6">
      <w:pPr>
        <w:tabs>
          <w:tab w:val="left" w:pos="1170"/>
          <w:tab w:val="right" w:pos="8460"/>
          <w:tab w:val="right" w:pos="8910"/>
        </w:tabs>
        <w:spacing w:after="80"/>
        <w:ind w:left="1170" w:hanging="1170"/>
        <w:rPr>
          <w:rFonts w:cs="Arial"/>
          <w:sz w:val="20"/>
          <w:lang w:val="en-NZ"/>
        </w:rPr>
      </w:pPr>
      <w:r w:rsidRPr="0008073A">
        <w:rPr>
          <w:rFonts w:cs="Arial"/>
          <w:sz w:val="20"/>
          <w:lang w:val="en-NZ"/>
        </w:rPr>
        <w:t>Table B.9</w:t>
      </w:r>
      <w:r>
        <w:rPr>
          <w:rFonts w:cs="Arial"/>
          <w:sz w:val="20"/>
          <w:lang w:val="en-NZ"/>
        </w:rPr>
        <w:tab/>
      </w:r>
      <w:r w:rsidRPr="0008073A">
        <w:rPr>
          <w:rFonts w:cs="Arial"/>
          <w:sz w:val="20"/>
          <w:lang w:val="en-NZ"/>
        </w:rPr>
        <w:t xml:space="preserve">Shares of total income by quintiles of equivalised disposable household income: international comparisons for c </w:t>
      </w:r>
      <w:r w:rsidR="00E626F0">
        <w:rPr>
          <w:rFonts w:cs="Arial"/>
          <w:sz w:val="20"/>
          <w:lang w:val="en-NZ"/>
        </w:rPr>
        <w:t>2008</w:t>
      </w:r>
      <w:r w:rsidR="00E626F0" w:rsidRPr="0008073A">
        <w:rPr>
          <w:rFonts w:cs="Arial"/>
          <w:sz w:val="20"/>
        </w:rPr>
        <w:t>–</w:t>
      </w:r>
      <w:r w:rsidR="00E626F0">
        <w:rPr>
          <w:rFonts w:cs="Arial"/>
          <w:sz w:val="20"/>
          <w:lang w:val="en-NZ"/>
        </w:rPr>
        <w:t>2009</w:t>
      </w:r>
      <w:r w:rsidRPr="0008073A">
        <w:rPr>
          <w:rFonts w:cs="Arial"/>
          <w:sz w:val="20"/>
          <w:lang w:val="en-NZ"/>
        </w:rPr>
        <w:t xml:space="preserve">  </w:t>
      </w:r>
      <w:r>
        <w:rPr>
          <w:rFonts w:cs="Arial"/>
          <w:sz w:val="20"/>
          <w:lang w:val="en-NZ"/>
        </w:rPr>
        <w:tab/>
      </w:r>
      <w:r w:rsidR="00E626F0">
        <w:rPr>
          <w:rFonts w:cs="Arial"/>
          <w:sz w:val="20"/>
          <w:lang w:val="en-NZ"/>
        </w:rPr>
        <w:t>…..</w:t>
      </w:r>
      <w:r>
        <w:rPr>
          <w:rFonts w:cs="Arial"/>
          <w:sz w:val="20"/>
          <w:lang w:val="en-NZ"/>
        </w:rPr>
        <w:t>……………………………………….</w:t>
      </w:r>
      <w:r>
        <w:rPr>
          <w:rFonts w:cs="Arial"/>
          <w:sz w:val="20"/>
          <w:lang w:val="en-NZ"/>
        </w:rPr>
        <w:tab/>
      </w:r>
      <w:r w:rsidR="00E626F0">
        <w:rPr>
          <w:rFonts w:cs="Arial"/>
          <w:sz w:val="20"/>
          <w:lang w:val="en-NZ"/>
        </w:rPr>
        <w:t>5</w:t>
      </w:r>
      <w:r w:rsidR="00093050">
        <w:rPr>
          <w:rFonts w:cs="Arial"/>
          <w:sz w:val="20"/>
          <w:lang w:val="en-NZ"/>
        </w:rPr>
        <w:t>2</w:t>
      </w:r>
    </w:p>
    <w:p w:rsidR="00093548" w:rsidRDefault="00EF3364" w:rsidP="00093548">
      <w:pPr>
        <w:tabs>
          <w:tab w:val="left" w:pos="1170"/>
          <w:tab w:val="right" w:pos="8460"/>
          <w:tab w:val="right" w:pos="8910"/>
        </w:tabs>
        <w:spacing w:after="80"/>
        <w:ind w:left="1170" w:hanging="1170"/>
        <w:rPr>
          <w:rFonts w:cs="Arial"/>
          <w:sz w:val="20"/>
          <w:lang w:val="en-NZ"/>
        </w:rPr>
      </w:pPr>
      <w:r w:rsidRPr="0008073A">
        <w:rPr>
          <w:rFonts w:cs="Arial"/>
          <w:sz w:val="20"/>
          <w:lang w:val="en-NZ"/>
        </w:rPr>
        <w:t>Figure B.</w:t>
      </w:r>
      <w:r w:rsidR="00347442">
        <w:rPr>
          <w:rFonts w:cs="Arial"/>
          <w:sz w:val="20"/>
          <w:lang w:val="en-NZ"/>
        </w:rPr>
        <w:t>5</w:t>
      </w:r>
      <w:r>
        <w:rPr>
          <w:rFonts w:cs="Arial"/>
          <w:sz w:val="20"/>
          <w:lang w:val="en-NZ"/>
        </w:rPr>
        <w:tab/>
      </w:r>
      <w:r w:rsidRPr="0008073A">
        <w:rPr>
          <w:rFonts w:cs="Arial"/>
          <w:sz w:val="20"/>
          <w:lang w:val="en-NZ"/>
        </w:rPr>
        <w:t xml:space="preserve">Income tax less government cash transfers: HES </w:t>
      </w:r>
      <w:r w:rsidR="00D44402">
        <w:rPr>
          <w:rFonts w:cs="Arial"/>
          <w:sz w:val="20"/>
          <w:lang w:val="en-NZ"/>
        </w:rPr>
        <w:t>2010</w:t>
      </w:r>
      <w:r>
        <w:rPr>
          <w:rFonts w:cs="Arial"/>
          <w:sz w:val="20"/>
          <w:lang w:val="en-NZ"/>
        </w:rPr>
        <w:tab/>
        <w:t>……………………………..</w:t>
      </w:r>
      <w:r>
        <w:rPr>
          <w:rFonts w:cs="Arial"/>
          <w:sz w:val="20"/>
          <w:lang w:val="en-NZ"/>
        </w:rPr>
        <w:tab/>
      </w:r>
      <w:r w:rsidR="00E626F0">
        <w:rPr>
          <w:rFonts w:cs="Arial"/>
          <w:sz w:val="20"/>
          <w:lang w:val="en-NZ"/>
        </w:rPr>
        <w:t>5</w:t>
      </w:r>
      <w:r w:rsidR="00093050">
        <w:rPr>
          <w:rFonts w:cs="Arial"/>
          <w:sz w:val="20"/>
          <w:lang w:val="en-NZ"/>
        </w:rPr>
        <w:t>3</w:t>
      </w:r>
    </w:p>
    <w:p w:rsidR="00093548" w:rsidRDefault="00FA44A1" w:rsidP="00093548">
      <w:pPr>
        <w:tabs>
          <w:tab w:val="left" w:pos="1170"/>
          <w:tab w:val="right" w:pos="8460"/>
          <w:tab w:val="right" w:pos="8910"/>
        </w:tabs>
        <w:ind w:left="1168" w:hanging="1168"/>
        <w:rPr>
          <w:sz w:val="20"/>
          <w:lang w:val="en-NZ"/>
        </w:rPr>
      </w:pPr>
      <w:r>
        <w:rPr>
          <w:rFonts w:cs="Arial"/>
          <w:sz w:val="20"/>
          <w:lang w:val="en-NZ"/>
        </w:rPr>
        <w:t>Figure B.6</w:t>
      </w:r>
      <w:r>
        <w:rPr>
          <w:rFonts w:cs="Arial"/>
          <w:sz w:val="20"/>
          <w:lang w:val="en-NZ"/>
        </w:rPr>
        <w:tab/>
      </w:r>
      <w:r w:rsidR="00093548" w:rsidRPr="00093548">
        <w:rPr>
          <w:sz w:val="20"/>
          <w:lang w:val="en-NZ"/>
        </w:rPr>
        <w:t xml:space="preserve">Gini scores (x100) for market and disposable household income, </w:t>
      </w:r>
    </w:p>
    <w:p w:rsidR="00FA44A1" w:rsidRPr="0008073A" w:rsidRDefault="00093548" w:rsidP="00093548">
      <w:pPr>
        <w:tabs>
          <w:tab w:val="left" w:pos="1170"/>
          <w:tab w:val="right" w:pos="8460"/>
          <w:tab w:val="right" w:pos="8910"/>
        </w:tabs>
        <w:spacing w:after="80"/>
        <w:ind w:left="1170" w:hanging="1170"/>
        <w:rPr>
          <w:rFonts w:cs="Arial"/>
          <w:sz w:val="20"/>
          <w:lang w:val="en-NZ"/>
        </w:rPr>
      </w:pPr>
      <w:r>
        <w:rPr>
          <w:sz w:val="20"/>
          <w:lang w:val="en-NZ"/>
        </w:rPr>
        <w:tab/>
      </w:r>
      <w:r w:rsidRPr="00093548">
        <w:rPr>
          <w:sz w:val="20"/>
          <w:lang w:val="en-NZ"/>
        </w:rPr>
        <w:t>1986 to 2011 (18-64 yrs)</w:t>
      </w:r>
      <w:r>
        <w:rPr>
          <w:rFonts w:cs="Arial"/>
          <w:sz w:val="20"/>
          <w:lang w:val="en-NZ"/>
        </w:rPr>
        <w:tab/>
        <w:t>…………………………………………………….</w:t>
      </w:r>
      <w:r w:rsidR="00FA44A1">
        <w:rPr>
          <w:rFonts w:cs="Arial"/>
          <w:sz w:val="20"/>
          <w:lang w:val="en-NZ"/>
        </w:rPr>
        <w:t>………….</w:t>
      </w:r>
      <w:r w:rsidR="00FA44A1">
        <w:rPr>
          <w:rFonts w:cs="Arial"/>
          <w:sz w:val="20"/>
          <w:lang w:val="en-NZ"/>
        </w:rPr>
        <w:tab/>
        <w:t>54</w:t>
      </w:r>
    </w:p>
    <w:p w:rsidR="00093548" w:rsidRDefault="00093548" w:rsidP="00093548">
      <w:pPr>
        <w:tabs>
          <w:tab w:val="left" w:pos="1170"/>
          <w:tab w:val="right" w:pos="8460"/>
          <w:tab w:val="right" w:pos="8910"/>
        </w:tabs>
        <w:ind w:left="1168" w:hanging="1168"/>
        <w:rPr>
          <w:sz w:val="20"/>
          <w:lang w:val="en-NZ"/>
        </w:rPr>
      </w:pPr>
      <w:r>
        <w:rPr>
          <w:rFonts w:cs="Arial"/>
          <w:sz w:val="20"/>
        </w:rPr>
        <w:t>Table B.10</w:t>
      </w:r>
      <w:r>
        <w:rPr>
          <w:rFonts w:cs="Arial"/>
          <w:sz w:val="20"/>
        </w:rPr>
        <w:tab/>
      </w:r>
      <w:r w:rsidRPr="00093548">
        <w:rPr>
          <w:sz w:val="20"/>
          <w:lang w:val="en-NZ"/>
        </w:rPr>
        <w:t xml:space="preserve">Gini scores (x100) for market and disposable household income, </w:t>
      </w:r>
    </w:p>
    <w:p w:rsidR="00093548" w:rsidRPr="00093548" w:rsidRDefault="00093548" w:rsidP="00093548">
      <w:pPr>
        <w:tabs>
          <w:tab w:val="left" w:pos="1170"/>
          <w:tab w:val="right" w:pos="8460"/>
          <w:tab w:val="right" w:pos="8910"/>
        </w:tabs>
        <w:spacing w:after="80"/>
        <w:ind w:left="1170" w:hanging="1170"/>
        <w:rPr>
          <w:rFonts w:cs="Arial"/>
          <w:sz w:val="20"/>
          <w:lang w:val="en-NZ"/>
        </w:rPr>
      </w:pPr>
      <w:r>
        <w:rPr>
          <w:sz w:val="20"/>
          <w:lang w:val="en-NZ"/>
        </w:rPr>
        <w:tab/>
      </w:r>
      <w:r w:rsidRPr="00093548">
        <w:rPr>
          <w:sz w:val="20"/>
          <w:lang w:val="en-NZ"/>
        </w:rPr>
        <w:t>1986 to 2011 (18-64 yrs)</w:t>
      </w:r>
      <w:r>
        <w:rPr>
          <w:rFonts w:cs="Arial"/>
          <w:sz w:val="20"/>
          <w:lang w:val="en-NZ"/>
        </w:rPr>
        <w:tab/>
        <w:t>…………………………………………………….………….</w:t>
      </w:r>
      <w:r>
        <w:rPr>
          <w:rFonts w:cs="Arial"/>
          <w:sz w:val="20"/>
          <w:lang w:val="en-NZ"/>
        </w:rPr>
        <w:tab/>
        <w:t>54</w:t>
      </w:r>
    </w:p>
    <w:p w:rsidR="00EF3364" w:rsidRPr="0008073A" w:rsidRDefault="00EF3364" w:rsidP="008624B7">
      <w:pPr>
        <w:tabs>
          <w:tab w:val="left" w:pos="1170"/>
          <w:tab w:val="right" w:pos="8460"/>
          <w:tab w:val="right" w:pos="8910"/>
        </w:tabs>
        <w:ind w:left="1170" w:hanging="1170"/>
        <w:jc w:val="both"/>
        <w:rPr>
          <w:rFonts w:cs="Arial"/>
          <w:sz w:val="20"/>
        </w:rPr>
      </w:pPr>
      <w:r w:rsidRPr="0008073A">
        <w:rPr>
          <w:rFonts w:cs="Arial"/>
          <w:sz w:val="20"/>
        </w:rPr>
        <w:t>Figure B.</w:t>
      </w:r>
      <w:r w:rsidR="00FA44A1">
        <w:rPr>
          <w:rFonts w:cs="Arial"/>
          <w:sz w:val="20"/>
        </w:rPr>
        <w:t>7</w:t>
      </w:r>
      <w:r>
        <w:rPr>
          <w:rFonts w:cs="Arial"/>
          <w:sz w:val="20"/>
        </w:rPr>
        <w:tab/>
      </w:r>
      <w:r w:rsidRPr="0008073A">
        <w:rPr>
          <w:rFonts w:cs="Arial"/>
          <w:sz w:val="20"/>
        </w:rPr>
        <w:t>The re</w:t>
      </w:r>
      <w:r w:rsidR="009358FC">
        <w:rPr>
          <w:rFonts w:cs="Arial"/>
          <w:sz w:val="20"/>
        </w:rPr>
        <w:t xml:space="preserve">distribution of market income: </w:t>
      </w:r>
      <w:r w:rsidRPr="0008073A">
        <w:rPr>
          <w:rFonts w:cs="Arial"/>
          <w:sz w:val="20"/>
        </w:rPr>
        <w:t>HES 1998</w:t>
      </w:r>
      <w:r>
        <w:rPr>
          <w:rFonts w:cs="Arial"/>
          <w:sz w:val="20"/>
        </w:rPr>
        <w:tab/>
        <w:t>……………………………………</w:t>
      </w:r>
      <w:r>
        <w:rPr>
          <w:rFonts w:cs="Arial"/>
          <w:sz w:val="20"/>
        </w:rPr>
        <w:tab/>
      </w:r>
      <w:r w:rsidR="00E626F0">
        <w:rPr>
          <w:rFonts w:cs="Arial"/>
          <w:sz w:val="20"/>
        </w:rPr>
        <w:t>5</w:t>
      </w:r>
      <w:r w:rsidR="00FA44A1">
        <w:rPr>
          <w:rFonts w:cs="Arial"/>
          <w:sz w:val="20"/>
        </w:rPr>
        <w:t>5</w:t>
      </w:r>
    </w:p>
    <w:p w:rsidR="00EF3364" w:rsidRDefault="00EF3364" w:rsidP="008624B7">
      <w:pPr>
        <w:tabs>
          <w:tab w:val="left" w:pos="1170"/>
          <w:tab w:val="right" w:pos="8460"/>
          <w:tab w:val="right" w:pos="8910"/>
        </w:tabs>
        <w:ind w:left="1170" w:hanging="1170"/>
        <w:jc w:val="both"/>
        <w:rPr>
          <w:rFonts w:cs="Arial"/>
          <w:sz w:val="20"/>
        </w:rPr>
      </w:pPr>
    </w:p>
    <w:p w:rsidR="00EE059E" w:rsidRDefault="00A470A1" w:rsidP="00EE059E">
      <w:pPr>
        <w:tabs>
          <w:tab w:val="left" w:pos="1170"/>
          <w:tab w:val="left" w:pos="1440"/>
        </w:tabs>
        <w:ind w:left="1440" w:hanging="1440"/>
        <w:rPr>
          <w:b/>
          <w:szCs w:val="22"/>
        </w:rPr>
      </w:pPr>
      <w:r w:rsidRPr="0097726E">
        <w:rPr>
          <w:b/>
          <w:szCs w:val="22"/>
        </w:rPr>
        <w:t>Section C</w:t>
      </w:r>
      <w:r w:rsidRPr="0097726E">
        <w:rPr>
          <w:b/>
          <w:szCs w:val="22"/>
        </w:rPr>
        <w:tab/>
      </w:r>
      <w:r w:rsidR="00EE059E">
        <w:rPr>
          <w:b/>
          <w:szCs w:val="22"/>
        </w:rPr>
        <w:t xml:space="preserve">Trends in key labour market, demographic and social assistance </w:t>
      </w:r>
    </w:p>
    <w:p w:rsidR="00A470A1" w:rsidRPr="0097726E" w:rsidRDefault="00EE059E" w:rsidP="00A470A1">
      <w:pPr>
        <w:tabs>
          <w:tab w:val="left" w:pos="1170"/>
          <w:tab w:val="left" w:pos="1440"/>
        </w:tabs>
        <w:spacing w:after="80"/>
        <w:ind w:left="1440" w:hanging="1440"/>
        <w:rPr>
          <w:rFonts w:cs="Arial"/>
          <w:szCs w:val="22"/>
        </w:rPr>
      </w:pPr>
      <w:r>
        <w:rPr>
          <w:b/>
          <w:szCs w:val="22"/>
        </w:rPr>
        <w:tab/>
        <w:t>variables</w:t>
      </w:r>
    </w:p>
    <w:p w:rsidR="008037FC" w:rsidRPr="0008073A" w:rsidRDefault="008037FC" w:rsidP="008037FC">
      <w:pPr>
        <w:tabs>
          <w:tab w:val="left" w:pos="1170"/>
          <w:tab w:val="right" w:pos="8460"/>
          <w:tab w:val="right" w:pos="8910"/>
        </w:tabs>
        <w:spacing w:after="80"/>
        <w:ind w:left="1166" w:hanging="1166"/>
        <w:rPr>
          <w:rFonts w:cs="Arial"/>
          <w:sz w:val="20"/>
          <w:lang w:val="en-NZ"/>
        </w:rPr>
      </w:pPr>
      <w:r w:rsidRPr="0008073A">
        <w:rPr>
          <w:rFonts w:cs="Arial"/>
          <w:sz w:val="20"/>
          <w:lang w:val="en-NZ"/>
        </w:rPr>
        <w:t>Figure C.</w:t>
      </w:r>
      <w:r>
        <w:rPr>
          <w:rFonts w:cs="Arial"/>
          <w:sz w:val="20"/>
          <w:lang w:val="en-NZ"/>
        </w:rPr>
        <w:t>1</w:t>
      </w:r>
      <w:r>
        <w:rPr>
          <w:rFonts w:cs="Arial"/>
          <w:sz w:val="20"/>
          <w:lang w:val="en-NZ"/>
        </w:rPr>
        <w:tab/>
      </w:r>
      <w:r w:rsidRPr="0008073A">
        <w:rPr>
          <w:rFonts w:cs="Arial"/>
          <w:sz w:val="20"/>
          <w:lang w:val="en-NZ"/>
        </w:rPr>
        <w:t xml:space="preserve">Real </w:t>
      </w:r>
      <w:smartTag w:uri="urn:schemas-microsoft-com:office:smarttags" w:element="stockticker">
        <w:r w:rsidRPr="0008073A">
          <w:rPr>
            <w:rFonts w:cs="Arial"/>
            <w:sz w:val="20"/>
            <w:lang w:val="en-NZ"/>
          </w:rPr>
          <w:t>GDP</w:t>
        </w:r>
      </w:smartTag>
      <w:r w:rsidRPr="0008073A">
        <w:rPr>
          <w:rFonts w:cs="Arial"/>
          <w:sz w:val="20"/>
          <w:lang w:val="en-NZ"/>
        </w:rPr>
        <w:t xml:space="preserve"> annual changes and unemployment rates, 19</w:t>
      </w:r>
      <w:r w:rsidR="00FA45C2">
        <w:rPr>
          <w:rFonts w:cs="Arial"/>
          <w:sz w:val="20"/>
          <w:lang w:val="en-NZ"/>
        </w:rPr>
        <w:t>90</w:t>
      </w:r>
      <w:r w:rsidRPr="0008073A">
        <w:rPr>
          <w:rFonts w:cs="Arial"/>
          <w:sz w:val="20"/>
          <w:lang w:val="en-NZ"/>
        </w:rPr>
        <w:t xml:space="preserve"> to 20</w:t>
      </w:r>
      <w:r w:rsidR="00FA45C2">
        <w:rPr>
          <w:rFonts w:cs="Arial"/>
          <w:sz w:val="20"/>
          <w:lang w:val="en-NZ"/>
        </w:rPr>
        <w:t>1</w:t>
      </w:r>
      <w:r w:rsidR="00D52D4A">
        <w:rPr>
          <w:rFonts w:cs="Arial"/>
          <w:sz w:val="20"/>
          <w:lang w:val="en-NZ"/>
        </w:rPr>
        <w:t>1</w:t>
      </w:r>
      <w:r>
        <w:rPr>
          <w:rFonts w:cs="Arial"/>
          <w:sz w:val="20"/>
          <w:lang w:val="en-NZ"/>
        </w:rPr>
        <w:tab/>
      </w:r>
      <w:r w:rsidR="00FA45C2">
        <w:rPr>
          <w:rFonts w:cs="Arial"/>
          <w:sz w:val="20"/>
          <w:lang w:val="en-NZ"/>
        </w:rPr>
        <w:t>…………..</w:t>
      </w:r>
      <w:r>
        <w:rPr>
          <w:rFonts w:cs="Arial"/>
          <w:sz w:val="20"/>
          <w:lang w:val="en-NZ"/>
        </w:rPr>
        <w:t>…..</w:t>
      </w:r>
      <w:r>
        <w:rPr>
          <w:rFonts w:cs="Arial"/>
          <w:sz w:val="20"/>
          <w:lang w:val="en-NZ"/>
        </w:rPr>
        <w:tab/>
      </w:r>
      <w:r w:rsidR="00D52D4A">
        <w:rPr>
          <w:rFonts w:cs="Arial"/>
          <w:sz w:val="20"/>
          <w:lang w:val="en-NZ"/>
        </w:rPr>
        <w:t>5</w:t>
      </w:r>
      <w:r w:rsidR="00093548">
        <w:rPr>
          <w:rFonts w:cs="Arial"/>
          <w:sz w:val="20"/>
          <w:lang w:val="en-NZ"/>
        </w:rPr>
        <w:t>8</w:t>
      </w:r>
    </w:p>
    <w:p w:rsidR="00D21BA8" w:rsidRDefault="00D21BA8" w:rsidP="00A470A1">
      <w:pPr>
        <w:tabs>
          <w:tab w:val="left" w:pos="1170"/>
          <w:tab w:val="right" w:pos="8460"/>
          <w:tab w:val="right" w:pos="8910"/>
        </w:tabs>
        <w:spacing w:after="80"/>
        <w:ind w:left="1166" w:hanging="1166"/>
        <w:rPr>
          <w:rFonts w:cs="Arial"/>
          <w:sz w:val="20"/>
          <w:lang w:val="en-NZ"/>
        </w:rPr>
      </w:pPr>
      <w:r>
        <w:rPr>
          <w:rFonts w:cs="Arial"/>
          <w:sz w:val="20"/>
          <w:lang w:val="en-NZ"/>
        </w:rPr>
        <w:t>Figure C.</w:t>
      </w:r>
      <w:r w:rsidR="008037FC">
        <w:rPr>
          <w:rFonts w:cs="Arial"/>
          <w:sz w:val="20"/>
          <w:lang w:val="en-NZ"/>
        </w:rPr>
        <w:t>2</w:t>
      </w:r>
      <w:r>
        <w:rPr>
          <w:rFonts w:cs="Arial"/>
          <w:sz w:val="20"/>
          <w:lang w:val="en-NZ"/>
        </w:rPr>
        <w:tab/>
        <w:t>Employment rate for those aged 15</w:t>
      </w:r>
      <w:r w:rsidR="009358FC">
        <w:rPr>
          <w:rFonts w:cs="Arial"/>
          <w:sz w:val="20"/>
          <w:lang w:val="en-NZ"/>
        </w:rPr>
        <w:t>-</w:t>
      </w:r>
      <w:r>
        <w:rPr>
          <w:rFonts w:cs="Arial"/>
          <w:sz w:val="20"/>
          <w:lang w:val="en-NZ"/>
        </w:rPr>
        <w:t>64, 1988 to 20</w:t>
      </w:r>
      <w:r w:rsidR="00FA45C2">
        <w:rPr>
          <w:rFonts w:cs="Arial"/>
          <w:sz w:val="20"/>
          <w:lang w:val="en-NZ"/>
        </w:rPr>
        <w:t>10</w:t>
      </w:r>
      <w:r>
        <w:rPr>
          <w:rFonts w:cs="Arial"/>
          <w:sz w:val="20"/>
          <w:lang w:val="en-NZ"/>
        </w:rPr>
        <w:tab/>
        <w:t>………………………….…..</w:t>
      </w:r>
      <w:r>
        <w:rPr>
          <w:rFonts w:cs="Arial"/>
          <w:sz w:val="20"/>
          <w:lang w:val="en-NZ"/>
        </w:rPr>
        <w:tab/>
      </w:r>
      <w:r w:rsidR="00093548">
        <w:rPr>
          <w:rFonts w:cs="Arial"/>
          <w:sz w:val="20"/>
          <w:lang w:val="en-NZ"/>
        </w:rPr>
        <w:t>58</w:t>
      </w:r>
    </w:p>
    <w:p w:rsidR="008037FC" w:rsidRDefault="008037FC" w:rsidP="008037FC">
      <w:pPr>
        <w:tabs>
          <w:tab w:val="left" w:pos="1170"/>
          <w:tab w:val="right" w:pos="8460"/>
          <w:tab w:val="right" w:pos="8910"/>
        </w:tabs>
        <w:spacing w:after="80"/>
        <w:ind w:left="1166" w:hanging="1166"/>
        <w:rPr>
          <w:rFonts w:cs="Arial"/>
          <w:sz w:val="20"/>
          <w:lang w:val="en-NZ"/>
        </w:rPr>
      </w:pPr>
      <w:r>
        <w:rPr>
          <w:rFonts w:cs="Arial"/>
          <w:sz w:val="20"/>
          <w:lang w:val="en-NZ"/>
        </w:rPr>
        <w:t>Figure C.3</w:t>
      </w:r>
      <w:r>
        <w:rPr>
          <w:rFonts w:cs="Arial"/>
          <w:sz w:val="20"/>
          <w:lang w:val="en-NZ"/>
        </w:rPr>
        <w:tab/>
        <w:t>Net average ord</w:t>
      </w:r>
      <w:r w:rsidR="00A57E06">
        <w:rPr>
          <w:rFonts w:cs="Arial"/>
          <w:sz w:val="20"/>
          <w:lang w:val="en-NZ"/>
        </w:rPr>
        <w:t xml:space="preserve">inary time weekly earnings ($Dec </w:t>
      </w:r>
      <w:r w:rsidR="00FA45C2">
        <w:rPr>
          <w:rFonts w:cs="Arial"/>
          <w:sz w:val="20"/>
          <w:lang w:val="en-NZ"/>
        </w:rPr>
        <w:t>10</w:t>
      </w:r>
      <w:r>
        <w:rPr>
          <w:rFonts w:cs="Arial"/>
          <w:sz w:val="20"/>
          <w:lang w:val="en-NZ"/>
        </w:rPr>
        <w:t>)</w:t>
      </w:r>
      <w:r w:rsidR="00FA45C2">
        <w:rPr>
          <w:rFonts w:cs="Arial"/>
          <w:sz w:val="20"/>
          <w:lang w:val="en-NZ"/>
        </w:rPr>
        <w:tab/>
        <w:t>…….</w:t>
      </w:r>
      <w:r>
        <w:rPr>
          <w:rFonts w:cs="Arial"/>
          <w:sz w:val="20"/>
          <w:lang w:val="en-NZ"/>
        </w:rPr>
        <w:t>…………………….…..</w:t>
      </w:r>
      <w:r>
        <w:rPr>
          <w:rFonts w:cs="Arial"/>
          <w:sz w:val="20"/>
          <w:lang w:val="en-NZ"/>
        </w:rPr>
        <w:tab/>
      </w:r>
      <w:r w:rsidR="00093548">
        <w:rPr>
          <w:rFonts w:cs="Arial"/>
          <w:sz w:val="20"/>
          <w:lang w:val="en-NZ"/>
        </w:rPr>
        <w:t>58</w:t>
      </w:r>
    </w:p>
    <w:p w:rsidR="00D21BA8" w:rsidRDefault="00D21BA8" w:rsidP="00A57E06">
      <w:pPr>
        <w:tabs>
          <w:tab w:val="left" w:pos="1170"/>
          <w:tab w:val="right" w:pos="8460"/>
          <w:tab w:val="right" w:pos="8910"/>
        </w:tabs>
        <w:spacing w:after="80"/>
        <w:ind w:left="1166" w:hanging="1166"/>
        <w:rPr>
          <w:rFonts w:cs="Arial"/>
          <w:sz w:val="20"/>
          <w:lang w:val="en-NZ"/>
        </w:rPr>
      </w:pPr>
      <w:r>
        <w:rPr>
          <w:rFonts w:cs="Arial"/>
          <w:sz w:val="20"/>
          <w:lang w:val="en-NZ"/>
        </w:rPr>
        <w:t>Figure C.</w:t>
      </w:r>
      <w:r w:rsidR="008037FC">
        <w:rPr>
          <w:rFonts w:cs="Arial"/>
          <w:sz w:val="20"/>
          <w:lang w:val="en-NZ"/>
        </w:rPr>
        <w:t>4</w:t>
      </w:r>
      <w:r>
        <w:rPr>
          <w:rFonts w:cs="Arial"/>
          <w:sz w:val="20"/>
          <w:lang w:val="en-NZ"/>
        </w:rPr>
        <w:tab/>
        <w:t xml:space="preserve">Proportion of </w:t>
      </w:r>
      <w:r w:rsidR="00A57E06">
        <w:rPr>
          <w:rFonts w:cs="Arial"/>
          <w:sz w:val="20"/>
          <w:lang w:val="en-NZ"/>
        </w:rPr>
        <w:t>2</w:t>
      </w:r>
      <w:r w:rsidR="00FA45C2">
        <w:rPr>
          <w:rFonts w:cs="Arial"/>
          <w:sz w:val="20"/>
          <w:lang w:val="en-NZ"/>
        </w:rPr>
        <w:t>P</w:t>
      </w:r>
      <w:r w:rsidR="00A57E06">
        <w:rPr>
          <w:rFonts w:cs="Arial"/>
          <w:sz w:val="20"/>
          <w:lang w:val="en-NZ"/>
        </w:rPr>
        <w:t xml:space="preserve"> HHs</w:t>
      </w:r>
      <w:r>
        <w:rPr>
          <w:rFonts w:cs="Arial"/>
          <w:sz w:val="20"/>
          <w:lang w:val="en-NZ"/>
        </w:rPr>
        <w:t xml:space="preserve"> by hours of paid employment </w:t>
      </w:r>
      <w:r w:rsidR="00A57E06">
        <w:rPr>
          <w:rFonts w:cs="Arial"/>
          <w:sz w:val="20"/>
          <w:lang w:val="en-NZ"/>
        </w:rPr>
        <w:t xml:space="preserve">(where at least one is FT) </w:t>
      </w:r>
      <w:r w:rsidR="00FA45C2">
        <w:rPr>
          <w:rFonts w:cs="Arial"/>
          <w:sz w:val="20"/>
        </w:rPr>
        <w:tab/>
        <w:t>……</w:t>
      </w:r>
      <w:r w:rsidR="00FA45C2">
        <w:rPr>
          <w:rFonts w:cs="Arial"/>
          <w:sz w:val="20"/>
        </w:rPr>
        <w:tab/>
      </w:r>
      <w:r w:rsidR="00093548">
        <w:rPr>
          <w:rFonts w:cs="Arial"/>
          <w:sz w:val="20"/>
        </w:rPr>
        <w:t>53</w:t>
      </w:r>
    </w:p>
    <w:p w:rsidR="001201C0" w:rsidRPr="0008073A" w:rsidRDefault="001201C0" w:rsidP="001201C0">
      <w:pPr>
        <w:tabs>
          <w:tab w:val="left" w:pos="1170"/>
          <w:tab w:val="right" w:pos="8460"/>
          <w:tab w:val="right" w:pos="8910"/>
        </w:tabs>
        <w:spacing w:after="80"/>
        <w:ind w:left="1166" w:hanging="1166"/>
        <w:rPr>
          <w:rFonts w:cs="Arial"/>
          <w:sz w:val="20"/>
          <w:lang w:val="en-NZ"/>
        </w:rPr>
      </w:pPr>
      <w:r w:rsidRPr="0008073A">
        <w:rPr>
          <w:rFonts w:cs="Arial"/>
          <w:sz w:val="20"/>
          <w:lang w:val="en-NZ"/>
        </w:rPr>
        <w:t>Figure C.</w:t>
      </w:r>
      <w:r w:rsidR="008037FC">
        <w:rPr>
          <w:rFonts w:cs="Arial"/>
          <w:sz w:val="20"/>
          <w:lang w:val="en-NZ"/>
        </w:rPr>
        <w:t>5</w:t>
      </w:r>
      <w:r>
        <w:rPr>
          <w:rFonts w:cs="Arial"/>
          <w:sz w:val="20"/>
          <w:lang w:val="en-NZ"/>
        </w:rPr>
        <w:tab/>
      </w:r>
      <w:r w:rsidRPr="0008073A">
        <w:rPr>
          <w:rFonts w:cs="Arial"/>
          <w:sz w:val="20"/>
        </w:rPr>
        <w:t xml:space="preserve">Numbers </w:t>
      </w:r>
      <w:r w:rsidR="00FA45C2">
        <w:rPr>
          <w:rFonts w:cs="Arial"/>
          <w:sz w:val="20"/>
        </w:rPr>
        <w:t xml:space="preserve">of EFUs </w:t>
      </w:r>
      <w:r w:rsidRPr="0008073A">
        <w:rPr>
          <w:rFonts w:cs="Arial"/>
          <w:sz w:val="20"/>
        </w:rPr>
        <w:t>in receipt of working-age income-tested benefits</w:t>
      </w:r>
      <w:r w:rsidR="00FA45C2">
        <w:rPr>
          <w:rFonts w:cs="Arial"/>
          <w:sz w:val="20"/>
        </w:rPr>
        <w:tab/>
      </w:r>
      <w:r>
        <w:rPr>
          <w:rFonts w:cs="Arial"/>
          <w:sz w:val="20"/>
        </w:rPr>
        <w:t>………………..</w:t>
      </w:r>
      <w:r>
        <w:rPr>
          <w:rFonts w:cs="Arial"/>
          <w:sz w:val="20"/>
        </w:rPr>
        <w:tab/>
      </w:r>
      <w:r w:rsidR="00FA45C2">
        <w:rPr>
          <w:rFonts w:cs="Arial"/>
          <w:sz w:val="20"/>
        </w:rPr>
        <w:t>5</w:t>
      </w:r>
      <w:r w:rsidR="00093548">
        <w:rPr>
          <w:rFonts w:cs="Arial"/>
          <w:sz w:val="20"/>
        </w:rPr>
        <w:t>4</w:t>
      </w:r>
    </w:p>
    <w:p w:rsidR="00715BD2" w:rsidRDefault="00715BD2" w:rsidP="00A470A1">
      <w:pPr>
        <w:tabs>
          <w:tab w:val="left" w:pos="1170"/>
          <w:tab w:val="right" w:pos="8460"/>
          <w:tab w:val="right" w:pos="8910"/>
        </w:tabs>
        <w:spacing w:after="80"/>
        <w:ind w:left="1166" w:hanging="1166"/>
        <w:rPr>
          <w:rFonts w:cs="Arial"/>
          <w:sz w:val="20"/>
          <w:lang w:val="en-NZ"/>
        </w:rPr>
      </w:pPr>
      <w:r>
        <w:rPr>
          <w:rFonts w:cs="Arial"/>
          <w:sz w:val="20"/>
          <w:lang w:val="en-NZ"/>
        </w:rPr>
        <w:t>Table C.1</w:t>
      </w:r>
      <w:r>
        <w:rPr>
          <w:rFonts w:cs="Arial"/>
          <w:sz w:val="20"/>
          <w:lang w:val="en-NZ"/>
        </w:rPr>
        <w:tab/>
        <w:t>Individuals in EFUs in receipt of an income-tested benefit or NZS</w:t>
      </w:r>
      <w:r>
        <w:rPr>
          <w:rFonts w:cs="Arial"/>
          <w:sz w:val="20"/>
          <w:lang w:val="en-NZ"/>
        </w:rPr>
        <w:tab/>
        <w:t>…………………</w:t>
      </w:r>
      <w:r>
        <w:rPr>
          <w:rFonts w:cs="Arial"/>
          <w:sz w:val="20"/>
          <w:lang w:val="en-NZ"/>
        </w:rPr>
        <w:tab/>
      </w:r>
      <w:r w:rsidR="00FA45C2">
        <w:rPr>
          <w:rFonts w:cs="Arial"/>
          <w:sz w:val="20"/>
          <w:lang w:val="en-NZ"/>
        </w:rPr>
        <w:t>5</w:t>
      </w:r>
      <w:r w:rsidR="00093548">
        <w:rPr>
          <w:rFonts w:cs="Arial"/>
          <w:sz w:val="20"/>
          <w:lang w:val="en-NZ"/>
        </w:rPr>
        <w:t>5</w:t>
      </w:r>
    </w:p>
    <w:p w:rsidR="00A470A1" w:rsidRPr="0008073A" w:rsidRDefault="00A470A1" w:rsidP="00A470A1">
      <w:pPr>
        <w:tabs>
          <w:tab w:val="left" w:pos="1170"/>
          <w:tab w:val="right" w:pos="8460"/>
          <w:tab w:val="right" w:pos="8910"/>
        </w:tabs>
        <w:spacing w:after="80"/>
        <w:ind w:left="1166" w:hanging="1166"/>
        <w:rPr>
          <w:rFonts w:cs="Arial"/>
          <w:sz w:val="20"/>
          <w:lang w:val="en-NZ"/>
        </w:rPr>
      </w:pPr>
      <w:r w:rsidRPr="0008073A">
        <w:rPr>
          <w:rFonts w:cs="Arial"/>
          <w:sz w:val="20"/>
          <w:lang w:val="en-NZ"/>
        </w:rPr>
        <w:t>Figure C.</w:t>
      </w:r>
      <w:r w:rsidR="001201C0">
        <w:rPr>
          <w:rFonts w:cs="Arial"/>
          <w:sz w:val="20"/>
          <w:lang w:val="en-NZ"/>
        </w:rPr>
        <w:t>6</w:t>
      </w:r>
      <w:r>
        <w:rPr>
          <w:rFonts w:cs="Arial"/>
          <w:sz w:val="20"/>
          <w:lang w:val="en-NZ"/>
        </w:rPr>
        <w:tab/>
      </w:r>
      <w:r w:rsidRPr="0008073A">
        <w:rPr>
          <w:rFonts w:cs="Arial"/>
          <w:sz w:val="20"/>
        </w:rPr>
        <w:t xml:space="preserve">Income-tested benefits and </w:t>
      </w:r>
      <w:r w:rsidR="00936492">
        <w:rPr>
          <w:rFonts w:cs="Arial"/>
          <w:sz w:val="20"/>
        </w:rPr>
        <w:t>average earnings</w:t>
      </w:r>
      <w:r w:rsidRPr="0008073A">
        <w:rPr>
          <w:rFonts w:cs="Arial"/>
          <w:sz w:val="20"/>
        </w:rPr>
        <w:t xml:space="preserve"> in real terms for selected HH types</w:t>
      </w:r>
      <w:r w:rsidR="00936492">
        <w:rPr>
          <w:rFonts w:cs="Arial"/>
          <w:sz w:val="20"/>
        </w:rPr>
        <w:tab/>
      </w:r>
      <w:r>
        <w:rPr>
          <w:rFonts w:cs="Arial"/>
          <w:sz w:val="20"/>
        </w:rPr>
        <w:t>..</w:t>
      </w:r>
      <w:r>
        <w:rPr>
          <w:rFonts w:cs="Arial"/>
          <w:sz w:val="20"/>
        </w:rPr>
        <w:tab/>
      </w:r>
      <w:r w:rsidR="00FA45C2">
        <w:rPr>
          <w:rFonts w:cs="Arial"/>
          <w:sz w:val="20"/>
        </w:rPr>
        <w:t>5</w:t>
      </w:r>
      <w:r w:rsidR="00093548">
        <w:rPr>
          <w:rFonts w:cs="Arial"/>
          <w:sz w:val="20"/>
        </w:rPr>
        <w:t>6</w:t>
      </w:r>
    </w:p>
    <w:p w:rsidR="00A470A1" w:rsidRDefault="00A470A1" w:rsidP="00A470A1">
      <w:pPr>
        <w:tabs>
          <w:tab w:val="left" w:pos="1170"/>
          <w:tab w:val="right" w:pos="8460"/>
          <w:tab w:val="right" w:pos="8910"/>
        </w:tabs>
        <w:spacing w:after="80"/>
        <w:ind w:left="1166" w:hanging="1166"/>
        <w:rPr>
          <w:rFonts w:cs="Arial"/>
          <w:sz w:val="20"/>
        </w:rPr>
      </w:pPr>
      <w:r w:rsidRPr="0008073A">
        <w:rPr>
          <w:rFonts w:cs="Arial"/>
          <w:sz w:val="20"/>
          <w:lang w:val="en-NZ"/>
        </w:rPr>
        <w:t>Figure C.</w:t>
      </w:r>
      <w:r w:rsidR="001201C0">
        <w:rPr>
          <w:rFonts w:cs="Arial"/>
          <w:sz w:val="20"/>
          <w:lang w:val="en-NZ"/>
        </w:rPr>
        <w:t>7</w:t>
      </w:r>
      <w:r>
        <w:rPr>
          <w:rFonts w:cs="Arial"/>
          <w:sz w:val="20"/>
          <w:lang w:val="en-NZ"/>
        </w:rPr>
        <w:tab/>
      </w:r>
      <w:r w:rsidR="00FA45C2">
        <w:rPr>
          <w:rFonts w:cs="Arial"/>
          <w:sz w:val="20"/>
          <w:lang w:val="en-NZ"/>
        </w:rPr>
        <w:t>Income-tested b</w:t>
      </w:r>
      <w:r w:rsidRPr="0008073A">
        <w:rPr>
          <w:rFonts w:cs="Arial"/>
          <w:sz w:val="20"/>
        </w:rPr>
        <w:t>enefits relative to wages</w:t>
      </w:r>
      <w:r w:rsidR="00FA45C2">
        <w:rPr>
          <w:rFonts w:cs="Arial"/>
          <w:sz w:val="20"/>
        </w:rPr>
        <w:tab/>
      </w:r>
      <w:r>
        <w:rPr>
          <w:rFonts w:cs="Arial"/>
          <w:sz w:val="20"/>
        </w:rPr>
        <w:t>…………………………………………..</w:t>
      </w:r>
      <w:r>
        <w:rPr>
          <w:rFonts w:cs="Arial"/>
          <w:sz w:val="20"/>
        </w:rPr>
        <w:tab/>
      </w:r>
      <w:r w:rsidR="00FA45C2">
        <w:rPr>
          <w:rFonts w:cs="Arial"/>
          <w:sz w:val="20"/>
        </w:rPr>
        <w:t>5</w:t>
      </w:r>
      <w:r w:rsidR="00093548">
        <w:rPr>
          <w:rFonts w:cs="Arial"/>
          <w:sz w:val="20"/>
        </w:rPr>
        <w:t>6</w:t>
      </w:r>
    </w:p>
    <w:p w:rsidR="00715BD2" w:rsidRDefault="00715BD2" w:rsidP="00A470A1">
      <w:pPr>
        <w:tabs>
          <w:tab w:val="left" w:pos="1170"/>
          <w:tab w:val="right" w:pos="8460"/>
          <w:tab w:val="right" w:pos="8910"/>
        </w:tabs>
        <w:spacing w:after="80"/>
        <w:ind w:left="1166" w:hanging="1166"/>
        <w:rPr>
          <w:rFonts w:cs="Arial"/>
          <w:sz w:val="20"/>
        </w:rPr>
      </w:pPr>
      <w:r>
        <w:rPr>
          <w:rFonts w:cs="Arial"/>
          <w:sz w:val="20"/>
        </w:rPr>
        <w:t>Figure C.8</w:t>
      </w:r>
      <w:r>
        <w:rPr>
          <w:rFonts w:cs="Arial"/>
          <w:sz w:val="20"/>
        </w:rPr>
        <w:tab/>
        <w:t>Proportion of households with housing cost OTIs greater than 30%</w:t>
      </w:r>
      <w:r w:rsidR="00D44402">
        <w:rPr>
          <w:rFonts w:cs="Arial"/>
          <w:sz w:val="20"/>
        </w:rPr>
        <w:t xml:space="preserve"> (by quintiles)</w:t>
      </w:r>
      <w:r w:rsidR="00D44402">
        <w:rPr>
          <w:rFonts w:cs="Arial"/>
          <w:sz w:val="20"/>
        </w:rPr>
        <w:tab/>
        <w:t>…</w:t>
      </w:r>
      <w:r>
        <w:rPr>
          <w:rFonts w:cs="Arial"/>
          <w:sz w:val="20"/>
        </w:rPr>
        <w:tab/>
      </w:r>
      <w:r w:rsidR="00FA45C2">
        <w:rPr>
          <w:rFonts w:cs="Arial"/>
          <w:sz w:val="20"/>
        </w:rPr>
        <w:t>5</w:t>
      </w:r>
      <w:r w:rsidR="00093548">
        <w:rPr>
          <w:rFonts w:cs="Arial"/>
          <w:sz w:val="20"/>
        </w:rPr>
        <w:t>7</w:t>
      </w:r>
    </w:p>
    <w:p w:rsidR="00A470A1" w:rsidRDefault="00715BD2" w:rsidP="00715BD2">
      <w:pPr>
        <w:tabs>
          <w:tab w:val="left" w:pos="1170"/>
          <w:tab w:val="right" w:pos="8460"/>
          <w:tab w:val="right" w:pos="8910"/>
        </w:tabs>
        <w:spacing w:after="80"/>
        <w:ind w:left="1166" w:hanging="1166"/>
        <w:rPr>
          <w:rFonts w:cs="Arial"/>
          <w:sz w:val="20"/>
        </w:rPr>
      </w:pPr>
      <w:r>
        <w:rPr>
          <w:rFonts w:cs="Arial"/>
          <w:sz w:val="20"/>
          <w:lang w:val="en-NZ"/>
        </w:rPr>
        <w:t>Table C.2</w:t>
      </w:r>
      <w:r>
        <w:rPr>
          <w:rFonts w:cs="Arial"/>
          <w:sz w:val="20"/>
          <w:lang w:val="en-NZ"/>
        </w:rPr>
        <w:tab/>
      </w:r>
      <w:r>
        <w:rPr>
          <w:rFonts w:cs="Arial"/>
          <w:sz w:val="20"/>
        </w:rPr>
        <w:t>Proportion of households with housing cost OTIs greater than 30% (by quintiles)</w:t>
      </w:r>
      <w:r>
        <w:rPr>
          <w:rFonts w:cs="Arial"/>
          <w:sz w:val="20"/>
        </w:rPr>
        <w:tab/>
        <w:t>...</w:t>
      </w:r>
      <w:r>
        <w:rPr>
          <w:rFonts w:cs="Arial"/>
          <w:sz w:val="20"/>
        </w:rPr>
        <w:tab/>
      </w:r>
      <w:r w:rsidR="00A57E06">
        <w:rPr>
          <w:rFonts w:cs="Arial"/>
          <w:sz w:val="20"/>
        </w:rPr>
        <w:t>5</w:t>
      </w:r>
      <w:r w:rsidR="00093548">
        <w:rPr>
          <w:rFonts w:cs="Arial"/>
          <w:sz w:val="20"/>
        </w:rPr>
        <w:t>8</w:t>
      </w:r>
    </w:p>
    <w:p w:rsidR="00715BD2" w:rsidRPr="00A470A1" w:rsidRDefault="00715BD2" w:rsidP="00DE485A">
      <w:pPr>
        <w:tabs>
          <w:tab w:val="left" w:pos="1170"/>
          <w:tab w:val="right" w:pos="8460"/>
          <w:tab w:val="right" w:pos="8910"/>
        </w:tabs>
        <w:ind w:left="1166" w:hanging="1166"/>
        <w:rPr>
          <w:b/>
          <w:sz w:val="20"/>
        </w:rPr>
      </w:pPr>
      <w:r>
        <w:rPr>
          <w:rFonts w:cs="Arial"/>
          <w:sz w:val="20"/>
        </w:rPr>
        <w:t>Table C.3</w:t>
      </w:r>
      <w:r>
        <w:rPr>
          <w:rFonts w:cs="Arial"/>
          <w:sz w:val="20"/>
        </w:rPr>
        <w:tab/>
        <w:t>Proportion of households with housing cos</w:t>
      </w:r>
      <w:r w:rsidR="00D44402">
        <w:rPr>
          <w:rFonts w:cs="Arial"/>
          <w:sz w:val="20"/>
        </w:rPr>
        <w:t>t OTIs greater than 30% (by age-</w:t>
      </w:r>
      <w:r>
        <w:rPr>
          <w:rFonts w:cs="Arial"/>
          <w:sz w:val="20"/>
        </w:rPr>
        <w:t>group)</w:t>
      </w:r>
      <w:r>
        <w:rPr>
          <w:rFonts w:cs="Arial"/>
          <w:sz w:val="20"/>
        </w:rPr>
        <w:tab/>
        <w:t>..</w:t>
      </w:r>
      <w:r>
        <w:rPr>
          <w:rFonts w:cs="Arial"/>
          <w:sz w:val="20"/>
        </w:rPr>
        <w:tab/>
      </w:r>
      <w:r w:rsidR="00A57E06">
        <w:rPr>
          <w:rFonts w:cs="Arial"/>
          <w:sz w:val="20"/>
        </w:rPr>
        <w:t>5</w:t>
      </w:r>
      <w:r w:rsidR="00093548">
        <w:rPr>
          <w:rFonts w:cs="Arial"/>
          <w:sz w:val="20"/>
        </w:rPr>
        <w:t>8</w:t>
      </w:r>
    </w:p>
    <w:p w:rsidR="00DE485A" w:rsidRDefault="00DE485A" w:rsidP="00DE485A">
      <w:pPr>
        <w:tabs>
          <w:tab w:val="left" w:pos="1170"/>
          <w:tab w:val="left" w:pos="1440"/>
        </w:tabs>
        <w:ind w:left="1440" w:hanging="1440"/>
        <w:rPr>
          <w:b/>
          <w:szCs w:val="22"/>
        </w:rPr>
      </w:pPr>
    </w:p>
    <w:p w:rsidR="00EF3364" w:rsidRPr="009A3BAB" w:rsidRDefault="008624B7" w:rsidP="007329A6">
      <w:pPr>
        <w:tabs>
          <w:tab w:val="left" w:pos="1170"/>
          <w:tab w:val="left" w:pos="1440"/>
        </w:tabs>
        <w:spacing w:after="80"/>
        <w:ind w:left="1440" w:hanging="1440"/>
        <w:rPr>
          <w:rFonts w:cs="Arial"/>
          <w:color w:val="FF0000"/>
          <w:szCs w:val="22"/>
        </w:rPr>
      </w:pPr>
      <w:r w:rsidRPr="0097726E">
        <w:rPr>
          <w:b/>
          <w:szCs w:val="22"/>
        </w:rPr>
        <w:t xml:space="preserve">Section </w:t>
      </w:r>
      <w:r w:rsidR="00A470A1">
        <w:rPr>
          <w:b/>
          <w:szCs w:val="22"/>
        </w:rPr>
        <w:t>D</w:t>
      </w:r>
      <w:r w:rsidRPr="0097726E">
        <w:rPr>
          <w:b/>
          <w:szCs w:val="22"/>
        </w:rPr>
        <w:tab/>
      </w:r>
      <w:r w:rsidR="00E1200C" w:rsidRPr="0097726E">
        <w:rPr>
          <w:b/>
          <w:szCs w:val="22"/>
        </w:rPr>
        <w:t xml:space="preserve">Household incomes and income inequality, 1982 </w:t>
      </w:r>
      <w:r w:rsidR="00D52D4A">
        <w:rPr>
          <w:b/>
          <w:szCs w:val="22"/>
        </w:rPr>
        <w:t>to</w:t>
      </w:r>
      <w:r w:rsidR="00E1200C" w:rsidRPr="0097726E">
        <w:rPr>
          <w:b/>
          <w:szCs w:val="22"/>
        </w:rPr>
        <w:t xml:space="preserve"> 20</w:t>
      </w:r>
      <w:r w:rsidR="00CB1B45">
        <w:rPr>
          <w:b/>
          <w:szCs w:val="22"/>
        </w:rPr>
        <w:t>1</w:t>
      </w:r>
      <w:r w:rsidR="00D52D4A">
        <w:rPr>
          <w:b/>
          <w:szCs w:val="22"/>
        </w:rPr>
        <w:t>1</w:t>
      </w:r>
    </w:p>
    <w:p w:rsidR="00EF3364" w:rsidRPr="0008073A" w:rsidRDefault="00EF3364" w:rsidP="007329A6">
      <w:pPr>
        <w:tabs>
          <w:tab w:val="left" w:pos="1170"/>
          <w:tab w:val="right" w:pos="8460"/>
          <w:tab w:val="right" w:pos="8910"/>
        </w:tabs>
        <w:spacing w:after="80"/>
        <w:ind w:left="1166" w:hanging="1166"/>
        <w:rPr>
          <w:rFonts w:cs="Arial"/>
          <w:sz w:val="20"/>
          <w:lang w:val="en-NZ"/>
        </w:rPr>
      </w:pPr>
      <w:r w:rsidRPr="0008073A">
        <w:rPr>
          <w:rFonts w:cs="Arial"/>
          <w:sz w:val="20"/>
          <w:lang w:val="en-NZ"/>
        </w:rPr>
        <w:t xml:space="preserve">Figure </w:t>
      </w:r>
      <w:r w:rsidR="00A470A1">
        <w:rPr>
          <w:rFonts w:cs="Arial"/>
          <w:sz w:val="20"/>
          <w:lang w:val="en-NZ"/>
        </w:rPr>
        <w:t>D</w:t>
      </w:r>
      <w:r w:rsidRPr="0008073A">
        <w:rPr>
          <w:rFonts w:cs="Arial"/>
          <w:sz w:val="20"/>
          <w:lang w:val="en-NZ"/>
        </w:rPr>
        <w:t>.</w:t>
      </w:r>
      <w:r w:rsidR="00A470A1">
        <w:rPr>
          <w:rFonts w:cs="Arial"/>
          <w:sz w:val="20"/>
          <w:lang w:val="en-NZ"/>
        </w:rPr>
        <w:t>1</w:t>
      </w:r>
      <w:r>
        <w:rPr>
          <w:rFonts w:cs="Arial"/>
          <w:sz w:val="20"/>
          <w:lang w:val="en-NZ"/>
        </w:rPr>
        <w:tab/>
      </w:r>
      <w:r w:rsidR="00413139">
        <w:rPr>
          <w:rFonts w:cs="Arial"/>
          <w:sz w:val="20"/>
          <w:lang w:val="en-NZ"/>
        </w:rPr>
        <w:t>Real equivalised household</w:t>
      </w:r>
      <w:r w:rsidRPr="0008073A">
        <w:rPr>
          <w:rFonts w:cs="Arial"/>
          <w:sz w:val="20"/>
          <w:lang w:val="en-NZ"/>
        </w:rPr>
        <w:t xml:space="preserve"> incomes, 1982 </w:t>
      </w:r>
      <w:r w:rsidR="00D52D4A">
        <w:rPr>
          <w:rFonts w:cs="Arial"/>
          <w:sz w:val="20"/>
          <w:lang w:val="en-NZ"/>
        </w:rPr>
        <w:t>to</w:t>
      </w:r>
      <w:r w:rsidRPr="0008073A">
        <w:rPr>
          <w:rFonts w:cs="Arial"/>
          <w:sz w:val="20"/>
          <w:lang w:val="en-NZ"/>
        </w:rPr>
        <w:t xml:space="preserve"> 20</w:t>
      </w:r>
      <w:r w:rsidR="00CB1B45">
        <w:rPr>
          <w:rFonts w:cs="Arial"/>
          <w:sz w:val="20"/>
          <w:lang w:val="en-NZ"/>
        </w:rPr>
        <w:t>1</w:t>
      </w:r>
      <w:r w:rsidR="00D52D4A">
        <w:rPr>
          <w:rFonts w:cs="Arial"/>
          <w:sz w:val="20"/>
          <w:lang w:val="en-NZ"/>
        </w:rPr>
        <w:t>1</w:t>
      </w:r>
      <w:r w:rsidR="00413139">
        <w:rPr>
          <w:rFonts w:cs="Arial"/>
          <w:sz w:val="20"/>
          <w:lang w:val="en-NZ"/>
        </w:rPr>
        <w:tab/>
      </w:r>
      <w:r>
        <w:rPr>
          <w:rFonts w:cs="Arial"/>
          <w:sz w:val="20"/>
          <w:lang w:val="en-NZ"/>
        </w:rPr>
        <w:t>…………………………………</w:t>
      </w:r>
      <w:r>
        <w:rPr>
          <w:rFonts w:cs="Arial"/>
          <w:sz w:val="20"/>
          <w:lang w:val="en-NZ"/>
        </w:rPr>
        <w:tab/>
      </w:r>
      <w:r w:rsidR="00D52D4A">
        <w:rPr>
          <w:rFonts w:cs="Arial"/>
          <w:sz w:val="20"/>
          <w:lang w:val="en-NZ"/>
        </w:rPr>
        <w:t>6</w:t>
      </w:r>
      <w:r w:rsidR="00093548">
        <w:rPr>
          <w:rFonts w:cs="Arial"/>
          <w:sz w:val="20"/>
          <w:lang w:val="en-NZ"/>
        </w:rPr>
        <w:t>6</w:t>
      </w:r>
    </w:p>
    <w:p w:rsidR="00EF3364" w:rsidRPr="00413139" w:rsidRDefault="00EF3364" w:rsidP="007329A6">
      <w:pPr>
        <w:tabs>
          <w:tab w:val="left" w:pos="1170"/>
          <w:tab w:val="right" w:pos="8460"/>
          <w:tab w:val="right" w:pos="8910"/>
        </w:tabs>
        <w:spacing w:after="80"/>
        <w:ind w:left="1166" w:hanging="1166"/>
        <w:rPr>
          <w:rFonts w:cs="Arial"/>
          <w:sz w:val="20"/>
          <w:lang w:val="en-NZ"/>
        </w:rPr>
      </w:pPr>
      <w:r w:rsidRPr="0008073A">
        <w:rPr>
          <w:rFonts w:cs="Arial"/>
          <w:sz w:val="20"/>
        </w:rPr>
        <w:t xml:space="preserve">Table </w:t>
      </w:r>
      <w:r w:rsidR="00A470A1">
        <w:rPr>
          <w:rFonts w:cs="Arial"/>
          <w:sz w:val="20"/>
        </w:rPr>
        <w:t>D</w:t>
      </w:r>
      <w:r w:rsidRPr="0008073A">
        <w:rPr>
          <w:rFonts w:cs="Arial"/>
          <w:sz w:val="20"/>
        </w:rPr>
        <w:t>.1</w:t>
      </w:r>
      <w:r>
        <w:rPr>
          <w:rFonts w:cs="Arial"/>
          <w:sz w:val="20"/>
        </w:rPr>
        <w:tab/>
      </w:r>
      <w:r w:rsidR="00413139">
        <w:rPr>
          <w:rFonts w:cs="Arial"/>
          <w:sz w:val="20"/>
          <w:lang w:val="en-NZ"/>
        </w:rPr>
        <w:t>Real equivalised household</w:t>
      </w:r>
      <w:r w:rsidR="00413139" w:rsidRPr="0008073A">
        <w:rPr>
          <w:rFonts w:cs="Arial"/>
          <w:sz w:val="20"/>
          <w:lang w:val="en-NZ"/>
        </w:rPr>
        <w:t xml:space="preserve"> incomes, 1982 </w:t>
      </w:r>
      <w:r w:rsidR="00D52D4A">
        <w:rPr>
          <w:rFonts w:cs="Arial"/>
          <w:sz w:val="20"/>
          <w:lang w:val="en-NZ"/>
        </w:rPr>
        <w:t>to</w:t>
      </w:r>
      <w:r w:rsidR="00413139" w:rsidRPr="0008073A">
        <w:rPr>
          <w:rFonts w:cs="Arial"/>
          <w:sz w:val="20"/>
          <w:lang w:val="en-NZ"/>
        </w:rPr>
        <w:t xml:space="preserve"> 20</w:t>
      </w:r>
      <w:r w:rsidR="00CB1B45">
        <w:rPr>
          <w:rFonts w:cs="Arial"/>
          <w:sz w:val="20"/>
          <w:lang w:val="en-NZ"/>
        </w:rPr>
        <w:t>1</w:t>
      </w:r>
      <w:r w:rsidR="00D52D4A">
        <w:rPr>
          <w:rFonts w:cs="Arial"/>
          <w:sz w:val="20"/>
          <w:lang w:val="en-NZ"/>
        </w:rPr>
        <w:t>1</w:t>
      </w:r>
      <w:r w:rsidR="00413139">
        <w:rPr>
          <w:rFonts w:cs="Arial"/>
          <w:sz w:val="20"/>
          <w:lang w:val="en-NZ"/>
        </w:rPr>
        <w:tab/>
        <w:t>…………………………………</w:t>
      </w:r>
      <w:r w:rsidR="00413139">
        <w:rPr>
          <w:rFonts w:cs="Arial"/>
          <w:sz w:val="20"/>
          <w:lang w:val="en-NZ"/>
        </w:rPr>
        <w:tab/>
      </w:r>
      <w:r w:rsidR="00D52D4A">
        <w:rPr>
          <w:rFonts w:cs="Arial"/>
          <w:sz w:val="20"/>
          <w:lang w:val="en-NZ"/>
        </w:rPr>
        <w:t>6</w:t>
      </w:r>
      <w:r w:rsidR="00093548">
        <w:rPr>
          <w:rFonts w:cs="Arial"/>
          <w:sz w:val="20"/>
          <w:lang w:val="en-NZ"/>
        </w:rPr>
        <w:t>6</w:t>
      </w:r>
    </w:p>
    <w:p w:rsidR="007958D3" w:rsidRDefault="007958D3" w:rsidP="001201C0">
      <w:pPr>
        <w:tabs>
          <w:tab w:val="left" w:pos="1170"/>
          <w:tab w:val="right" w:pos="8460"/>
          <w:tab w:val="right" w:pos="8910"/>
        </w:tabs>
        <w:spacing w:after="80"/>
        <w:ind w:left="1166" w:hanging="1166"/>
        <w:rPr>
          <w:rFonts w:cs="Arial"/>
          <w:sz w:val="20"/>
        </w:rPr>
      </w:pPr>
      <w:r>
        <w:rPr>
          <w:rFonts w:cs="Arial"/>
          <w:sz w:val="20"/>
        </w:rPr>
        <w:t>Figure D.2</w:t>
      </w:r>
      <w:r>
        <w:rPr>
          <w:rFonts w:cs="Arial"/>
          <w:sz w:val="20"/>
        </w:rPr>
        <w:tab/>
        <w:t>Real equivalised household incomes (</w:t>
      </w:r>
      <w:smartTag w:uri="urn:schemas-microsoft-com:office:smarttags" w:element="stockticker">
        <w:r>
          <w:rPr>
            <w:rFonts w:cs="Arial"/>
            <w:sz w:val="20"/>
          </w:rPr>
          <w:t>BHC</w:t>
        </w:r>
      </w:smartTag>
      <w:r>
        <w:rPr>
          <w:rFonts w:cs="Arial"/>
          <w:sz w:val="20"/>
        </w:rPr>
        <w:t xml:space="preserve">): changes for top of deciles, </w:t>
      </w:r>
      <w:r w:rsidR="006667DA">
        <w:rPr>
          <w:rFonts w:cs="Arial"/>
          <w:sz w:val="20"/>
        </w:rPr>
        <w:t>2007-20</w:t>
      </w:r>
      <w:r w:rsidR="00D52D4A">
        <w:rPr>
          <w:rFonts w:cs="Arial"/>
          <w:sz w:val="20"/>
        </w:rPr>
        <w:t>09</w:t>
      </w:r>
      <w:r w:rsidR="006667DA">
        <w:rPr>
          <w:rFonts w:cs="Arial"/>
          <w:sz w:val="20"/>
        </w:rPr>
        <w:tab/>
      </w:r>
      <w:r w:rsidR="006667DA">
        <w:rPr>
          <w:rFonts w:cs="Arial"/>
          <w:sz w:val="20"/>
        </w:rPr>
        <w:tab/>
      </w:r>
      <w:r w:rsidR="00D52D4A">
        <w:rPr>
          <w:rFonts w:cs="Arial"/>
          <w:sz w:val="20"/>
        </w:rPr>
        <w:t>6</w:t>
      </w:r>
      <w:r w:rsidR="00093548">
        <w:rPr>
          <w:rFonts w:cs="Arial"/>
          <w:sz w:val="20"/>
        </w:rPr>
        <w:t>7</w:t>
      </w:r>
    </w:p>
    <w:p w:rsidR="007958D3" w:rsidRDefault="007958D3" w:rsidP="007958D3">
      <w:pPr>
        <w:tabs>
          <w:tab w:val="left" w:pos="1170"/>
          <w:tab w:val="right" w:pos="8460"/>
          <w:tab w:val="right" w:pos="8910"/>
        </w:tabs>
        <w:spacing w:after="80"/>
        <w:ind w:left="1166" w:hanging="1166"/>
        <w:rPr>
          <w:rFonts w:cs="Arial"/>
          <w:sz w:val="20"/>
        </w:rPr>
      </w:pPr>
      <w:r>
        <w:rPr>
          <w:rFonts w:cs="Arial"/>
          <w:sz w:val="20"/>
        </w:rPr>
        <w:t>Figure D.3</w:t>
      </w:r>
      <w:r>
        <w:rPr>
          <w:rFonts w:cs="Arial"/>
          <w:sz w:val="20"/>
        </w:rPr>
        <w:tab/>
        <w:t>Real equivalised household incomes (</w:t>
      </w:r>
      <w:smartTag w:uri="urn:schemas-microsoft-com:office:smarttags" w:element="stockticker">
        <w:r>
          <w:rPr>
            <w:rFonts w:cs="Arial"/>
            <w:sz w:val="20"/>
          </w:rPr>
          <w:t>BHC</w:t>
        </w:r>
      </w:smartTag>
      <w:r>
        <w:rPr>
          <w:rFonts w:cs="Arial"/>
          <w:sz w:val="20"/>
        </w:rPr>
        <w:t xml:space="preserve">): changes for top of deciles, </w:t>
      </w:r>
      <w:r w:rsidR="006667DA">
        <w:rPr>
          <w:rFonts w:cs="Arial"/>
          <w:sz w:val="20"/>
        </w:rPr>
        <w:t>200</w:t>
      </w:r>
      <w:r w:rsidR="00D52D4A">
        <w:rPr>
          <w:rFonts w:cs="Arial"/>
          <w:sz w:val="20"/>
        </w:rPr>
        <w:t>9</w:t>
      </w:r>
      <w:r w:rsidR="006667DA">
        <w:rPr>
          <w:rFonts w:cs="Arial"/>
          <w:sz w:val="20"/>
        </w:rPr>
        <w:t>-20</w:t>
      </w:r>
      <w:r w:rsidR="00D52D4A">
        <w:rPr>
          <w:rFonts w:cs="Arial"/>
          <w:sz w:val="20"/>
        </w:rPr>
        <w:t>11</w:t>
      </w:r>
      <w:r w:rsidR="006667DA">
        <w:rPr>
          <w:rFonts w:cs="Arial"/>
          <w:sz w:val="20"/>
        </w:rPr>
        <w:tab/>
      </w:r>
      <w:r>
        <w:rPr>
          <w:rFonts w:cs="Arial"/>
          <w:sz w:val="20"/>
        </w:rPr>
        <w:tab/>
      </w:r>
      <w:r w:rsidR="00D52D4A">
        <w:rPr>
          <w:rFonts w:cs="Arial"/>
          <w:sz w:val="20"/>
        </w:rPr>
        <w:t>6</w:t>
      </w:r>
      <w:r w:rsidR="00093548">
        <w:rPr>
          <w:rFonts w:cs="Arial"/>
          <w:sz w:val="20"/>
        </w:rPr>
        <w:t>7</w:t>
      </w:r>
    </w:p>
    <w:p w:rsidR="007958D3" w:rsidRDefault="007958D3" w:rsidP="007958D3">
      <w:pPr>
        <w:tabs>
          <w:tab w:val="left" w:pos="1170"/>
          <w:tab w:val="right" w:pos="8460"/>
          <w:tab w:val="right" w:pos="8910"/>
        </w:tabs>
        <w:spacing w:after="80"/>
        <w:ind w:left="1166" w:hanging="1166"/>
        <w:rPr>
          <w:rFonts w:cs="Arial"/>
          <w:sz w:val="20"/>
        </w:rPr>
      </w:pPr>
      <w:r>
        <w:rPr>
          <w:rFonts w:cs="Arial"/>
          <w:sz w:val="20"/>
        </w:rPr>
        <w:t>Figure D.4</w:t>
      </w:r>
      <w:r>
        <w:rPr>
          <w:rFonts w:cs="Arial"/>
          <w:sz w:val="20"/>
        </w:rPr>
        <w:tab/>
        <w:t>Real equivalised household incomes (</w:t>
      </w:r>
      <w:smartTag w:uri="urn:schemas-microsoft-com:office:smarttags" w:element="stockticker">
        <w:r>
          <w:rPr>
            <w:rFonts w:cs="Arial"/>
            <w:sz w:val="20"/>
          </w:rPr>
          <w:t>BHC</w:t>
        </w:r>
      </w:smartTag>
      <w:r>
        <w:rPr>
          <w:rFonts w:cs="Arial"/>
          <w:sz w:val="20"/>
        </w:rPr>
        <w:t>): c</w:t>
      </w:r>
      <w:r w:rsidR="00052216">
        <w:rPr>
          <w:rFonts w:cs="Arial"/>
          <w:sz w:val="20"/>
        </w:rPr>
        <w:t xml:space="preserve">hanges for top of deciles, </w:t>
      </w:r>
      <w:r w:rsidR="00D52D4A">
        <w:rPr>
          <w:rFonts w:cs="Arial"/>
          <w:sz w:val="20"/>
        </w:rPr>
        <w:t>2004</w:t>
      </w:r>
      <w:r>
        <w:rPr>
          <w:rFonts w:cs="Arial"/>
          <w:sz w:val="20"/>
        </w:rPr>
        <w:t>-200</w:t>
      </w:r>
      <w:r w:rsidR="00D52D4A">
        <w:rPr>
          <w:rFonts w:cs="Arial"/>
          <w:sz w:val="20"/>
        </w:rPr>
        <w:t>9</w:t>
      </w:r>
      <w:r w:rsidR="00D52D4A">
        <w:rPr>
          <w:rFonts w:cs="Arial"/>
          <w:sz w:val="20"/>
        </w:rPr>
        <w:tab/>
      </w:r>
      <w:r>
        <w:rPr>
          <w:rFonts w:cs="Arial"/>
          <w:sz w:val="20"/>
        </w:rPr>
        <w:tab/>
      </w:r>
      <w:r w:rsidR="00D52D4A">
        <w:rPr>
          <w:rFonts w:cs="Arial"/>
          <w:sz w:val="20"/>
        </w:rPr>
        <w:t>6</w:t>
      </w:r>
      <w:r w:rsidR="00093548">
        <w:rPr>
          <w:rFonts w:cs="Arial"/>
          <w:sz w:val="20"/>
        </w:rPr>
        <w:t>8</w:t>
      </w:r>
    </w:p>
    <w:p w:rsidR="00E61E90" w:rsidRDefault="007958D3" w:rsidP="00E61E90">
      <w:pPr>
        <w:tabs>
          <w:tab w:val="left" w:pos="1170"/>
          <w:tab w:val="right" w:pos="8460"/>
          <w:tab w:val="right" w:pos="8910"/>
        </w:tabs>
        <w:ind w:left="1168" w:hanging="1168"/>
        <w:rPr>
          <w:rFonts w:cs="Arial"/>
          <w:sz w:val="20"/>
        </w:rPr>
      </w:pPr>
      <w:r>
        <w:rPr>
          <w:rFonts w:cs="Arial"/>
          <w:sz w:val="20"/>
        </w:rPr>
        <w:t>Figure D.5</w:t>
      </w:r>
      <w:r>
        <w:rPr>
          <w:rFonts w:cs="Arial"/>
          <w:sz w:val="20"/>
        </w:rPr>
        <w:tab/>
        <w:t>Real equivalised household incomes (</w:t>
      </w:r>
      <w:smartTag w:uri="urn:schemas-microsoft-com:office:smarttags" w:element="stockticker">
        <w:r>
          <w:rPr>
            <w:rFonts w:cs="Arial"/>
            <w:sz w:val="20"/>
          </w:rPr>
          <w:t>BHC</w:t>
        </w:r>
      </w:smartTag>
      <w:r>
        <w:rPr>
          <w:rFonts w:cs="Arial"/>
          <w:sz w:val="20"/>
        </w:rPr>
        <w:t>): c</w:t>
      </w:r>
      <w:r w:rsidR="00052216">
        <w:rPr>
          <w:rFonts w:cs="Arial"/>
          <w:sz w:val="20"/>
        </w:rPr>
        <w:t xml:space="preserve">hanges for top of deciles, </w:t>
      </w:r>
      <w:r w:rsidR="00E61E90">
        <w:rPr>
          <w:rFonts w:cs="Arial"/>
          <w:sz w:val="20"/>
        </w:rPr>
        <w:t>1988-1994</w:t>
      </w:r>
    </w:p>
    <w:p w:rsidR="007958D3" w:rsidRDefault="00E61E90" w:rsidP="007958D3">
      <w:pPr>
        <w:tabs>
          <w:tab w:val="left" w:pos="1170"/>
          <w:tab w:val="right" w:pos="8460"/>
          <w:tab w:val="right" w:pos="8910"/>
        </w:tabs>
        <w:spacing w:after="80"/>
        <w:ind w:left="1166" w:hanging="1166"/>
        <w:rPr>
          <w:rFonts w:cs="Arial"/>
          <w:sz w:val="20"/>
        </w:rPr>
      </w:pPr>
      <w:r>
        <w:rPr>
          <w:rFonts w:cs="Arial"/>
          <w:sz w:val="20"/>
        </w:rPr>
        <w:tab/>
      </w:r>
      <w:r w:rsidR="00052216">
        <w:rPr>
          <w:rFonts w:cs="Arial"/>
          <w:sz w:val="20"/>
        </w:rPr>
        <w:tab/>
      </w:r>
      <w:r>
        <w:rPr>
          <w:rFonts w:cs="Arial"/>
          <w:sz w:val="20"/>
        </w:rPr>
        <w:t>1988-1994 and 1994-2004</w:t>
      </w:r>
      <w:r>
        <w:rPr>
          <w:rFonts w:cs="Arial"/>
          <w:sz w:val="20"/>
        </w:rPr>
        <w:tab/>
        <w:t>……………………………………………………………….</w:t>
      </w:r>
      <w:r w:rsidR="007958D3">
        <w:rPr>
          <w:rFonts w:cs="Arial"/>
          <w:sz w:val="20"/>
        </w:rPr>
        <w:tab/>
      </w:r>
      <w:r>
        <w:rPr>
          <w:rFonts w:cs="Arial"/>
          <w:sz w:val="20"/>
        </w:rPr>
        <w:t>6</w:t>
      </w:r>
      <w:r w:rsidR="00093548">
        <w:rPr>
          <w:rFonts w:cs="Arial"/>
          <w:sz w:val="20"/>
        </w:rPr>
        <w:t>8</w:t>
      </w:r>
    </w:p>
    <w:p w:rsidR="006667DA" w:rsidRDefault="006667DA" w:rsidP="007958D3">
      <w:pPr>
        <w:tabs>
          <w:tab w:val="left" w:pos="1170"/>
          <w:tab w:val="right" w:pos="8460"/>
          <w:tab w:val="right" w:pos="8910"/>
        </w:tabs>
        <w:spacing w:after="80"/>
        <w:ind w:left="1166" w:hanging="1166"/>
        <w:rPr>
          <w:rFonts w:cs="Arial"/>
          <w:sz w:val="20"/>
        </w:rPr>
      </w:pPr>
      <w:r>
        <w:rPr>
          <w:rFonts w:cs="Arial"/>
          <w:sz w:val="20"/>
        </w:rPr>
        <w:t>Figure D.6</w:t>
      </w:r>
      <w:r>
        <w:rPr>
          <w:rFonts w:cs="Arial"/>
          <w:sz w:val="20"/>
        </w:rPr>
        <w:tab/>
        <w:t>Real equivalised household incomes (</w:t>
      </w:r>
      <w:smartTag w:uri="urn:schemas-microsoft-com:office:smarttags" w:element="stockticker">
        <w:r>
          <w:rPr>
            <w:rFonts w:cs="Arial"/>
            <w:sz w:val="20"/>
          </w:rPr>
          <w:t>BHC</w:t>
        </w:r>
      </w:smartTag>
      <w:r>
        <w:rPr>
          <w:rFonts w:cs="Arial"/>
          <w:sz w:val="20"/>
        </w:rPr>
        <w:t>): changes for top of deciles, 1988-20</w:t>
      </w:r>
      <w:r w:rsidR="00E61E90">
        <w:rPr>
          <w:rFonts w:cs="Arial"/>
          <w:sz w:val="20"/>
        </w:rPr>
        <w:t>04</w:t>
      </w:r>
      <w:r>
        <w:rPr>
          <w:rFonts w:cs="Arial"/>
          <w:sz w:val="20"/>
        </w:rPr>
        <w:tab/>
      </w:r>
      <w:r>
        <w:rPr>
          <w:rFonts w:cs="Arial"/>
          <w:sz w:val="20"/>
        </w:rPr>
        <w:tab/>
      </w:r>
      <w:r w:rsidR="00E61E90">
        <w:rPr>
          <w:rFonts w:cs="Arial"/>
          <w:sz w:val="20"/>
        </w:rPr>
        <w:t>6</w:t>
      </w:r>
      <w:r w:rsidR="00093548">
        <w:rPr>
          <w:rFonts w:cs="Arial"/>
          <w:sz w:val="20"/>
        </w:rPr>
        <w:t>9</w:t>
      </w:r>
    </w:p>
    <w:p w:rsidR="00E61E90" w:rsidRDefault="00E61E90" w:rsidP="00E61E90">
      <w:pPr>
        <w:tabs>
          <w:tab w:val="left" w:pos="1170"/>
          <w:tab w:val="right" w:pos="8460"/>
          <w:tab w:val="right" w:pos="8910"/>
        </w:tabs>
        <w:spacing w:after="80"/>
        <w:ind w:left="1166" w:hanging="1166"/>
        <w:rPr>
          <w:rFonts w:cs="Arial"/>
          <w:sz w:val="20"/>
        </w:rPr>
      </w:pPr>
      <w:r>
        <w:rPr>
          <w:rFonts w:cs="Arial"/>
          <w:sz w:val="20"/>
        </w:rPr>
        <w:t>Figure D.7</w:t>
      </w:r>
      <w:r>
        <w:rPr>
          <w:rFonts w:cs="Arial"/>
          <w:sz w:val="20"/>
        </w:rPr>
        <w:tab/>
        <w:t>Real equivalised household incomes (</w:t>
      </w:r>
      <w:smartTag w:uri="urn:schemas-microsoft-com:office:smarttags" w:element="stockticker">
        <w:r>
          <w:rPr>
            <w:rFonts w:cs="Arial"/>
            <w:sz w:val="20"/>
          </w:rPr>
          <w:t>BHC</w:t>
        </w:r>
      </w:smartTag>
      <w:r>
        <w:rPr>
          <w:rFonts w:cs="Arial"/>
          <w:sz w:val="20"/>
        </w:rPr>
        <w:t>): changes for top of deciles, 1982-2011</w:t>
      </w:r>
      <w:r>
        <w:rPr>
          <w:rFonts w:cs="Arial"/>
          <w:sz w:val="20"/>
        </w:rPr>
        <w:tab/>
      </w:r>
      <w:r>
        <w:rPr>
          <w:rFonts w:cs="Arial"/>
          <w:sz w:val="20"/>
        </w:rPr>
        <w:tab/>
        <w:t>6</w:t>
      </w:r>
      <w:r w:rsidR="00093548">
        <w:rPr>
          <w:rFonts w:cs="Arial"/>
          <w:sz w:val="20"/>
        </w:rPr>
        <w:t>9</w:t>
      </w:r>
    </w:p>
    <w:p w:rsidR="007958D3" w:rsidRPr="0008073A" w:rsidRDefault="007958D3" w:rsidP="007958D3">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D</w:t>
      </w:r>
      <w:r w:rsidRPr="0008073A">
        <w:rPr>
          <w:rFonts w:cs="Arial"/>
          <w:sz w:val="20"/>
        </w:rPr>
        <w:t>.</w:t>
      </w:r>
      <w:r w:rsidR="00E61E90">
        <w:rPr>
          <w:rFonts w:cs="Arial"/>
          <w:sz w:val="20"/>
        </w:rPr>
        <w:t>8</w:t>
      </w:r>
      <w:r>
        <w:rPr>
          <w:rFonts w:cs="Arial"/>
          <w:sz w:val="20"/>
        </w:rPr>
        <w:tab/>
        <w:t>H</w:t>
      </w:r>
      <w:r w:rsidRPr="0008073A">
        <w:rPr>
          <w:rFonts w:cs="Arial"/>
          <w:sz w:val="20"/>
        </w:rPr>
        <w:t>ousehold incomes (</w:t>
      </w:r>
      <w:smartTag w:uri="urn:schemas-microsoft-com:office:smarttags" w:element="stockticker">
        <w:r w:rsidRPr="0008073A">
          <w:rPr>
            <w:rFonts w:cs="Arial"/>
            <w:sz w:val="20"/>
          </w:rPr>
          <w:t>BHC</w:t>
        </w:r>
      </w:smartTag>
      <w:r w:rsidRPr="0008073A">
        <w:rPr>
          <w:rFonts w:cs="Arial"/>
          <w:sz w:val="20"/>
        </w:rPr>
        <w:t>): decile boundaries</w:t>
      </w:r>
      <w:r w:rsidR="00CB1B45">
        <w:rPr>
          <w:rFonts w:cs="Arial"/>
          <w:sz w:val="20"/>
        </w:rPr>
        <w:t>, 1982 to 201</w:t>
      </w:r>
      <w:r w:rsidR="00E61E90">
        <w:rPr>
          <w:rFonts w:cs="Arial"/>
          <w:sz w:val="20"/>
        </w:rPr>
        <w:t>1</w:t>
      </w:r>
      <w:r>
        <w:rPr>
          <w:rFonts w:cs="Arial"/>
          <w:sz w:val="20"/>
        </w:rPr>
        <w:t xml:space="preserve"> ($</w:t>
      </w:r>
      <w:r w:rsidR="00E61E90">
        <w:rPr>
          <w:rFonts w:cs="Arial"/>
          <w:sz w:val="20"/>
        </w:rPr>
        <w:t>2011)</w:t>
      </w:r>
      <w:r w:rsidR="00570CFA">
        <w:rPr>
          <w:rFonts w:cs="Arial"/>
          <w:sz w:val="20"/>
        </w:rPr>
        <w:tab/>
      </w:r>
      <w:r>
        <w:rPr>
          <w:rFonts w:cs="Arial"/>
          <w:sz w:val="20"/>
        </w:rPr>
        <w:t>……………..</w:t>
      </w:r>
      <w:r>
        <w:rPr>
          <w:rFonts w:cs="Arial"/>
          <w:sz w:val="20"/>
        </w:rPr>
        <w:tab/>
      </w:r>
      <w:r w:rsidR="00093548">
        <w:rPr>
          <w:rFonts w:cs="Arial"/>
          <w:sz w:val="20"/>
        </w:rPr>
        <w:t>70</w:t>
      </w:r>
    </w:p>
    <w:p w:rsidR="007958D3" w:rsidRDefault="007958D3" w:rsidP="007958D3">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D</w:t>
      </w:r>
      <w:r w:rsidRPr="0008073A">
        <w:rPr>
          <w:rFonts w:cs="Arial"/>
          <w:sz w:val="20"/>
        </w:rPr>
        <w:t>.</w:t>
      </w:r>
      <w:r>
        <w:rPr>
          <w:rFonts w:cs="Arial"/>
          <w:sz w:val="20"/>
        </w:rPr>
        <w:t>2</w:t>
      </w:r>
      <w:r>
        <w:rPr>
          <w:rFonts w:cs="Arial"/>
          <w:sz w:val="20"/>
        </w:rPr>
        <w:tab/>
        <w:t>H</w:t>
      </w:r>
      <w:r w:rsidRPr="0008073A">
        <w:rPr>
          <w:rFonts w:cs="Arial"/>
          <w:sz w:val="20"/>
        </w:rPr>
        <w:t>ousehold incomes (</w:t>
      </w:r>
      <w:smartTag w:uri="urn:schemas-microsoft-com:office:smarttags" w:element="stockticker">
        <w:r w:rsidRPr="0008073A">
          <w:rPr>
            <w:rFonts w:cs="Arial"/>
            <w:sz w:val="20"/>
          </w:rPr>
          <w:t>BHC</w:t>
        </w:r>
      </w:smartTag>
      <w:r w:rsidRPr="0008073A">
        <w:rPr>
          <w:rFonts w:cs="Arial"/>
          <w:sz w:val="20"/>
        </w:rPr>
        <w:t>): decile boundaries</w:t>
      </w:r>
      <w:r w:rsidR="00570CFA">
        <w:rPr>
          <w:rFonts w:cs="Arial"/>
          <w:sz w:val="20"/>
        </w:rPr>
        <w:t>, 1982 to 20</w:t>
      </w:r>
      <w:r w:rsidR="00CB1B45">
        <w:rPr>
          <w:rFonts w:cs="Arial"/>
          <w:sz w:val="20"/>
        </w:rPr>
        <w:t>1</w:t>
      </w:r>
      <w:r w:rsidR="00E61E90">
        <w:rPr>
          <w:rFonts w:cs="Arial"/>
          <w:sz w:val="20"/>
        </w:rPr>
        <w:t>1</w:t>
      </w:r>
      <w:r w:rsidRPr="0008073A">
        <w:rPr>
          <w:rFonts w:cs="Arial"/>
          <w:sz w:val="20"/>
        </w:rPr>
        <w:t xml:space="preserve"> ($20</w:t>
      </w:r>
      <w:r w:rsidR="00CB1B45">
        <w:rPr>
          <w:rFonts w:cs="Arial"/>
          <w:sz w:val="20"/>
        </w:rPr>
        <w:t>1</w:t>
      </w:r>
      <w:r w:rsidR="00E61E90">
        <w:rPr>
          <w:rFonts w:cs="Arial"/>
          <w:sz w:val="20"/>
        </w:rPr>
        <w:t>1</w:t>
      </w:r>
      <w:r w:rsidRPr="0008073A">
        <w:rPr>
          <w:rFonts w:cs="Arial"/>
          <w:sz w:val="20"/>
        </w:rPr>
        <w:t>)</w:t>
      </w:r>
      <w:r w:rsidR="00570CFA">
        <w:rPr>
          <w:rFonts w:cs="Arial"/>
          <w:sz w:val="20"/>
        </w:rPr>
        <w:tab/>
      </w:r>
      <w:r>
        <w:rPr>
          <w:rFonts w:cs="Arial"/>
          <w:sz w:val="20"/>
        </w:rPr>
        <w:t>…..…………</w:t>
      </w:r>
      <w:r>
        <w:rPr>
          <w:rFonts w:cs="Arial"/>
          <w:sz w:val="20"/>
        </w:rPr>
        <w:tab/>
      </w:r>
      <w:r w:rsidR="00093548">
        <w:rPr>
          <w:rFonts w:cs="Arial"/>
          <w:sz w:val="20"/>
        </w:rPr>
        <w:t>70</w:t>
      </w:r>
    </w:p>
    <w:p w:rsidR="007958D3" w:rsidRDefault="007958D3" w:rsidP="007958D3">
      <w:pPr>
        <w:tabs>
          <w:tab w:val="left" w:pos="1170"/>
          <w:tab w:val="right" w:pos="8460"/>
          <w:tab w:val="right" w:pos="8910"/>
        </w:tabs>
        <w:ind w:left="1166" w:hanging="1166"/>
        <w:rPr>
          <w:rFonts w:cs="Arial"/>
          <w:sz w:val="20"/>
        </w:rPr>
      </w:pPr>
      <w:r>
        <w:rPr>
          <w:rFonts w:cs="Arial"/>
          <w:sz w:val="20"/>
        </w:rPr>
        <w:t>Table D.3</w:t>
      </w:r>
      <w:r>
        <w:rPr>
          <w:rFonts w:cs="Arial"/>
          <w:sz w:val="20"/>
        </w:rPr>
        <w:tab/>
        <w:t>Changes in real equivalised household incomes (</w:t>
      </w:r>
      <w:smartTag w:uri="urn:schemas-microsoft-com:office:smarttags" w:element="stockticker">
        <w:r>
          <w:rPr>
            <w:rFonts w:cs="Arial"/>
            <w:sz w:val="20"/>
          </w:rPr>
          <w:t>BHC</w:t>
        </w:r>
      </w:smartTag>
      <w:r>
        <w:rPr>
          <w:rFonts w:cs="Arial"/>
          <w:sz w:val="20"/>
        </w:rPr>
        <w:t xml:space="preserve">) relative to selected </w:t>
      </w:r>
    </w:p>
    <w:p w:rsidR="007958D3" w:rsidRPr="0008073A" w:rsidRDefault="007958D3" w:rsidP="007958D3">
      <w:pPr>
        <w:tabs>
          <w:tab w:val="left" w:pos="1170"/>
          <w:tab w:val="right" w:pos="8460"/>
          <w:tab w:val="right" w:pos="8910"/>
        </w:tabs>
        <w:spacing w:after="80"/>
        <w:ind w:left="1166" w:hanging="1166"/>
        <w:rPr>
          <w:rFonts w:cs="Arial"/>
          <w:sz w:val="20"/>
        </w:rPr>
      </w:pPr>
      <w:r>
        <w:rPr>
          <w:rFonts w:cs="Arial"/>
          <w:sz w:val="20"/>
        </w:rPr>
        <w:tab/>
        <w:t>base years: index=100 in base year</w:t>
      </w:r>
      <w:r>
        <w:rPr>
          <w:rFonts w:cs="Arial"/>
          <w:sz w:val="20"/>
        </w:rPr>
        <w:tab/>
        <w:t>……………………………………..……………..</w:t>
      </w:r>
      <w:r>
        <w:rPr>
          <w:rFonts w:cs="Arial"/>
          <w:sz w:val="20"/>
        </w:rPr>
        <w:tab/>
      </w:r>
      <w:r w:rsidR="00093548">
        <w:rPr>
          <w:rFonts w:cs="Arial"/>
          <w:sz w:val="20"/>
        </w:rPr>
        <w:t>71</w:t>
      </w:r>
    </w:p>
    <w:p w:rsidR="00CE62C7" w:rsidRPr="0008073A" w:rsidRDefault="00CE62C7" w:rsidP="00CE62C7">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D</w:t>
      </w:r>
      <w:r w:rsidRPr="0008073A">
        <w:rPr>
          <w:rFonts w:cs="Arial"/>
          <w:sz w:val="20"/>
        </w:rPr>
        <w:t>.</w:t>
      </w:r>
      <w:r w:rsidR="00E61E90">
        <w:rPr>
          <w:rFonts w:cs="Arial"/>
          <w:sz w:val="20"/>
        </w:rPr>
        <w:t>9</w:t>
      </w:r>
      <w:r>
        <w:rPr>
          <w:rFonts w:cs="Arial"/>
          <w:sz w:val="20"/>
        </w:rPr>
        <w:tab/>
        <w:t>H</w:t>
      </w:r>
      <w:r w:rsidRPr="0008073A">
        <w:rPr>
          <w:rFonts w:cs="Arial"/>
          <w:sz w:val="20"/>
        </w:rPr>
        <w:t>ousehold incomes (</w:t>
      </w:r>
      <w:smartTag w:uri="urn:schemas-microsoft-com:office:smarttags" w:element="stockticker">
        <w:r w:rsidRPr="0008073A">
          <w:rPr>
            <w:rFonts w:cs="Arial"/>
            <w:sz w:val="20"/>
          </w:rPr>
          <w:t>AHC</w:t>
        </w:r>
      </w:smartTag>
      <w:r w:rsidRPr="0008073A">
        <w:rPr>
          <w:rFonts w:cs="Arial"/>
          <w:sz w:val="20"/>
        </w:rPr>
        <w:t>): decile boundaries</w:t>
      </w:r>
      <w:r>
        <w:rPr>
          <w:rFonts w:cs="Arial"/>
          <w:sz w:val="20"/>
        </w:rPr>
        <w:t>, 1982 to 201</w:t>
      </w:r>
      <w:r w:rsidR="00E61E90">
        <w:rPr>
          <w:rFonts w:cs="Arial"/>
          <w:sz w:val="20"/>
        </w:rPr>
        <w:t>1</w:t>
      </w:r>
      <w:r>
        <w:rPr>
          <w:rFonts w:cs="Arial"/>
          <w:sz w:val="20"/>
        </w:rPr>
        <w:t xml:space="preserve"> ($201</w:t>
      </w:r>
      <w:r w:rsidR="00E61E90">
        <w:rPr>
          <w:rFonts w:cs="Arial"/>
          <w:sz w:val="20"/>
        </w:rPr>
        <w:t>1</w:t>
      </w:r>
      <w:r>
        <w:rPr>
          <w:rFonts w:cs="Arial"/>
          <w:sz w:val="20"/>
        </w:rPr>
        <w:t>)</w:t>
      </w:r>
      <w:r>
        <w:rPr>
          <w:rFonts w:cs="Arial"/>
          <w:sz w:val="20"/>
        </w:rPr>
        <w:tab/>
        <w:t>………………</w:t>
      </w:r>
      <w:r>
        <w:rPr>
          <w:rFonts w:cs="Arial"/>
          <w:sz w:val="20"/>
        </w:rPr>
        <w:tab/>
      </w:r>
      <w:r w:rsidR="00093548">
        <w:rPr>
          <w:rFonts w:cs="Arial"/>
          <w:sz w:val="20"/>
        </w:rPr>
        <w:t>72</w:t>
      </w:r>
    </w:p>
    <w:p w:rsidR="00CB1B45" w:rsidRDefault="00CB1B45" w:rsidP="00072793">
      <w:pPr>
        <w:tabs>
          <w:tab w:val="left" w:pos="1170"/>
          <w:tab w:val="right" w:pos="8460"/>
          <w:tab w:val="right" w:pos="8910"/>
        </w:tabs>
        <w:spacing w:after="60"/>
        <w:ind w:left="1166" w:hanging="1166"/>
        <w:rPr>
          <w:rFonts w:cs="Arial"/>
          <w:sz w:val="20"/>
        </w:rPr>
      </w:pPr>
      <w:r w:rsidRPr="0008073A">
        <w:rPr>
          <w:rFonts w:cs="Arial"/>
          <w:sz w:val="20"/>
        </w:rPr>
        <w:t xml:space="preserve">Table </w:t>
      </w:r>
      <w:r>
        <w:rPr>
          <w:rFonts w:cs="Arial"/>
          <w:sz w:val="20"/>
        </w:rPr>
        <w:t>D</w:t>
      </w:r>
      <w:r w:rsidRPr="0008073A">
        <w:rPr>
          <w:rFonts w:cs="Arial"/>
          <w:sz w:val="20"/>
        </w:rPr>
        <w:t>.</w:t>
      </w:r>
      <w:r>
        <w:rPr>
          <w:rFonts w:cs="Arial"/>
          <w:sz w:val="20"/>
        </w:rPr>
        <w:t>4</w:t>
      </w:r>
      <w:r>
        <w:rPr>
          <w:rFonts w:cs="Arial"/>
          <w:sz w:val="20"/>
        </w:rPr>
        <w:tab/>
        <w:t>Household</w:t>
      </w:r>
      <w:r w:rsidRPr="0008073A">
        <w:rPr>
          <w:rFonts w:cs="Arial"/>
          <w:sz w:val="20"/>
        </w:rPr>
        <w:t xml:space="preserve"> incomes (</w:t>
      </w:r>
      <w:smartTag w:uri="urn:schemas-microsoft-com:office:smarttags" w:element="stockticker">
        <w:r w:rsidRPr="0008073A">
          <w:rPr>
            <w:rFonts w:cs="Arial"/>
            <w:sz w:val="20"/>
          </w:rPr>
          <w:t>AHC</w:t>
        </w:r>
      </w:smartTag>
      <w:r w:rsidRPr="0008073A">
        <w:rPr>
          <w:rFonts w:cs="Arial"/>
          <w:sz w:val="20"/>
        </w:rPr>
        <w:t>): decile boundaries</w:t>
      </w:r>
      <w:r>
        <w:rPr>
          <w:rFonts w:cs="Arial"/>
          <w:sz w:val="20"/>
        </w:rPr>
        <w:t>, 1982 to 201</w:t>
      </w:r>
      <w:r w:rsidR="00E61E90">
        <w:rPr>
          <w:rFonts w:cs="Arial"/>
          <w:sz w:val="20"/>
        </w:rPr>
        <w:t>1</w:t>
      </w:r>
      <w:r w:rsidRPr="0008073A">
        <w:rPr>
          <w:rFonts w:cs="Arial"/>
          <w:sz w:val="20"/>
        </w:rPr>
        <w:t xml:space="preserve"> ($20</w:t>
      </w:r>
      <w:r>
        <w:rPr>
          <w:rFonts w:cs="Arial"/>
          <w:sz w:val="20"/>
        </w:rPr>
        <w:t>1</w:t>
      </w:r>
      <w:r w:rsidR="00E61E90">
        <w:rPr>
          <w:rFonts w:cs="Arial"/>
          <w:sz w:val="20"/>
        </w:rPr>
        <w:t>1</w:t>
      </w:r>
      <w:r w:rsidRPr="0008073A">
        <w:rPr>
          <w:rFonts w:cs="Arial"/>
          <w:sz w:val="20"/>
        </w:rPr>
        <w:t>)</w:t>
      </w:r>
      <w:r>
        <w:rPr>
          <w:rFonts w:cs="Arial"/>
          <w:sz w:val="20"/>
        </w:rPr>
        <w:tab/>
        <w:t>….………….</w:t>
      </w:r>
      <w:r w:rsidR="00CE62C7">
        <w:rPr>
          <w:rFonts w:cs="Arial"/>
          <w:sz w:val="20"/>
        </w:rPr>
        <w:tab/>
      </w:r>
      <w:r w:rsidR="00093548">
        <w:rPr>
          <w:rFonts w:cs="Arial"/>
          <w:sz w:val="20"/>
        </w:rPr>
        <w:t>72</w:t>
      </w:r>
    </w:p>
    <w:p w:rsidR="00CE62C7" w:rsidRDefault="00CE62C7" w:rsidP="00CE62C7">
      <w:pPr>
        <w:tabs>
          <w:tab w:val="left" w:pos="1170"/>
          <w:tab w:val="right" w:pos="8460"/>
          <w:tab w:val="right" w:pos="8910"/>
        </w:tabs>
        <w:ind w:left="1166" w:hanging="1166"/>
        <w:rPr>
          <w:rFonts w:cs="Arial"/>
          <w:sz w:val="20"/>
        </w:rPr>
      </w:pPr>
      <w:r w:rsidRPr="0008073A">
        <w:rPr>
          <w:rFonts w:cs="Arial"/>
          <w:sz w:val="20"/>
        </w:rPr>
        <w:t xml:space="preserve">Figure </w:t>
      </w:r>
      <w:r>
        <w:rPr>
          <w:rFonts w:cs="Arial"/>
          <w:sz w:val="20"/>
        </w:rPr>
        <w:t>D</w:t>
      </w:r>
      <w:r w:rsidRPr="0008073A">
        <w:rPr>
          <w:rFonts w:cs="Arial"/>
          <w:sz w:val="20"/>
        </w:rPr>
        <w:t>.</w:t>
      </w:r>
      <w:r w:rsidR="00E61E90">
        <w:rPr>
          <w:rFonts w:cs="Arial"/>
          <w:sz w:val="20"/>
        </w:rPr>
        <w:t>10</w:t>
      </w:r>
      <w:r>
        <w:rPr>
          <w:rFonts w:cs="Arial"/>
          <w:sz w:val="20"/>
        </w:rPr>
        <w:tab/>
        <w:t>Median equivalised household incomes (</w:t>
      </w:r>
      <w:smartTag w:uri="urn:schemas-microsoft-com:office:smarttags" w:element="stockticker">
        <w:r>
          <w:rPr>
            <w:rFonts w:cs="Arial"/>
            <w:sz w:val="20"/>
          </w:rPr>
          <w:t>BHC</w:t>
        </w:r>
      </w:smartTag>
      <w:r w:rsidRPr="0008073A">
        <w:rPr>
          <w:rFonts w:cs="Arial"/>
          <w:sz w:val="20"/>
        </w:rPr>
        <w:t>)</w:t>
      </w:r>
      <w:r>
        <w:rPr>
          <w:rFonts w:cs="Arial"/>
          <w:sz w:val="20"/>
        </w:rPr>
        <w:t xml:space="preserve"> for selected household types</w:t>
      </w:r>
    </w:p>
    <w:p w:rsidR="00CE62C7" w:rsidRPr="0008073A" w:rsidRDefault="00CE62C7" w:rsidP="00CE62C7">
      <w:pPr>
        <w:tabs>
          <w:tab w:val="left" w:pos="1170"/>
          <w:tab w:val="right" w:pos="8460"/>
          <w:tab w:val="right" w:pos="8910"/>
        </w:tabs>
        <w:spacing w:after="80"/>
        <w:ind w:left="1166" w:hanging="1166"/>
        <w:rPr>
          <w:rFonts w:cs="Arial"/>
          <w:sz w:val="20"/>
        </w:rPr>
      </w:pPr>
      <w:r>
        <w:rPr>
          <w:rFonts w:cs="Arial"/>
          <w:sz w:val="20"/>
        </w:rPr>
        <w:tab/>
        <w:t>1982 to 201</w:t>
      </w:r>
      <w:r w:rsidR="00E61E90">
        <w:rPr>
          <w:rFonts w:cs="Arial"/>
          <w:sz w:val="20"/>
        </w:rPr>
        <w:t>1</w:t>
      </w:r>
      <w:r>
        <w:rPr>
          <w:rFonts w:cs="Arial"/>
          <w:sz w:val="20"/>
        </w:rPr>
        <w:t xml:space="preserve"> ($201</w:t>
      </w:r>
      <w:r w:rsidR="00E61E90">
        <w:rPr>
          <w:rFonts w:cs="Arial"/>
          <w:sz w:val="20"/>
        </w:rPr>
        <w:t>1</w:t>
      </w:r>
      <w:r>
        <w:rPr>
          <w:rFonts w:cs="Arial"/>
          <w:sz w:val="20"/>
        </w:rPr>
        <w:t>) ………..………………………………………………………….</w:t>
      </w:r>
      <w:r>
        <w:rPr>
          <w:rFonts w:cs="Arial"/>
          <w:sz w:val="20"/>
        </w:rPr>
        <w:tab/>
      </w:r>
      <w:r>
        <w:rPr>
          <w:rFonts w:cs="Arial"/>
          <w:sz w:val="20"/>
        </w:rPr>
        <w:tab/>
      </w:r>
      <w:r w:rsidR="00093548">
        <w:rPr>
          <w:rFonts w:cs="Arial"/>
          <w:sz w:val="20"/>
        </w:rPr>
        <w:t>73</w:t>
      </w:r>
    </w:p>
    <w:p w:rsidR="00CE62C7" w:rsidRDefault="00CE62C7" w:rsidP="00CE62C7">
      <w:pPr>
        <w:tabs>
          <w:tab w:val="left" w:pos="1170"/>
          <w:tab w:val="right" w:pos="8460"/>
          <w:tab w:val="right" w:pos="8910"/>
        </w:tabs>
        <w:ind w:left="1166" w:hanging="1166"/>
        <w:rPr>
          <w:rFonts w:cs="Arial"/>
          <w:sz w:val="20"/>
        </w:rPr>
      </w:pPr>
      <w:r>
        <w:rPr>
          <w:rFonts w:cs="Arial"/>
          <w:sz w:val="20"/>
        </w:rPr>
        <w:t>Table D.5</w:t>
      </w:r>
      <w:r>
        <w:rPr>
          <w:rFonts w:cs="Arial"/>
          <w:sz w:val="20"/>
        </w:rPr>
        <w:tab/>
        <w:t>Median equivalised household incomes (</w:t>
      </w:r>
      <w:smartTag w:uri="urn:schemas-microsoft-com:office:smarttags" w:element="stockticker">
        <w:r>
          <w:rPr>
            <w:rFonts w:cs="Arial"/>
            <w:sz w:val="20"/>
          </w:rPr>
          <w:t>BHC</w:t>
        </w:r>
      </w:smartTag>
      <w:r w:rsidRPr="0008073A">
        <w:rPr>
          <w:rFonts w:cs="Arial"/>
          <w:sz w:val="20"/>
        </w:rPr>
        <w:t>)</w:t>
      </w:r>
      <w:r>
        <w:rPr>
          <w:rFonts w:cs="Arial"/>
          <w:sz w:val="20"/>
        </w:rPr>
        <w:t xml:space="preserve"> for selected household types</w:t>
      </w:r>
    </w:p>
    <w:p w:rsidR="00CE62C7" w:rsidRPr="0008073A" w:rsidRDefault="00CE62C7" w:rsidP="00CE62C7">
      <w:pPr>
        <w:tabs>
          <w:tab w:val="left" w:pos="1170"/>
          <w:tab w:val="right" w:pos="8460"/>
          <w:tab w:val="right" w:pos="8910"/>
        </w:tabs>
        <w:spacing w:after="80"/>
        <w:ind w:left="1166" w:hanging="1166"/>
        <w:rPr>
          <w:rFonts w:cs="Arial"/>
          <w:sz w:val="20"/>
        </w:rPr>
      </w:pPr>
      <w:r>
        <w:rPr>
          <w:rFonts w:cs="Arial"/>
          <w:sz w:val="20"/>
        </w:rPr>
        <w:tab/>
        <w:t>1982 to 201</w:t>
      </w:r>
      <w:r w:rsidR="00E61E90">
        <w:rPr>
          <w:rFonts w:cs="Arial"/>
          <w:sz w:val="20"/>
        </w:rPr>
        <w:t>1</w:t>
      </w:r>
      <w:r>
        <w:rPr>
          <w:rFonts w:cs="Arial"/>
          <w:sz w:val="20"/>
        </w:rPr>
        <w:t xml:space="preserve"> ($201</w:t>
      </w:r>
      <w:r w:rsidR="00E61E90">
        <w:rPr>
          <w:rFonts w:cs="Arial"/>
          <w:sz w:val="20"/>
        </w:rPr>
        <w:t>1</w:t>
      </w:r>
      <w:r>
        <w:rPr>
          <w:rFonts w:cs="Arial"/>
          <w:sz w:val="20"/>
        </w:rPr>
        <w:t>) ………..………………………………………………………….</w:t>
      </w:r>
      <w:r>
        <w:rPr>
          <w:rFonts w:cs="Arial"/>
          <w:sz w:val="20"/>
        </w:rPr>
        <w:tab/>
      </w:r>
      <w:r>
        <w:rPr>
          <w:rFonts w:cs="Arial"/>
          <w:sz w:val="20"/>
        </w:rPr>
        <w:tab/>
      </w:r>
      <w:r w:rsidR="00E61E90">
        <w:rPr>
          <w:rFonts w:cs="Arial"/>
          <w:sz w:val="20"/>
        </w:rPr>
        <w:t>7</w:t>
      </w:r>
      <w:r w:rsidR="00093548">
        <w:rPr>
          <w:rFonts w:cs="Arial"/>
          <w:sz w:val="20"/>
        </w:rPr>
        <w:t>4</w:t>
      </w:r>
    </w:p>
    <w:p w:rsidR="00072793" w:rsidRPr="0008073A" w:rsidRDefault="00072793" w:rsidP="00072793">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D</w:t>
      </w:r>
      <w:r w:rsidRPr="0008073A">
        <w:rPr>
          <w:rFonts w:cs="Arial"/>
          <w:sz w:val="20"/>
        </w:rPr>
        <w:t>.</w:t>
      </w:r>
      <w:r w:rsidR="00CE62C7">
        <w:rPr>
          <w:rFonts w:cs="Arial"/>
          <w:sz w:val="20"/>
        </w:rPr>
        <w:t>1</w:t>
      </w:r>
      <w:r w:rsidR="00E61E90">
        <w:rPr>
          <w:rFonts w:cs="Arial"/>
          <w:sz w:val="20"/>
        </w:rPr>
        <w:t>1</w:t>
      </w:r>
      <w:r>
        <w:rPr>
          <w:rFonts w:cs="Arial"/>
          <w:sz w:val="20"/>
        </w:rPr>
        <w:tab/>
        <w:t>Median equivalised household incomes (</w:t>
      </w:r>
      <w:smartTag w:uri="urn:schemas-microsoft-com:office:smarttags" w:element="stockticker">
        <w:r>
          <w:rPr>
            <w:rFonts w:cs="Arial"/>
            <w:sz w:val="20"/>
          </w:rPr>
          <w:t>BHC</w:t>
        </w:r>
      </w:smartTag>
      <w:r w:rsidRPr="0008073A">
        <w:rPr>
          <w:rFonts w:cs="Arial"/>
          <w:sz w:val="20"/>
        </w:rPr>
        <w:t>)</w:t>
      </w:r>
      <w:r>
        <w:rPr>
          <w:rFonts w:cs="Arial"/>
          <w:sz w:val="20"/>
        </w:rPr>
        <w:t xml:space="preserve"> by ethnicity, 1988 to 201</w:t>
      </w:r>
      <w:r w:rsidR="00E61E90">
        <w:rPr>
          <w:rFonts w:cs="Arial"/>
          <w:sz w:val="20"/>
        </w:rPr>
        <w:t>1</w:t>
      </w:r>
      <w:r>
        <w:rPr>
          <w:rFonts w:cs="Arial"/>
          <w:sz w:val="20"/>
        </w:rPr>
        <w:t xml:space="preserve"> ……….</w:t>
      </w:r>
      <w:r>
        <w:rPr>
          <w:rFonts w:cs="Arial"/>
          <w:sz w:val="20"/>
        </w:rPr>
        <w:tab/>
      </w:r>
      <w:r>
        <w:rPr>
          <w:rFonts w:cs="Arial"/>
          <w:sz w:val="20"/>
        </w:rPr>
        <w:tab/>
      </w:r>
      <w:r w:rsidR="00E61E90">
        <w:rPr>
          <w:rFonts w:cs="Arial"/>
          <w:sz w:val="20"/>
        </w:rPr>
        <w:t>7</w:t>
      </w:r>
      <w:r w:rsidR="00093548">
        <w:rPr>
          <w:rFonts w:cs="Arial"/>
          <w:sz w:val="20"/>
        </w:rPr>
        <w:t>5</w:t>
      </w:r>
    </w:p>
    <w:p w:rsidR="00EC44F0" w:rsidRPr="0008073A" w:rsidRDefault="00EC44F0" w:rsidP="00EC44F0">
      <w:pPr>
        <w:tabs>
          <w:tab w:val="left" w:pos="1170"/>
          <w:tab w:val="right" w:pos="8460"/>
          <w:tab w:val="right" w:pos="8910"/>
        </w:tabs>
        <w:spacing w:after="80"/>
        <w:ind w:left="1166" w:hanging="1166"/>
        <w:rPr>
          <w:rFonts w:cs="Arial"/>
          <w:sz w:val="20"/>
        </w:rPr>
      </w:pPr>
      <w:r>
        <w:rPr>
          <w:rFonts w:cs="Arial"/>
          <w:sz w:val="20"/>
        </w:rPr>
        <w:t>Table D.</w:t>
      </w:r>
      <w:r w:rsidR="00CB1B45">
        <w:rPr>
          <w:rFonts w:cs="Arial"/>
          <w:sz w:val="20"/>
        </w:rPr>
        <w:t>6</w:t>
      </w:r>
      <w:r>
        <w:rPr>
          <w:rFonts w:cs="Arial"/>
          <w:sz w:val="20"/>
        </w:rPr>
        <w:tab/>
        <w:t>Median equivalised household incomes (</w:t>
      </w:r>
      <w:smartTag w:uri="urn:schemas-microsoft-com:office:smarttags" w:element="stockticker">
        <w:r>
          <w:rPr>
            <w:rFonts w:cs="Arial"/>
            <w:sz w:val="20"/>
          </w:rPr>
          <w:t>BHC</w:t>
        </w:r>
      </w:smartTag>
      <w:r w:rsidRPr="0008073A">
        <w:rPr>
          <w:rFonts w:cs="Arial"/>
          <w:sz w:val="20"/>
        </w:rPr>
        <w:t>)</w:t>
      </w:r>
      <w:r>
        <w:rPr>
          <w:rFonts w:cs="Arial"/>
          <w:sz w:val="20"/>
        </w:rPr>
        <w:t xml:space="preserve"> by ethnicity, 1988 to 20</w:t>
      </w:r>
      <w:r w:rsidR="00CB1B45">
        <w:rPr>
          <w:rFonts w:cs="Arial"/>
          <w:sz w:val="20"/>
        </w:rPr>
        <w:t>1</w:t>
      </w:r>
      <w:r w:rsidR="00E61E90">
        <w:rPr>
          <w:rFonts w:cs="Arial"/>
          <w:sz w:val="20"/>
        </w:rPr>
        <w:t>1</w:t>
      </w:r>
      <w:r>
        <w:rPr>
          <w:rFonts w:cs="Arial"/>
          <w:sz w:val="20"/>
        </w:rPr>
        <w:t xml:space="preserve"> ……….</w:t>
      </w:r>
      <w:r>
        <w:rPr>
          <w:rFonts w:cs="Arial"/>
          <w:sz w:val="20"/>
        </w:rPr>
        <w:tab/>
      </w:r>
      <w:r>
        <w:rPr>
          <w:rFonts w:cs="Arial"/>
          <w:sz w:val="20"/>
        </w:rPr>
        <w:tab/>
      </w:r>
      <w:r w:rsidR="00E61E90">
        <w:rPr>
          <w:rFonts w:cs="Arial"/>
          <w:sz w:val="20"/>
        </w:rPr>
        <w:t>7</w:t>
      </w:r>
      <w:r w:rsidR="00093548">
        <w:rPr>
          <w:rFonts w:cs="Arial"/>
          <w:sz w:val="20"/>
        </w:rPr>
        <w:t>6</w:t>
      </w:r>
    </w:p>
    <w:p w:rsidR="00EF3364" w:rsidRPr="0008073A" w:rsidRDefault="00EF3364" w:rsidP="007329A6">
      <w:pPr>
        <w:tabs>
          <w:tab w:val="left" w:pos="1170"/>
          <w:tab w:val="right" w:pos="8460"/>
          <w:tab w:val="right" w:pos="8910"/>
        </w:tabs>
        <w:spacing w:after="80"/>
        <w:ind w:left="1166" w:hanging="1166"/>
        <w:jc w:val="both"/>
        <w:rPr>
          <w:rFonts w:cs="Arial"/>
          <w:sz w:val="20"/>
        </w:rPr>
      </w:pPr>
      <w:r w:rsidRPr="0008073A">
        <w:rPr>
          <w:rFonts w:cs="Arial"/>
          <w:sz w:val="20"/>
        </w:rPr>
        <w:t xml:space="preserve">Figure </w:t>
      </w:r>
      <w:r w:rsidR="00A470A1">
        <w:rPr>
          <w:rFonts w:cs="Arial"/>
          <w:sz w:val="20"/>
        </w:rPr>
        <w:t>D</w:t>
      </w:r>
      <w:r w:rsidRPr="0008073A">
        <w:rPr>
          <w:rFonts w:cs="Arial"/>
          <w:sz w:val="20"/>
        </w:rPr>
        <w:t>.</w:t>
      </w:r>
      <w:r w:rsidR="00EC44F0">
        <w:rPr>
          <w:rFonts w:cs="Arial"/>
          <w:sz w:val="20"/>
        </w:rPr>
        <w:t>1</w:t>
      </w:r>
      <w:r w:rsidR="00E61E90">
        <w:rPr>
          <w:rFonts w:cs="Arial"/>
          <w:sz w:val="20"/>
        </w:rPr>
        <w:t>2</w:t>
      </w:r>
      <w:r>
        <w:rPr>
          <w:rFonts w:cs="Arial"/>
          <w:sz w:val="20"/>
        </w:rPr>
        <w:tab/>
      </w:r>
      <w:r w:rsidRPr="0008073A">
        <w:rPr>
          <w:rFonts w:cs="Arial"/>
          <w:sz w:val="20"/>
        </w:rPr>
        <w:t>Household incomes distribution (</w:t>
      </w:r>
      <w:smartTag w:uri="urn:schemas-microsoft-com:office:smarttags" w:element="stockticker">
        <w:r w:rsidRPr="0008073A">
          <w:rPr>
            <w:rFonts w:cs="Arial"/>
            <w:sz w:val="20"/>
          </w:rPr>
          <w:t>BHC</w:t>
        </w:r>
      </w:smartTag>
      <w:r w:rsidRPr="0008073A">
        <w:rPr>
          <w:rFonts w:cs="Arial"/>
          <w:sz w:val="20"/>
        </w:rPr>
        <w:t>): 1984 and 1994</w:t>
      </w:r>
      <w:r>
        <w:rPr>
          <w:rFonts w:cs="Arial"/>
          <w:sz w:val="20"/>
        </w:rPr>
        <w:tab/>
        <w:t>…………………………….</w:t>
      </w:r>
      <w:r>
        <w:rPr>
          <w:rFonts w:cs="Arial"/>
          <w:sz w:val="20"/>
        </w:rPr>
        <w:tab/>
      </w:r>
      <w:r w:rsidR="00E61E90">
        <w:rPr>
          <w:rFonts w:cs="Arial"/>
          <w:sz w:val="20"/>
        </w:rPr>
        <w:t>7</w:t>
      </w:r>
      <w:r w:rsidR="00093548">
        <w:rPr>
          <w:rFonts w:cs="Arial"/>
          <w:sz w:val="20"/>
        </w:rPr>
        <w:t>8</w:t>
      </w:r>
    </w:p>
    <w:p w:rsidR="00EF3364" w:rsidRPr="0008073A" w:rsidRDefault="00EF3364" w:rsidP="007329A6">
      <w:pPr>
        <w:tabs>
          <w:tab w:val="left" w:pos="1170"/>
          <w:tab w:val="right" w:pos="8460"/>
          <w:tab w:val="right" w:pos="8910"/>
        </w:tabs>
        <w:spacing w:after="80"/>
        <w:ind w:left="1166" w:hanging="1166"/>
        <w:jc w:val="both"/>
        <w:rPr>
          <w:rFonts w:cs="Arial"/>
          <w:sz w:val="20"/>
        </w:rPr>
      </w:pPr>
      <w:r w:rsidRPr="0008073A">
        <w:rPr>
          <w:rFonts w:cs="Arial"/>
          <w:sz w:val="20"/>
        </w:rPr>
        <w:t xml:space="preserve">Figure </w:t>
      </w:r>
      <w:r w:rsidR="00A470A1">
        <w:rPr>
          <w:rFonts w:cs="Arial"/>
          <w:sz w:val="20"/>
        </w:rPr>
        <w:t>D</w:t>
      </w:r>
      <w:r w:rsidRPr="0008073A">
        <w:rPr>
          <w:rFonts w:cs="Arial"/>
          <w:sz w:val="20"/>
        </w:rPr>
        <w:t>.</w:t>
      </w:r>
      <w:r w:rsidR="00EC44F0">
        <w:rPr>
          <w:rFonts w:cs="Arial"/>
          <w:sz w:val="20"/>
        </w:rPr>
        <w:t>1</w:t>
      </w:r>
      <w:r w:rsidR="00E61E90">
        <w:rPr>
          <w:rFonts w:cs="Arial"/>
          <w:sz w:val="20"/>
        </w:rPr>
        <w:t>3</w:t>
      </w:r>
      <w:r>
        <w:rPr>
          <w:rFonts w:cs="Arial"/>
          <w:sz w:val="20"/>
        </w:rPr>
        <w:tab/>
      </w:r>
      <w:r w:rsidRPr="0008073A">
        <w:rPr>
          <w:rFonts w:cs="Arial"/>
          <w:sz w:val="20"/>
        </w:rPr>
        <w:t>Household incomes distribution (</w:t>
      </w:r>
      <w:smartTag w:uri="urn:schemas-microsoft-com:office:smarttags" w:element="stockticker">
        <w:r w:rsidRPr="0008073A">
          <w:rPr>
            <w:rFonts w:cs="Arial"/>
            <w:sz w:val="20"/>
          </w:rPr>
          <w:t>BHC</w:t>
        </w:r>
      </w:smartTag>
      <w:r w:rsidRPr="0008073A">
        <w:rPr>
          <w:rFonts w:cs="Arial"/>
          <w:sz w:val="20"/>
        </w:rPr>
        <w:t>): 1994 and 2004</w:t>
      </w:r>
      <w:r>
        <w:rPr>
          <w:rFonts w:cs="Arial"/>
          <w:sz w:val="20"/>
        </w:rPr>
        <w:tab/>
        <w:t>…………………………….</w:t>
      </w:r>
      <w:r>
        <w:rPr>
          <w:rFonts w:cs="Arial"/>
          <w:sz w:val="20"/>
        </w:rPr>
        <w:tab/>
      </w:r>
      <w:r w:rsidR="00E61E90">
        <w:rPr>
          <w:rFonts w:cs="Arial"/>
          <w:sz w:val="20"/>
        </w:rPr>
        <w:t>7</w:t>
      </w:r>
      <w:r w:rsidR="00093548">
        <w:rPr>
          <w:rFonts w:cs="Arial"/>
          <w:sz w:val="20"/>
        </w:rPr>
        <w:t>8</w:t>
      </w:r>
    </w:p>
    <w:p w:rsidR="00EF3364" w:rsidRPr="0008073A" w:rsidRDefault="00EF3364" w:rsidP="007329A6">
      <w:pPr>
        <w:tabs>
          <w:tab w:val="left" w:pos="1170"/>
          <w:tab w:val="right" w:pos="8460"/>
          <w:tab w:val="right" w:pos="8910"/>
        </w:tabs>
        <w:spacing w:after="80"/>
        <w:ind w:left="1166" w:hanging="1166"/>
        <w:jc w:val="both"/>
        <w:rPr>
          <w:rFonts w:cs="Arial"/>
          <w:sz w:val="20"/>
        </w:rPr>
      </w:pPr>
      <w:r w:rsidRPr="0008073A">
        <w:rPr>
          <w:rFonts w:cs="Arial"/>
          <w:sz w:val="20"/>
        </w:rPr>
        <w:t xml:space="preserve">Figure </w:t>
      </w:r>
      <w:r w:rsidR="00A470A1">
        <w:rPr>
          <w:rFonts w:cs="Arial"/>
          <w:sz w:val="20"/>
        </w:rPr>
        <w:t>D</w:t>
      </w:r>
      <w:r w:rsidRPr="0008073A">
        <w:rPr>
          <w:rFonts w:cs="Arial"/>
          <w:sz w:val="20"/>
        </w:rPr>
        <w:t>.</w:t>
      </w:r>
      <w:r w:rsidR="00EC44F0">
        <w:rPr>
          <w:rFonts w:cs="Arial"/>
          <w:sz w:val="20"/>
        </w:rPr>
        <w:t>1</w:t>
      </w:r>
      <w:r w:rsidR="00E61E90">
        <w:rPr>
          <w:rFonts w:cs="Arial"/>
          <w:sz w:val="20"/>
        </w:rPr>
        <w:t>4</w:t>
      </w:r>
      <w:r>
        <w:rPr>
          <w:rFonts w:cs="Arial"/>
          <w:sz w:val="20"/>
        </w:rPr>
        <w:tab/>
      </w:r>
      <w:r w:rsidRPr="0008073A">
        <w:rPr>
          <w:rFonts w:cs="Arial"/>
          <w:sz w:val="20"/>
        </w:rPr>
        <w:t>Household incomes distribution (</w:t>
      </w:r>
      <w:smartTag w:uri="urn:schemas-microsoft-com:office:smarttags" w:element="stockticker">
        <w:r w:rsidRPr="0008073A">
          <w:rPr>
            <w:rFonts w:cs="Arial"/>
            <w:sz w:val="20"/>
          </w:rPr>
          <w:t>BHC</w:t>
        </w:r>
      </w:smartTag>
      <w:r w:rsidRPr="0008073A">
        <w:rPr>
          <w:rFonts w:cs="Arial"/>
          <w:sz w:val="20"/>
        </w:rPr>
        <w:t>): 1984 and 2004</w:t>
      </w:r>
      <w:r>
        <w:rPr>
          <w:rFonts w:cs="Arial"/>
          <w:sz w:val="20"/>
        </w:rPr>
        <w:tab/>
        <w:t>…………………………….</w:t>
      </w:r>
      <w:r>
        <w:rPr>
          <w:rFonts w:cs="Arial"/>
          <w:sz w:val="20"/>
        </w:rPr>
        <w:tab/>
      </w:r>
      <w:r w:rsidR="00E61E90">
        <w:rPr>
          <w:rFonts w:cs="Arial"/>
          <w:sz w:val="20"/>
        </w:rPr>
        <w:t>7</w:t>
      </w:r>
      <w:r w:rsidR="00093548">
        <w:rPr>
          <w:rFonts w:cs="Arial"/>
          <w:sz w:val="20"/>
        </w:rPr>
        <w:t>8</w:t>
      </w:r>
    </w:p>
    <w:p w:rsidR="00EC44F0" w:rsidRPr="0008073A" w:rsidRDefault="00EC44F0" w:rsidP="00EC44F0">
      <w:pPr>
        <w:tabs>
          <w:tab w:val="left" w:pos="1170"/>
          <w:tab w:val="right" w:pos="8460"/>
          <w:tab w:val="right" w:pos="8910"/>
        </w:tabs>
        <w:spacing w:after="80"/>
        <w:ind w:left="1166" w:hanging="1166"/>
        <w:jc w:val="both"/>
        <w:rPr>
          <w:rFonts w:cs="Arial"/>
          <w:sz w:val="20"/>
        </w:rPr>
      </w:pPr>
      <w:r w:rsidRPr="0008073A">
        <w:rPr>
          <w:rFonts w:cs="Arial"/>
          <w:sz w:val="20"/>
        </w:rPr>
        <w:t xml:space="preserve">Figure </w:t>
      </w:r>
      <w:r>
        <w:rPr>
          <w:rFonts w:cs="Arial"/>
          <w:sz w:val="20"/>
        </w:rPr>
        <w:t>D</w:t>
      </w:r>
      <w:r w:rsidRPr="0008073A">
        <w:rPr>
          <w:rFonts w:cs="Arial"/>
          <w:sz w:val="20"/>
        </w:rPr>
        <w:t>.</w:t>
      </w:r>
      <w:r>
        <w:rPr>
          <w:rFonts w:cs="Arial"/>
          <w:sz w:val="20"/>
        </w:rPr>
        <w:t>1</w:t>
      </w:r>
      <w:r w:rsidR="00E61E90">
        <w:rPr>
          <w:rFonts w:cs="Arial"/>
          <w:sz w:val="20"/>
        </w:rPr>
        <w:t>5</w:t>
      </w:r>
      <w:r>
        <w:rPr>
          <w:rFonts w:cs="Arial"/>
          <w:sz w:val="20"/>
        </w:rPr>
        <w:tab/>
      </w:r>
      <w:r w:rsidRPr="0008073A">
        <w:rPr>
          <w:rFonts w:cs="Arial"/>
          <w:sz w:val="20"/>
        </w:rPr>
        <w:t>Household incomes distribution (</w:t>
      </w:r>
      <w:smartTag w:uri="urn:schemas-microsoft-com:office:smarttags" w:element="stockticker">
        <w:r w:rsidRPr="0008073A">
          <w:rPr>
            <w:rFonts w:cs="Arial"/>
            <w:sz w:val="20"/>
          </w:rPr>
          <w:t>BHC</w:t>
        </w:r>
      </w:smartTag>
      <w:r w:rsidRPr="0008073A">
        <w:rPr>
          <w:rFonts w:cs="Arial"/>
          <w:sz w:val="20"/>
        </w:rPr>
        <w:t xml:space="preserve">): </w:t>
      </w:r>
      <w:r>
        <w:rPr>
          <w:rFonts w:cs="Arial"/>
          <w:sz w:val="20"/>
        </w:rPr>
        <w:t>2004</w:t>
      </w:r>
      <w:r w:rsidRPr="0008073A">
        <w:rPr>
          <w:rFonts w:cs="Arial"/>
          <w:sz w:val="20"/>
        </w:rPr>
        <w:t xml:space="preserve"> and 200</w:t>
      </w:r>
      <w:r>
        <w:rPr>
          <w:rFonts w:cs="Arial"/>
          <w:sz w:val="20"/>
        </w:rPr>
        <w:t>7</w:t>
      </w:r>
      <w:r>
        <w:rPr>
          <w:rFonts w:cs="Arial"/>
          <w:sz w:val="20"/>
        </w:rPr>
        <w:tab/>
        <w:t>…………………………….</w:t>
      </w:r>
      <w:r>
        <w:rPr>
          <w:rFonts w:cs="Arial"/>
          <w:sz w:val="20"/>
        </w:rPr>
        <w:tab/>
      </w:r>
      <w:r w:rsidR="00E61E90">
        <w:rPr>
          <w:rFonts w:cs="Arial"/>
          <w:sz w:val="20"/>
        </w:rPr>
        <w:t>7</w:t>
      </w:r>
      <w:r w:rsidR="00093548">
        <w:rPr>
          <w:rFonts w:cs="Arial"/>
          <w:sz w:val="20"/>
        </w:rPr>
        <w:t>9</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w:t>
      </w:r>
      <w:r w:rsidR="00A470A1">
        <w:rPr>
          <w:rFonts w:cs="Arial"/>
          <w:sz w:val="20"/>
        </w:rPr>
        <w:t>D</w:t>
      </w:r>
      <w:r w:rsidRPr="0008073A">
        <w:rPr>
          <w:rFonts w:cs="Arial"/>
          <w:sz w:val="20"/>
        </w:rPr>
        <w:t>.</w:t>
      </w:r>
      <w:r w:rsidR="00EC44F0">
        <w:rPr>
          <w:rFonts w:cs="Arial"/>
          <w:sz w:val="20"/>
        </w:rPr>
        <w:t>1</w:t>
      </w:r>
      <w:r w:rsidR="00E61E90">
        <w:rPr>
          <w:rFonts w:cs="Arial"/>
          <w:sz w:val="20"/>
        </w:rPr>
        <w:t>6</w:t>
      </w:r>
      <w:r>
        <w:rPr>
          <w:rFonts w:cs="Arial"/>
          <w:sz w:val="20"/>
        </w:rPr>
        <w:tab/>
      </w:r>
      <w:r w:rsidRPr="0008073A">
        <w:rPr>
          <w:rFonts w:cs="Arial"/>
          <w:sz w:val="20"/>
        </w:rPr>
        <w:t xml:space="preserve">Income inequality in </w:t>
      </w:r>
      <w:smartTag w:uri="urn:schemas-microsoft-com:office:smarttags" w:element="place">
        <w:smartTag w:uri="urn:schemas-microsoft-com:office:smarttags" w:element="country-region">
          <w:r w:rsidRPr="0008073A">
            <w:rPr>
              <w:rFonts w:cs="Arial"/>
              <w:sz w:val="20"/>
            </w:rPr>
            <w:t>New Zealand</w:t>
          </w:r>
        </w:smartTag>
      </w:smartTag>
      <w:r w:rsidRPr="0008073A">
        <w:rPr>
          <w:rFonts w:cs="Arial"/>
          <w:sz w:val="20"/>
        </w:rPr>
        <w:t>: the P80/P20 ratio</w:t>
      </w:r>
      <w:r>
        <w:rPr>
          <w:rFonts w:cs="Arial"/>
          <w:sz w:val="20"/>
        </w:rPr>
        <w:tab/>
        <w:t>………………………………</w:t>
      </w:r>
      <w:r>
        <w:rPr>
          <w:rFonts w:cs="Arial"/>
          <w:sz w:val="20"/>
        </w:rPr>
        <w:tab/>
      </w:r>
      <w:r w:rsidR="00093548">
        <w:rPr>
          <w:rFonts w:cs="Arial"/>
          <w:sz w:val="20"/>
        </w:rPr>
        <w:t>81</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A470A1">
        <w:rPr>
          <w:rFonts w:cs="Arial"/>
          <w:sz w:val="20"/>
        </w:rPr>
        <w:t>D</w:t>
      </w:r>
      <w:r w:rsidRPr="0008073A">
        <w:rPr>
          <w:rFonts w:cs="Arial"/>
          <w:sz w:val="20"/>
        </w:rPr>
        <w:t>.</w:t>
      </w:r>
      <w:r w:rsidR="00EC44F0">
        <w:rPr>
          <w:rFonts w:cs="Arial"/>
          <w:sz w:val="20"/>
        </w:rPr>
        <w:t>7</w:t>
      </w:r>
      <w:r>
        <w:rPr>
          <w:rFonts w:cs="Arial"/>
          <w:sz w:val="20"/>
        </w:rPr>
        <w:tab/>
      </w:r>
      <w:smartTag w:uri="urn:schemas-microsoft-com:office:smarttags" w:element="stockticker">
        <w:r w:rsidRPr="0008073A">
          <w:rPr>
            <w:rFonts w:cs="Arial"/>
            <w:sz w:val="20"/>
          </w:rPr>
          <w:t>BHC</w:t>
        </w:r>
      </w:smartTag>
      <w:r w:rsidRPr="0008073A">
        <w:rPr>
          <w:rFonts w:cs="Arial"/>
          <w:sz w:val="20"/>
        </w:rPr>
        <w:t xml:space="preserve"> income inequality in </w:t>
      </w:r>
      <w:smartTag w:uri="urn:schemas-microsoft-com:office:smarttags" w:element="place">
        <w:smartTag w:uri="urn:schemas-microsoft-com:office:smarttags" w:element="country-region">
          <w:r w:rsidRPr="0008073A">
            <w:rPr>
              <w:rFonts w:cs="Arial"/>
              <w:sz w:val="20"/>
            </w:rPr>
            <w:t>New Zealand</w:t>
          </w:r>
        </w:smartTag>
      </w:smartTag>
      <w:r w:rsidRPr="0008073A">
        <w:rPr>
          <w:rFonts w:cs="Arial"/>
          <w:sz w:val="20"/>
        </w:rPr>
        <w:t>: percentile ratios</w:t>
      </w:r>
      <w:r>
        <w:rPr>
          <w:rFonts w:cs="Arial"/>
          <w:sz w:val="20"/>
        </w:rPr>
        <w:tab/>
        <w:t>………………………….</w:t>
      </w:r>
      <w:r>
        <w:rPr>
          <w:rFonts w:cs="Arial"/>
          <w:sz w:val="20"/>
        </w:rPr>
        <w:tab/>
      </w:r>
      <w:r w:rsidR="00093548">
        <w:rPr>
          <w:rFonts w:cs="Arial"/>
          <w:sz w:val="20"/>
        </w:rPr>
        <w:t>81</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A470A1">
        <w:rPr>
          <w:rFonts w:cs="Arial"/>
          <w:sz w:val="20"/>
        </w:rPr>
        <w:t>D</w:t>
      </w:r>
      <w:r w:rsidRPr="0008073A">
        <w:rPr>
          <w:rFonts w:cs="Arial"/>
          <w:sz w:val="20"/>
        </w:rPr>
        <w:t>.</w:t>
      </w:r>
      <w:r w:rsidR="00EC44F0">
        <w:rPr>
          <w:rFonts w:cs="Arial"/>
          <w:sz w:val="20"/>
        </w:rPr>
        <w:t>8</w:t>
      </w:r>
      <w:r>
        <w:rPr>
          <w:rFonts w:cs="Arial"/>
          <w:sz w:val="20"/>
        </w:rPr>
        <w:tab/>
      </w:r>
      <w:smartTag w:uri="urn:schemas-microsoft-com:office:smarttags" w:element="stockticker">
        <w:r w:rsidRPr="0008073A">
          <w:rPr>
            <w:rFonts w:cs="Arial"/>
            <w:sz w:val="20"/>
          </w:rPr>
          <w:t>AHC</w:t>
        </w:r>
      </w:smartTag>
      <w:r w:rsidRPr="0008073A">
        <w:rPr>
          <w:rFonts w:cs="Arial"/>
          <w:sz w:val="20"/>
        </w:rPr>
        <w:t xml:space="preserve"> income inequality in </w:t>
      </w:r>
      <w:smartTag w:uri="urn:schemas-microsoft-com:office:smarttags" w:element="place">
        <w:smartTag w:uri="urn:schemas-microsoft-com:office:smarttags" w:element="country-region">
          <w:r w:rsidRPr="0008073A">
            <w:rPr>
              <w:rFonts w:cs="Arial"/>
              <w:sz w:val="20"/>
            </w:rPr>
            <w:t>New Zealand</w:t>
          </w:r>
        </w:smartTag>
      </w:smartTag>
      <w:r w:rsidRPr="0008073A">
        <w:rPr>
          <w:rFonts w:cs="Arial"/>
          <w:sz w:val="20"/>
        </w:rPr>
        <w:t>: percentile ratios</w:t>
      </w:r>
      <w:r>
        <w:rPr>
          <w:rFonts w:cs="Arial"/>
          <w:sz w:val="20"/>
        </w:rPr>
        <w:tab/>
        <w:t>………………………….</w:t>
      </w:r>
      <w:r>
        <w:rPr>
          <w:rFonts w:cs="Arial"/>
          <w:sz w:val="20"/>
        </w:rPr>
        <w:tab/>
      </w:r>
      <w:r w:rsidR="00093548">
        <w:rPr>
          <w:rFonts w:cs="Arial"/>
          <w:sz w:val="20"/>
        </w:rPr>
        <w:t>81</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Figure </w:t>
      </w:r>
      <w:r w:rsidR="00A470A1">
        <w:rPr>
          <w:b w:val="0"/>
          <w:sz w:val="20"/>
          <w:szCs w:val="20"/>
        </w:rPr>
        <w:t>D</w:t>
      </w:r>
      <w:r w:rsidRPr="0008073A">
        <w:rPr>
          <w:b w:val="0"/>
          <w:sz w:val="20"/>
          <w:szCs w:val="20"/>
        </w:rPr>
        <w:t>.1</w:t>
      </w:r>
      <w:r w:rsidR="00E61E90">
        <w:rPr>
          <w:b w:val="0"/>
          <w:sz w:val="20"/>
          <w:szCs w:val="20"/>
        </w:rPr>
        <w:t>7</w:t>
      </w:r>
      <w:r>
        <w:rPr>
          <w:b w:val="0"/>
          <w:sz w:val="20"/>
          <w:szCs w:val="20"/>
        </w:rPr>
        <w:tab/>
      </w:r>
      <w:r w:rsidRPr="0008073A">
        <w:rPr>
          <w:b w:val="0"/>
          <w:sz w:val="20"/>
          <w:szCs w:val="20"/>
        </w:rPr>
        <w:t xml:space="preserve">Inequality in </w:t>
      </w:r>
      <w:smartTag w:uri="urn:schemas-microsoft-com:office:smarttags" w:element="place">
        <w:smartTag w:uri="urn:schemas-microsoft-com:office:smarttags" w:element="country-region">
          <w:r w:rsidRPr="0008073A">
            <w:rPr>
              <w:b w:val="0"/>
              <w:sz w:val="20"/>
              <w:szCs w:val="20"/>
            </w:rPr>
            <w:t>New Zealand</w:t>
          </w:r>
        </w:smartTag>
      </w:smartTag>
      <w:r w:rsidRPr="0008073A">
        <w:rPr>
          <w:b w:val="0"/>
          <w:sz w:val="20"/>
          <w:szCs w:val="20"/>
        </w:rPr>
        <w:t>: the Gini coefficient</w:t>
      </w:r>
      <w:r>
        <w:rPr>
          <w:b w:val="0"/>
          <w:sz w:val="20"/>
          <w:szCs w:val="20"/>
        </w:rPr>
        <w:tab/>
        <w:t>……………………………………….</w:t>
      </w:r>
      <w:r>
        <w:rPr>
          <w:b w:val="0"/>
          <w:sz w:val="20"/>
          <w:szCs w:val="20"/>
        </w:rPr>
        <w:tab/>
      </w:r>
      <w:r w:rsidR="00093548">
        <w:rPr>
          <w:b w:val="0"/>
          <w:sz w:val="20"/>
          <w:szCs w:val="20"/>
        </w:rPr>
        <w:t>82</w:t>
      </w:r>
    </w:p>
    <w:p w:rsidR="00EF3364" w:rsidRDefault="00EF3364" w:rsidP="007329A6">
      <w:pPr>
        <w:tabs>
          <w:tab w:val="left" w:pos="1170"/>
          <w:tab w:val="right" w:pos="8460"/>
          <w:tab w:val="right" w:pos="8910"/>
        </w:tabs>
        <w:spacing w:after="80"/>
        <w:ind w:left="1166" w:hanging="1166"/>
        <w:rPr>
          <w:rFonts w:cs="Arial"/>
          <w:sz w:val="20"/>
        </w:rPr>
      </w:pPr>
      <w:r>
        <w:rPr>
          <w:rFonts w:cs="Arial"/>
          <w:sz w:val="20"/>
        </w:rPr>
        <w:t xml:space="preserve">Table </w:t>
      </w:r>
      <w:r w:rsidR="00A470A1">
        <w:rPr>
          <w:rFonts w:cs="Arial"/>
          <w:sz w:val="20"/>
        </w:rPr>
        <w:t>D</w:t>
      </w:r>
      <w:r>
        <w:rPr>
          <w:rFonts w:cs="Arial"/>
          <w:sz w:val="20"/>
        </w:rPr>
        <w:t>.</w:t>
      </w:r>
      <w:r w:rsidR="00EC44F0">
        <w:rPr>
          <w:rFonts w:cs="Arial"/>
          <w:sz w:val="20"/>
        </w:rPr>
        <w:t>9</w:t>
      </w:r>
      <w:r>
        <w:rPr>
          <w:rFonts w:cs="Arial"/>
          <w:sz w:val="20"/>
        </w:rPr>
        <w:tab/>
      </w:r>
      <w:r w:rsidRPr="0057119F">
        <w:rPr>
          <w:sz w:val="20"/>
        </w:rPr>
        <w:t xml:space="preserve">Inequality in </w:t>
      </w:r>
      <w:smartTag w:uri="urn:schemas-microsoft-com:office:smarttags" w:element="place">
        <w:smartTag w:uri="urn:schemas-microsoft-com:office:smarttags" w:element="country-region">
          <w:r w:rsidRPr="0057119F">
            <w:rPr>
              <w:sz w:val="20"/>
            </w:rPr>
            <w:t>New Zealand</w:t>
          </w:r>
        </w:smartTag>
      </w:smartTag>
      <w:r w:rsidRPr="0057119F">
        <w:rPr>
          <w:sz w:val="20"/>
        </w:rPr>
        <w:t>: the Gini coefficient</w:t>
      </w:r>
      <w:r w:rsidRPr="0008073A">
        <w:rPr>
          <w:rFonts w:cs="Arial"/>
          <w:sz w:val="20"/>
        </w:rPr>
        <w:t xml:space="preserve"> </w:t>
      </w:r>
      <w:r>
        <w:rPr>
          <w:rFonts w:cs="Arial"/>
          <w:sz w:val="20"/>
        </w:rPr>
        <w:tab/>
        <w:t>……………………………………….</w:t>
      </w:r>
      <w:r>
        <w:rPr>
          <w:rFonts w:cs="Arial"/>
          <w:sz w:val="20"/>
        </w:rPr>
        <w:tab/>
      </w:r>
      <w:r w:rsidR="00093548">
        <w:rPr>
          <w:rFonts w:cs="Arial"/>
          <w:sz w:val="20"/>
        </w:rPr>
        <w:t>83</w:t>
      </w:r>
    </w:p>
    <w:p w:rsidR="009317FB" w:rsidRDefault="00FB27C8" w:rsidP="009317FB">
      <w:pPr>
        <w:tabs>
          <w:tab w:val="left" w:pos="1170"/>
          <w:tab w:val="right" w:pos="8460"/>
          <w:tab w:val="right" w:pos="8910"/>
        </w:tabs>
        <w:spacing w:after="80"/>
        <w:ind w:left="1166" w:hanging="1166"/>
        <w:rPr>
          <w:rFonts w:cs="Arial"/>
          <w:sz w:val="20"/>
        </w:rPr>
      </w:pPr>
      <w:smartTag w:uri="urn:schemas-microsoft-com:office:smarttags" w:element="address">
        <w:smartTag w:uri="urn:schemas-microsoft-com:office:smarttags" w:element="Street">
          <w:r>
            <w:rPr>
              <w:rFonts w:cs="Arial"/>
              <w:sz w:val="20"/>
            </w:rPr>
            <w:t>Box</w:t>
          </w:r>
        </w:smartTag>
        <w:r>
          <w:rPr>
            <w:rFonts w:cs="Arial"/>
            <w:sz w:val="20"/>
          </w:rPr>
          <w:t xml:space="preserve"> 1</w:t>
        </w:r>
      </w:smartTag>
      <w:r>
        <w:rPr>
          <w:rFonts w:cs="Arial"/>
          <w:sz w:val="20"/>
        </w:rPr>
        <w:tab/>
        <w:t>How the income inequality picture changes depending on the income concept used</w:t>
      </w:r>
      <w:r>
        <w:rPr>
          <w:rFonts w:cs="Arial"/>
          <w:sz w:val="20"/>
        </w:rPr>
        <w:tab/>
      </w:r>
      <w:r w:rsidR="00E61E90">
        <w:rPr>
          <w:rFonts w:cs="Arial"/>
          <w:sz w:val="20"/>
        </w:rPr>
        <w:t>8</w:t>
      </w:r>
      <w:r w:rsidR="00093548">
        <w:rPr>
          <w:rFonts w:cs="Arial"/>
          <w:sz w:val="20"/>
        </w:rPr>
        <w:t>4</w:t>
      </w:r>
    </w:p>
    <w:p w:rsidR="009317FB" w:rsidRPr="009317FB" w:rsidRDefault="009317FB" w:rsidP="009317FB">
      <w:pPr>
        <w:tabs>
          <w:tab w:val="left" w:pos="1170"/>
          <w:tab w:val="right" w:pos="8460"/>
          <w:tab w:val="right" w:pos="8910"/>
        </w:tabs>
        <w:spacing w:after="80"/>
        <w:ind w:left="1166" w:hanging="1166"/>
        <w:rPr>
          <w:rFonts w:cs="Arial"/>
          <w:sz w:val="20"/>
        </w:rPr>
      </w:pPr>
      <w:r>
        <w:rPr>
          <w:rFonts w:cs="Arial"/>
          <w:sz w:val="20"/>
        </w:rPr>
        <w:t>Figure D.18</w:t>
      </w:r>
      <w:r>
        <w:rPr>
          <w:rFonts w:cs="Arial"/>
          <w:sz w:val="20"/>
        </w:rPr>
        <w:tab/>
      </w:r>
      <w:r w:rsidRPr="009317FB">
        <w:rPr>
          <w:sz w:val="20"/>
        </w:rPr>
        <w:t>Very high income</w:t>
      </w:r>
      <w:r w:rsidR="00773136">
        <w:rPr>
          <w:sz w:val="20"/>
        </w:rPr>
        <w:t>s</w:t>
      </w:r>
      <w:r w:rsidRPr="009317FB">
        <w:rPr>
          <w:sz w:val="20"/>
        </w:rPr>
        <w:t xml:space="preserve">: share of income received by </w:t>
      </w:r>
      <w:r w:rsidR="00773136">
        <w:rPr>
          <w:sz w:val="20"/>
        </w:rPr>
        <w:t xml:space="preserve">the </w:t>
      </w:r>
      <w:r w:rsidRPr="009317FB">
        <w:rPr>
          <w:sz w:val="20"/>
        </w:rPr>
        <w:t>top 1%, 1920 to 20</w:t>
      </w:r>
      <w:r w:rsidR="00773136">
        <w:rPr>
          <w:sz w:val="20"/>
        </w:rPr>
        <w:t>10</w:t>
      </w:r>
      <w:r>
        <w:rPr>
          <w:sz w:val="20"/>
        </w:rPr>
        <w:tab/>
        <w:t>……..</w:t>
      </w:r>
      <w:r>
        <w:rPr>
          <w:sz w:val="20"/>
        </w:rPr>
        <w:tab/>
        <w:t>85</w:t>
      </w:r>
    </w:p>
    <w:p w:rsidR="00321FBF" w:rsidRDefault="00321FBF" w:rsidP="007329A6">
      <w:pPr>
        <w:tabs>
          <w:tab w:val="left" w:pos="1170"/>
          <w:tab w:val="right" w:pos="8460"/>
          <w:tab w:val="right" w:pos="8910"/>
        </w:tabs>
        <w:spacing w:after="80"/>
        <w:ind w:left="1166" w:hanging="1166"/>
        <w:rPr>
          <w:rFonts w:cs="Arial"/>
          <w:sz w:val="20"/>
        </w:rPr>
      </w:pPr>
      <w:r>
        <w:rPr>
          <w:rFonts w:cs="Arial"/>
          <w:sz w:val="20"/>
        </w:rPr>
        <w:t>Figure D.1</w:t>
      </w:r>
      <w:r w:rsidR="009317FB">
        <w:rPr>
          <w:rFonts w:cs="Arial"/>
          <w:sz w:val="20"/>
        </w:rPr>
        <w:t>9</w:t>
      </w:r>
      <w:r>
        <w:rPr>
          <w:rFonts w:cs="Arial"/>
          <w:sz w:val="20"/>
        </w:rPr>
        <w:tab/>
        <w:t>Wealth and income d</w:t>
      </w:r>
      <w:r w:rsidR="00E61E90">
        <w:rPr>
          <w:rFonts w:cs="Arial"/>
          <w:sz w:val="20"/>
        </w:rPr>
        <w:t xml:space="preserve">istribution in </w:t>
      </w:r>
      <w:smartTag w:uri="urn:schemas-microsoft-com:office:smarttags" w:element="place">
        <w:smartTag w:uri="urn:schemas-microsoft-com:office:smarttags" w:element="country-region">
          <w:r w:rsidR="00E61E90">
            <w:rPr>
              <w:rFonts w:cs="Arial"/>
              <w:sz w:val="20"/>
            </w:rPr>
            <w:t>New Zealand</w:t>
          </w:r>
        </w:smartTag>
      </w:smartTag>
      <w:r w:rsidR="00E61E90">
        <w:rPr>
          <w:rFonts w:cs="Arial"/>
          <w:sz w:val="20"/>
        </w:rPr>
        <w:t xml:space="preserve"> (2003-04</w:t>
      </w:r>
      <w:r>
        <w:rPr>
          <w:rFonts w:cs="Arial"/>
          <w:sz w:val="20"/>
        </w:rPr>
        <w:t>): cumulative frequency</w:t>
      </w:r>
      <w:r w:rsidR="00E61E90">
        <w:rPr>
          <w:rFonts w:cs="Arial"/>
          <w:sz w:val="20"/>
        </w:rPr>
        <w:tab/>
        <w:t>…</w:t>
      </w:r>
      <w:r>
        <w:rPr>
          <w:rFonts w:cs="Arial"/>
          <w:sz w:val="20"/>
        </w:rPr>
        <w:tab/>
      </w:r>
      <w:r w:rsidR="00E61E90">
        <w:rPr>
          <w:rFonts w:cs="Arial"/>
          <w:sz w:val="20"/>
        </w:rPr>
        <w:t>8</w:t>
      </w:r>
      <w:r w:rsidR="009317FB">
        <w:rPr>
          <w:rFonts w:cs="Arial"/>
          <w:sz w:val="20"/>
        </w:rPr>
        <w:t>6</w:t>
      </w:r>
    </w:p>
    <w:p w:rsidR="00EF3364" w:rsidRDefault="00EF3364" w:rsidP="008624B7">
      <w:pPr>
        <w:tabs>
          <w:tab w:val="left" w:pos="1170"/>
          <w:tab w:val="right" w:pos="8460"/>
          <w:tab w:val="right" w:pos="8910"/>
        </w:tabs>
        <w:ind w:left="1170" w:hanging="1170"/>
        <w:rPr>
          <w:rFonts w:cs="Arial"/>
          <w:sz w:val="20"/>
        </w:rPr>
      </w:pPr>
    </w:p>
    <w:p w:rsidR="0097726E" w:rsidRDefault="00E1200C" w:rsidP="00EC58F5">
      <w:pPr>
        <w:tabs>
          <w:tab w:val="left" w:pos="1170"/>
          <w:tab w:val="left" w:pos="1440"/>
          <w:tab w:val="right" w:pos="9000"/>
        </w:tabs>
        <w:ind w:left="1440" w:hanging="1440"/>
        <w:rPr>
          <w:b/>
          <w:szCs w:val="22"/>
        </w:rPr>
      </w:pPr>
      <w:r w:rsidRPr="0097726E">
        <w:rPr>
          <w:b/>
          <w:szCs w:val="22"/>
        </w:rPr>
        <w:t xml:space="preserve">Section </w:t>
      </w:r>
      <w:r w:rsidR="00A470A1">
        <w:rPr>
          <w:b/>
          <w:szCs w:val="22"/>
        </w:rPr>
        <w:t>E</w:t>
      </w:r>
      <w:r w:rsidRPr="0097726E">
        <w:rPr>
          <w:b/>
          <w:szCs w:val="22"/>
        </w:rPr>
        <w:tab/>
        <w:t>Low incomes, poverty and mat</w:t>
      </w:r>
      <w:r w:rsidR="0097726E">
        <w:rPr>
          <w:b/>
          <w:szCs w:val="22"/>
        </w:rPr>
        <w:t>erial hardship:  conceptual and</w:t>
      </w:r>
    </w:p>
    <w:p w:rsidR="00EF3364" w:rsidRPr="0097726E" w:rsidRDefault="0097726E" w:rsidP="007329A6">
      <w:pPr>
        <w:tabs>
          <w:tab w:val="left" w:pos="1170"/>
          <w:tab w:val="left" w:pos="1440"/>
          <w:tab w:val="right" w:pos="9000"/>
        </w:tabs>
        <w:spacing w:after="80"/>
        <w:ind w:left="1440" w:hanging="1440"/>
        <w:rPr>
          <w:b/>
          <w:szCs w:val="22"/>
        </w:rPr>
      </w:pPr>
      <w:r>
        <w:rPr>
          <w:b/>
          <w:szCs w:val="22"/>
        </w:rPr>
        <w:tab/>
      </w:r>
      <w:r w:rsidR="00E1200C" w:rsidRPr="0097726E">
        <w:rPr>
          <w:b/>
          <w:szCs w:val="22"/>
        </w:rPr>
        <w:t xml:space="preserve">measurement </w:t>
      </w:r>
      <w:r w:rsidR="008624B7" w:rsidRPr="0097726E">
        <w:rPr>
          <w:b/>
          <w:szCs w:val="22"/>
        </w:rPr>
        <w:t>i</w:t>
      </w:r>
      <w:r w:rsidR="00E1200C" w:rsidRPr="0097726E">
        <w:rPr>
          <w:b/>
          <w:szCs w:val="22"/>
        </w:rPr>
        <w:t>ssues</w:t>
      </w:r>
    </w:p>
    <w:p w:rsidR="009358FC" w:rsidRDefault="00EF3364" w:rsidP="009358FC">
      <w:pPr>
        <w:tabs>
          <w:tab w:val="left" w:pos="1170"/>
          <w:tab w:val="right" w:pos="8460"/>
          <w:tab w:val="right" w:pos="8910"/>
        </w:tabs>
        <w:ind w:left="1166" w:hanging="1166"/>
        <w:outlineLvl w:val="0"/>
        <w:rPr>
          <w:rFonts w:cs="Arial"/>
          <w:sz w:val="20"/>
        </w:rPr>
      </w:pPr>
      <w:r w:rsidRPr="0008073A">
        <w:rPr>
          <w:rFonts w:cs="Arial"/>
          <w:sz w:val="20"/>
        </w:rPr>
        <w:t xml:space="preserve">Table </w:t>
      </w:r>
      <w:r w:rsidR="00A470A1">
        <w:rPr>
          <w:rFonts w:cs="Arial"/>
          <w:sz w:val="20"/>
        </w:rPr>
        <w:t>E</w:t>
      </w:r>
      <w:r w:rsidRPr="0008073A">
        <w:rPr>
          <w:rFonts w:cs="Arial"/>
          <w:sz w:val="20"/>
        </w:rPr>
        <w:t>.1</w:t>
      </w:r>
      <w:r>
        <w:rPr>
          <w:rFonts w:cs="Arial"/>
          <w:sz w:val="20"/>
        </w:rPr>
        <w:tab/>
      </w:r>
      <w:r w:rsidRPr="0008073A">
        <w:rPr>
          <w:rFonts w:cs="Arial"/>
          <w:sz w:val="20"/>
        </w:rPr>
        <w:t xml:space="preserve">Comparison of the two approaches to poverty conceptualisation and </w:t>
      </w:r>
    </w:p>
    <w:p w:rsidR="00EF3364" w:rsidRPr="0008073A" w:rsidRDefault="009358FC" w:rsidP="007329A6">
      <w:pPr>
        <w:tabs>
          <w:tab w:val="left" w:pos="1170"/>
          <w:tab w:val="right" w:pos="8460"/>
          <w:tab w:val="right" w:pos="8910"/>
        </w:tabs>
        <w:spacing w:after="80"/>
        <w:ind w:left="1166" w:hanging="1166"/>
        <w:outlineLvl w:val="0"/>
        <w:rPr>
          <w:rFonts w:cs="Arial"/>
          <w:sz w:val="20"/>
        </w:rPr>
      </w:pPr>
      <w:r>
        <w:rPr>
          <w:rFonts w:cs="Arial"/>
          <w:sz w:val="20"/>
        </w:rPr>
        <w:tab/>
      </w:r>
      <w:r w:rsidR="00EF3364" w:rsidRPr="0008073A">
        <w:rPr>
          <w:rFonts w:cs="Arial"/>
          <w:sz w:val="20"/>
        </w:rPr>
        <w:t>measurement</w:t>
      </w:r>
      <w:r w:rsidR="00EF3364">
        <w:rPr>
          <w:rFonts w:cs="Arial"/>
          <w:sz w:val="20"/>
        </w:rPr>
        <w:tab/>
      </w:r>
      <w:r>
        <w:rPr>
          <w:rFonts w:cs="Arial"/>
          <w:sz w:val="20"/>
        </w:rPr>
        <w:t>…………………………………………………………………………….</w:t>
      </w:r>
      <w:r w:rsidR="00EF3364">
        <w:rPr>
          <w:rFonts w:cs="Arial"/>
          <w:sz w:val="20"/>
        </w:rPr>
        <w:tab/>
      </w:r>
      <w:r w:rsidR="009317FB">
        <w:rPr>
          <w:rFonts w:cs="Arial"/>
          <w:sz w:val="20"/>
        </w:rPr>
        <w:t>90</w:t>
      </w:r>
    </w:p>
    <w:p w:rsidR="003127C4" w:rsidRPr="0008073A" w:rsidRDefault="003127C4" w:rsidP="003127C4">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E</w:t>
      </w:r>
      <w:r w:rsidRPr="0008073A">
        <w:rPr>
          <w:rFonts w:cs="Arial"/>
          <w:sz w:val="20"/>
        </w:rPr>
        <w:t>.2</w:t>
      </w:r>
      <w:r>
        <w:rPr>
          <w:rFonts w:cs="Arial"/>
          <w:sz w:val="20"/>
        </w:rPr>
        <w:tab/>
      </w:r>
      <w:r w:rsidRPr="0008073A">
        <w:rPr>
          <w:rFonts w:cs="Arial"/>
          <w:sz w:val="20"/>
        </w:rPr>
        <w:t>CV threshold set at 60% of the 1998 median expressed as a proportion of the contemporary median (</w:t>
      </w:r>
      <w:smartTag w:uri="urn:schemas-microsoft-com:office:smarttags" w:element="stockticker">
        <w:r w:rsidRPr="0008073A">
          <w:rPr>
            <w:rFonts w:cs="Arial"/>
            <w:sz w:val="20"/>
          </w:rPr>
          <w:t>BHC</w:t>
        </w:r>
      </w:smartTag>
      <w:r w:rsidRPr="0008073A">
        <w:rPr>
          <w:rFonts w:cs="Arial"/>
          <w:sz w:val="20"/>
        </w:rPr>
        <w:t>), 1982 to 200</w:t>
      </w:r>
      <w:r w:rsidR="00E15CA1">
        <w:rPr>
          <w:rFonts w:cs="Arial"/>
          <w:sz w:val="20"/>
        </w:rPr>
        <w:t>9</w:t>
      </w:r>
      <w:r>
        <w:rPr>
          <w:rFonts w:cs="Arial"/>
          <w:sz w:val="20"/>
        </w:rPr>
        <w:tab/>
        <w:t>…………………………………………</w:t>
      </w:r>
      <w:r>
        <w:rPr>
          <w:rFonts w:cs="Arial"/>
          <w:sz w:val="20"/>
        </w:rPr>
        <w:tab/>
      </w:r>
      <w:r w:rsidR="009317FB">
        <w:rPr>
          <w:rFonts w:cs="Arial"/>
          <w:sz w:val="20"/>
        </w:rPr>
        <w:t>93</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lastRenderedPageBreak/>
        <w:t xml:space="preserve">Figure </w:t>
      </w:r>
      <w:r w:rsidR="00A470A1">
        <w:rPr>
          <w:b w:val="0"/>
          <w:sz w:val="20"/>
          <w:szCs w:val="20"/>
        </w:rPr>
        <w:t>E</w:t>
      </w:r>
      <w:r w:rsidRPr="0008073A">
        <w:rPr>
          <w:b w:val="0"/>
          <w:sz w:val="20"/>
          <w:szCs w:val="20"/>
        </w:rPr>
        <w:t>.</w:t>
      </w:r>
      <w:r w:rsidR="003127C4">
        <w:rPr>
          <w:b w:val="0"/>
          <w:sz w:val="20"/>
          <w:szCs w:val="20"/>
        </w:rPr>
        <w:t>1</w:t>
      </w:r>
      <w:r>
        <w:rPr>
          <w:b w:val="0"/>
          <w:sz w:val="20"/>
          <w:szCs w:val="20"/>
        </w:rPr>
        <w:tab/>
      </w:r>
      <w:r w:rsidRPr="0008073A">
        <w:rPr>
          <w:b w:val="0"/>
          <w:sz w:val="20"/>
          <w:szCs w:val="20"/>
        </w:rPr>
        <w:t>CV threshold set at 60% of the 1998 median expressed as a proportion of the contemporary median (</w:t>
      </w:r>
      <w:smartTag w:uri="urn:schemas-microsoft-com:office:smarttags" w:element="stockticker">
        <w:r w:rsidRPr="0008073A">
          <w:rPr>
            <w:b w:val="0"/>
            <w:sz w:val="20"/>
            <w:szCs w:val="20"/>
          </w:rPr>
          <w:t>BHC</w:t>
        </w:r>
      </w:smartTag>
      <w:r w:rsidRPr="0008073A">
        <w:rPr>
          <w:b w:val="0"/>
          <w:sz w:val="20"/>
          <w:szCs w:val="20"/>
        </w:rPr>
        <w:t>), 1982 to 200</w:t>
      </w:r>
      <w:r w:rsidR="00E15CA1">
        <w:rPr>
          <w:b w:val="0"/>
          <w:sz w:val="20"/>
          <w:szCs w:val="20"/>
        </w:rPr>
        <w:t>9</w:t>
      </w:r>
      <w:r>
        <w:rPr>
          <w:b w:val="0"/>
          <w:sz w:val="20"/>
          <w:szCs w:val="20"/>
        </w:rPr>
        <w:tab/>
        <w:t>…………………………………………</w:t>
      </w:r>
      <w:r>
        <w:rPr>
          <w:b w:val="0"/>
          <w:sz w:val="20"/>
          <w:szCs w:val="20"/>
        </w:rPr>
        <w:tab/>
      </w:r>
      <w:r w:rsidR="009317FB">
        <w:rPr>
          <w:b w:val="0"/>
          <w:sz w:val="20"/>
          <w:szCs w:val="20"/>
        </w:rPr>
        <w:t>93</w:t>
      </w:r>
    </w:p>
    <w:p w:rsidR="00CD639F" w:rsidRDefault="003127C4" w:rsidP="00CD639F">
      <w:pPr>
        <w:pStyle w:val="Heading3"/>
        <w:tabs>
          <w:tab w:val="left" w:pos="1170"/>
          <w:tab w:val="right" w:pos="8460"/>
          <w:tab w:val="right" w:pos="8910"/>
        </w:tabs>
        <w:ind w:left="1166" w:hanging="1166"/>
        <w:rPr>
          <w:b w:val="0"/>
          <w:sz w:val="20"/>
          <w:szCs w:val="20"/>
        </w:rPr>
      </w:pPr>
      <w:r w:rsidRPr="0008073A">
        <w:rPr>
          <w:b w:val="0"/>
          <w:sz w:val="20"/>
          <w:szCs w:val="20"/>
        </w:rPr>
        <w:t xml:space="preserve">Figure </w:t>
      </w:r>
      <w:r>
        <w:rPr>
          <w:b w:val="0"/>
          <w:sz w:val="20"/>
          <w:szCs w:val="20"/>
        </w:rPr>
        <w:t>E</w:t>
      </w:r>
      <w:r w:rsidRPr="0008073A">
        <w:rPr>
          <w:b w:val="0"/>
          <w:sz w:val="20"/>
          <w:szCs w:val="20"/>
        </w:rPr>
        <w:t>.</w:t>
      </w:r>
      <w:r>
        <w:rPr>
          <w:b w:val="0"/>
          <w:sz w:val="20"/>
          <w:szCs w:val="20"/>
        </w:rPr>
        <w:t>2</w:t>
      </w:r>
      <w:r>
        <w:rPr>
          <w:b w:val="0"/>
          <w:sz w:val="20"/>
          <w:szCs w:val="20"/>
        </w:rPr>
        <w:tab/>
      </w:r>
      <w:r w:rsidR="00CD639F">
        <w:rPr>
          <w:b w:val="0"/>
          <w:sz w:val="20"/>
          <w:szCs w:val="20"/>
        </w:rPr>
        <w:t xml:space="preserve">CV threshold set at 60% of the 1998, 2004 and 2007 medians expressed as a </w:t>
      </w:r>
    </w:p>
    <w:p w:rsidR="003127C4" w:rsidRPr="0008073A" w:rsidRDefault="00CD639F" w:rsidP="003127C4">
      <w:pPr>
        <w:pStyle w:val="Heading3"/>
        <w:tabs>
          <w:tab w:val="left" w:pos="1170"/>
          <w:tab w:val="right" w:pos="8460"/>
          <w:tab w:val="right" w:pos="8910"/>
        </w:tabs>
        <w:spacing w:after="80"/>
        <w:ind w:left="1166" w:hanging="1166"/>
        <w:rPr>
          <w:b w:val="0"/>
          <w:sz w:val="20"/>
          <w:szCs w:val="20"/>
        </w:rPr>
      </w:pPr>
      <w:r>
        <w:rPr>
          <w:b w:val="0"/>
          <w:sz w:val="20"/>
          <w:szCs w:val="20"/>
        </w:rPr>
        <w:tab/>
        <w:t>proportion of the contemporary median (</w:t>
      </w:r>
      <w:smartTag w:uri="urn:schemas-microsoft-com:office:smarttags" w:element="stockticker">
        <w:r>
          <w:rPr>
            <w:b w:val="0"/>
            <w:sz w:val="20"/>
            <w:szCs w:val="20"/>
          </w:rPr>
          <w:t>BHC</w:t>
        </w:r>
      </w:smartTag>
      <w:r>
        <w:rPr>
          <w:b w:val="0"/>
          <w:sz w:val="20"/>
          <w:szCs w:val="20"/>
        </w:rPr>
        <w:t>), 1982 to 2009</w:t>
      </w:r>
      <w:r w:rsidR="003127C4">
        <w:rPr>
          <w:b w:val="0"/>
          <w:sz w:val="20"/>
          <w:szCs w:val="20"/>
        </w:rPr>
        <w:tab/>
      </w:r>
      <w:r w:rsidR="00F627E2">
        <w:rPr>
          <w:b w:val="0"/>
          <w:sz w:val="20"/>
          <w:szCs w:val="20"/>
        </w:rPr>
        <w:t>..</w:t>
      </w:r>
      <w:r w:rsidR="003127C4">
        <w:rPr>
          <w:b w:val="0"/>
          <w:sz w:val="20"/>
          <w:szCs w:val="20"/>
        </w:rPr>
        <w:t>………………………</w:t>
      </w:r>
      <w:r w:rsidR="003127C4">
        <w:rPr>
          <w:b w:val="0"/>
          <w:sz w:val="20"/>
          <w:szCs w:val="20"/>
        </w:rPr>
        <w:tab/>
      </w:r>
      <w:r w:rsidR="00E61E90">
        <w:rPr>
          <w:b w:val="0"/>
          <w:sz w:val="20"/>
          <w:szCs w:val="20"/>
        </w:rPr>
        <w:t>9</w:t>
      </w:r>
      <w:r w:rsidR="009317FB">
        <w:rPr>
          <w:b w:val="0"/>
          <w:sz w:val="20"/>
          <w:szCs w:val="20"/>
        </w:rPr>
        <w:t>4</w:t>
      </w:r>
    </w:p>
    <w:p w:rsidR="00B9712A" w:rsidRPr="0008073A" w:rsidRDefault="00431E46" w:rsidP="00B9712A">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Figure </w:t>
      </w:r>
      <w:r>
        <w:rPr>
          <w:b w:val="0"/>
          <w:sz w:val="20"/>
          <w:szCs w:val="20"/>
        </w:rPr>
        <w:t>E</w:t>
      </w:r>
      <w:r w:rsidRPr="0008073A">
        <w:rPr>
          <w:b w:val="0"/>
          <w:sz w:val="20"/>
          <w:szCs w:val="20"/>
        </w:rPr>
        <w:t>.</w:t>
      </w:r>
      <w:r>
        <w:rPr>
          <w:b w:val="0"/>
          <w:sz w:val="20"/>
          <w:szCs w:val="20"/>
        </w:rPr>
        <w:t>3</w:t>
      </w:r>
      <w:r>
        <w:rPr>
          <w:b w:val="0"/>
          <w:sz w:val="20"/>
          <w:szCs w:val="20"/>
        </w:rPr>
        <w:tab/>
      </w:r>
      <w:r w:rsidR="003953D7">
        <w:rPr>
          <w:b w:val="0"/>
          <w:sz w:val="20"/>
          <w:szCs w:val="20"/>
        </w:rPr>
        <w:t xml:space="preserve">Changing the base year from 1998 to 2004 or 2007 for CV poverty lines: an illustration using </w:t>
      </w:r>
      <w:smartTag w:uri="urn:schemas-microsoft-com:office:smarttags" w:element="stockticker">
        <w:r w:rsidR="003953D7">
          <w:rPr>
            <w:b w:val="0"/>
            <w:sz w:val="20"/>
            <w:szCs w:val="20"/>
          </w:rPr>
          <w:t>AHC</w:t>
        </w:r>
      </w:smartTag>
      <w:r w:rsidR="003953D7">
        <w:rPr>
          <w:b w:val="0"/>
          <w:sz w:val="20"/>
          <w:szCs w:val="20"/>
        </w:rPr>
        <w:t xml:space="preserve"> incomes, 60% CV threshold, whole population,</w:t>
      </w:r>
      <w:r>
        <w:rPr>
          <w:b w:val="0"/>
          <w:sz w:val="20"/>
          <w:szCs w:val="20"/>
        </w:rPr>
        <w:t xml:space="preserve"> 1982 to 2009</w:t>
      </w:r>
      <w:r w:rsidR="003953D7">
        <w:rPr>
          <w:b w:val="0"/>
          <w:sz w:val="20"/>
          <w:szCs w:val="20"/>
        </w:rPr>
        <w:tab/>
      </w:r>
      <w:r>
        <w:rPr>
          <w:b w:val="0"/>
          <w:sz w:val="20"/>
          <w:szCs w:val="20"/>
        </w:rPr>
        <w:t>…………</w:t>
      </w:r>
      <w:r>
        <w:rPr>
          <w:b w:val="0"/>
          <w:sz w:val="20"/>
          <w:szCs w:val="20"/>
        </w:rPr>
        <w:tab/>
      </w:r>
      <w:r w:rsidR="00E61E90">
        <w:rPr>
          <w:b w:val="0"/>
          <w:sz w:val="20"/>
          <w:szCs w:val="20"/>
        </w:rPr>
        <w:t>9</w:t>
      </w:r>
      <w:r w:rsidR="009317FB">
        <w:rPr>
          <w:b w:val="0"/>
          <w:sz w:val="20"/>
          <w:szCs w:val="20"/>
        </w:rPr>
        <w:t>4</w:t>
      </w:r>
    </w:p>
    <w:p w:rsidR="00B9712A" w:rsidRDefault="00EF3364" w:rsidP="00B9712A">
      <w:pPr>
        <w:pStyle w:val="Heading2"/>
        <w:tabs>
          <w:tab w:val="left" w:pos="1170"/>
          <w:tab w:val="right" w:pos="8460"/>
          <w:tab w:val="right" w:pos="8910"/>
        </w:tabs>
        <w:ind w:left="1166" w:hanging="1166"/>
        <w:rPr>
          <w:b w:val="0"/>
          <w:sz w:val="20"/>
          <w:szCs w:val="20"/>
        </w:rPr>
      </w:pPr>
      <w:r w:rsidRPr="0008073A">
        <w:rPr>
          <w:b w:val="0"/>
          <w:sz w:val="20"/>
          <w:szCs w:val="20"/>
        </w:rPr>
        <w:t xml:space="preserve">Table </w:t>
      </w:r>
      <w:r w:rsidR="00A470A1">
        <w:rPr>
          <w:b w:val="0"/>
          <w:sz w:val="20"/>
          <w:szCs w:val="20"/>
        </w:rPr>
        <w:t>E</w:t>
      </w:r>
      <w:r w:rsidRPr="0008073A">
        <w:rPr>
          <w:b w:val="0"/>
          <w:sz w:val="20"/>
          <w:szCs w:val="20"/>
        </w:rPr>
        <w:t>.3</w:t>
      </w:r>
      <w:r>
        <w:rPr>
          <w:b w:val="0"/>
          <w:sz w:val="20"/>
          <w:szCs w:val="20"/>
        </w:rPr>
        <w:tab/>
      </w:r>
      <w:r w:rsidRPr="0008073A">
        <w:rPr>
          <w:b w:val="0"/>
          <w:sz w:val="20"/>
          <w:szCs w:val="20"/>
        </w:rPr>
        <w:t>50% and 60% low-income thresholds or ‘poverty lines’ for various household</w:t>
      </w:r>
    </w:p>
    <w:p w:rsidR="00EF3364" w:rsidRPr="0008073A" w:rsidRDefault="00EF3364" w:rsidP="007329A6">
      <w:pPr>
        <w:pStyle w:val="Heading2"/>
        <w:tabs>
          <w:tab w:val="left" w:pos="1170"/>
          <w:tab w:val="right" w:pos="8460"/>
          <w:tab w:val="right" w:pos="8910"/>
        </w:tabs>
        <w:spacing w:after="80"/>
        <w:ind w:left="1166" w:hanging="1166"/>
        <w:rPr>
          <w:b w:val="0"/>
          <w:sz w:val="20"/>
          <w:szCs w:val="20"/>
        </w:rPr>
      </w:pPr>
      <w:r w:rsidRPr="0008073A">
        <w:rPr>
          <w:b w:val="0"/>
          <w:sz w:val="20"/>
          <w:szCs w:val="20"/>
        </w:rPr>
        <w:t xml:space="preserve"> </w:t>
      </w:r>
      <w:r w:rsidR="00730F69">
        <w:rPr>
          <w:b w:val="0"/>
          <w:sz w:val="20"/>
          <w:szCs w:val="20"/>
        </w:rPr>
        <w:tab/>
      </w:r>
      <w:r w:rsidRPr="0008073A">
        <w:rPr>
          <w:b w:val="0"/>
          <w:sz w:val="20"/>
          <w:szCs w:val="20"/>
        </w:rPr>
        <w:t>types (</w:t>
      </w:r>
      <w:smartTag w:uri="urn:schemas-microsoft-com:office:smarttags" w:element="stockticker">
        <w:r w:rsidRPr="0008073A">
          <w:rPr>
            <w:b w:val="0"/>
            <w:sz w:val="20"/>
            <w:szCs w:val="20"/>
          </w:rPr>
          <w:t>BHC</w:t>
        </w:r>
      </w:smartTag>
      <w:r w:rsidRPr="0008073A">
        <w:rPr>
          <w:b w:val="0"/>
          <w:sz w:val="20"/>
          <w:szCs w:val="20"/>
        </w:rPr>
        <w:t>)</w:t>
      </w:r>
      <w:r>
        <w:rPr>
          <w:b w:val="0"/>
          <w:sz w:val="20"/>
          <w:szCs w:val="20"/>
        </w:rPr>
        <w:t xml:space="preserve"> </w:t>
      </w:r>
      <w:r w:rsidRPr="0008073A">
        <w:rPr>
          <w:b w:val="0"/>
          <w:sz w:val="20"/>
          <w:szCs w:val="20"/>
        </w:rPr>
        <w:t>(20</w:t>
      </w:r>
      <w:r w:rsidR="009851D4">
        <w:rPr>
          <w:b w:val="0"/>
          <w:sz w:val="20"/>
          <w:szCs w:val="20"/>
        </w:rPr>
        <w:t>1</w:t>
      </w:r>
      <w:r w:rsidR="00E61E90">
        <w:rPr>
          <w:b w:val="0"/>
          <w:sz w:val="20"/>
          <w:szCs w:val="20"/>
        </w:rPr>
        <w:t>1</w:t>
      </w:r>
      <w:r w:rsidRPr="0008073A">
        <w:rPr>
          <w:b w:val="0"/>
          <w:sz w:val="20"/>
          <w:szCs w:val="20"/>
        </w:rPr>
        <w:t xml:space="preserve"> dollars, per week)</w:t>
      </w:r>
      <w:r w:rsidR="00730F69">
        <w:rPr>
          <w:b w:val="0"/>
          <w:sz w:val="20"/>
          <w:szCs w:val="20"/>
        </w:rPr>
        <w:tab/>
      </w:r>
      <w:r>
        <w:rPr>
          <w:b w:val="0"/>
          <w:sz w:val="20"/>
          <w:szCs w:val="20"/>
        </w:rPr>
        <w:t>…………………………………………………</w:t>
      </w:r>
      <w:r>
        <w:rPr>
          <w:b w:val="0"/>
          <w:sz w:val="20"/>
          <w:szCs w:val="20"/>
        </w:rPr>
        <w:tab/>
      </w:r>
      <w:r w:rsidR="00E61E90">
        <w:rPr>
          <w:b w:val="0"/>
          <w:sz w:val="20"/>
          <w:szCs w:val="20"/>
        </w:rPr>
        <w:t>9</w:t>
      </w:r>
      <w:r w:rsidR="009317FB">
        <w:rPr>
          <w:b w:val="0"/>
          <w:sz w:val="20"/>
          <w:szCs w:val="20"/>
        </w:rPr>
        <w:t>6</w:t>
      </w:r>
    </w:p>
    <w:p w:rsidR="00730F69" w:rsidRDefault="00EF3364" w:rsidP="008624B7">
      <w:pPr>
        <w:pStyle w:val="Heading2"/>
        <w:tabs>
          <w:tab w:val="left" w:pos="1170"/>
          <w:tab w:val="right" w:pos="8460"/>
          <w:tab w:val="right" w:pos="8910"/>
        </w:tabs>
        <w:ind w:left="1170" w:hanging="1170"/>
        <w:rPr>
          <w:b w:val="0"/>
          <w:sz w:val="20"/>
          <w:szCs w:val="20"/>
        </w:rPr>
      </w:pPr>
      <w:r w:rsidRPr="0008073A">
        <w:rPr>
          <w:b w:val="0"/>
          <w:sz w:val="20"/>
          <w:szCs w:val="20"/>
        </w:rPr>
        <w:t xml:space="preserve">Table </w:t>
      </w:r>
      <w:r w:rsidR="00A470A1">
        <w:rPr>
          <w:b w:val="0"/>
          <w:sz w:val="20"/>
          <w:szCs w:val="20"/>
        </w:rPr>
        <w:t>E</w:t>
      </w:r>
      <w:r w:rsidRPr="0008073A">
        <w:rPr>
          <w:b w:val="0"/>
          <w:sz w:val="20"/>
          <w:szCs w:val="20"/>
        </w:rPr>
        <w:t>.4</w:t>
      </w:r>
      <w:r>
        <w:rPr>
          <w:b w:val="0"/>
          <w:sz w:val="20"/>
          <w:szCs w:val="20"/>
        </w:rPr>
        <w:tab/>
      </w:r>
      <w:r w:rsidRPr="0008073A">
        <w:rPr>
          <w:b w:val="0"/>
          <w:sz w:val="20"/>
          <w:szCs w:val="20"/>
        </w:rPr>
        <w:t xml:space="preserve">50% and 60% low-income thresholds or ‘poverty lines’ for various household </w:t>
      </w:r>
    </w:p>
    <w:p w:rsidR="00EF3364" w:rsidRPr="0008073A" w:rsidRDefault="00730F69" w:rsidP="008624B7">
      <w:pPr>
        <w:pStyle w:val="Heading2"/>
        <w:tabs>
          <w:tab w:val="left" w:pos="1170"/>
          <w:tab w:val="right" w:pos="8460"/>
          <w:tab w:val="right" w:pos="8910"/>
        </w:tabs>
        <w:ind w:left="1170" w:hanging="1170"/>
        <w:rPr>
          <w:b w:val="0"/>
          <w:sz w:val="20"/>
          <w:szCs w:val="20"/>
        </w:rPr>
      </w:pPr>
      <w:r>
        <w:rPr>
          <w:b w:val="0"/>
          <w:sz w:val="20"/>
          <w:szCs w:val="20"/>
        </w:rPr>
        <w:tab/>
      </w:r>
      <w:r w:rsidR="00EF3364" w:rsidRPr="0008073A">
        <w:rPr>
          <w:b w:val="0"/>
          <w:sz w:val="20"/>
          <w:szCs w:val="20"/>
        </w:rPr>
        <w:t>types (</w:t>
      </w:r>
      <w:smartTag w:uri="urn:schemas-microsoft-com:office:smarttags" w:element="stockticker">
        <w:r w:rsidR="00EF3364" w:rsidRPr="0008073A">
          <w:rPr>
            <w:b w:val="0"/>
            <w:sz w:val="20"/>
            <w:szCs w:val="20"/>
          </w:rPr>
          <w:t>AHC</w:t>
        </w:r>
      </w:smartTag>
      <w:r w:rsidR="00EF3364" w:rsidRPr="0008073A">
        <w:rPr>
          <w:b w:val="0"/>
          <w:sz w:val="20"/>
          <w:szCs w:val="20"/>
        </w:rPr>
        <w:t>)</w:t>
      </w:r>
      <w:r w:rsidR="00EF3364">
        <w:rPr>
          <w:b w:val="0"/>
          <w:sz w:val="20"/>
          <w:szCs w:val="20"/>
        </w:rPr>
        <w:t xml:space="preserve"> </w:t>
      </w:r>
      <w:r w:rsidR="00EF3364" w:rsidRPr="0008073A">
        <w:rPr>
          <w:b w:val="0"/>
          <w:sz w:val="20"/>
          <w:szCs w:val="20"/>
        </w:rPr>
        <w:t>(20</w:t>
      </w:r>
      <w:r w:rsidR="009851D4">
        <w:rPr>
          <w:b w:val="0"/>
          <w:sz w:val="20"/>
          <w:szCs w:val="20"/>
        </w:rPr>
        <w:t>1</w:t>
      </w:r>
      <w:r w:rsidR="00E61E90">
        <w:rPr>
          <w:b w:val="0"/>
          <w:sz w:val="20"/>
          <w:szCs w:val="20"/>
        </w:rPr>
        <w:t>1</w:t>
      </w:r>
      <w:r w:rsidR="00EF3364" w:rsidRPr="0008073A">
        <w:rPr>
          <w:b w:val="0"/>
          <w:sz w:val="20"/>
          <w:szCs w:val="20"/>
        </w:rPr>
        <w:t xml:space="preserve"> dollars, per week) </w:t>
      </w:r>
      <w:r>
        <w:rPr>
          <w:b w:val="0"/>
          <w:sz w:val="20"/>
          <w:szCs w:val="20"/>
        </w:rPr>
        <w:tab/>
      </w:r>
      <w:r w:rsidR="00EF3364">
        <w:rPr>
          <w:b w:val="0"/>
          <w:sz w:val="20"/>
          <w:szCs w:val="20"/>
        </w:rPr>
        <w:t>…………………………………………………</w:t>
      </w:r>
      <w:r w:rsidR="00EF3364">
        <w:rPr>
          <w:b w:val="0"/>
          <w:sz w:val="20"/>
          <w:szCs w:val="20"/>
        </w:rPr>
        <w:tab/>
      </w:r>
      <w:r w:rsidR="00E61E90">
        <w:rPr>
          <w:b w:val="0"/>
          <w:sz w:val="20"/>
          <w:szCs w:val="20"/>
        </w:rPr>
        <w:t>9</w:t>
      </w:r>
      <w:r w:rsidR="009317FB">
        <w:rPr>
          <w:b w:val="0"/>
          <w:sz w:val="20"/>
          <w:szCs w:val="20"/>
        </w:rPr>
        <w:t>6</w:t>
      </w:r>
    </w:p>
    <w:p w:rsidR="00EF3364" w:rsidRPr="0008073A" w:rsidRDefault="00EF3364" w:rsidP="008624B7">
      <w:pPr>
        <w:tabs>
          <w:tab w:val="left" w:pos="1170"/>
          <w:tab w:val="right" w:pos="8460"/>
          <w:tab w:val="right" w:pos="8910"/>
        </w:tabs>
        <w:ind w:left="1170" w:hanging="1170"/>
        <w:jc w:val="both"/>
        <w:rPr>
          <w:rFonts w:cs="Arial"/>
          <w:sz w:val="20"/>
        </w:rPr>
      </w:pPr>
    </w:p>
    <w:p w:rsidR="00EF3364" w:rsidRPr="0097726E" w:rsidRDefault="00E1200C" w:rsidP="007329A6">
      <w:pPr>
        <w:tabs>
          <w:tab w:val="left" w:pos="1170"/>
          <w:tab w:val="left" w:pos="1440"/>
          <w:tab w:val="right" w:pos="9000"/>
        </w:tabs>
        <w:spacing w:after="80"/>
        <w:ind w:left="1440" w:hanging="1440"/>
        <w:rPr>
          <w:rFonts w:cs="Arial"/>
          <w:szCs w:val="22"/>
        </w:rPr>
      </w:pPr>
      <w:r w:rsidRPr="0097726E">
        <w:rPr>
          <w:b/>
          <w:szCs w:val="22"/>
        </w:rPr>
        <w:t xml:space="preserve">Section </w:t>
      </w:r>
      <w:r w:rsidR="00A470A1">
        <w:rPr>
          <w:b/>
          <w:szCs w:val="22"/>
        </w:rPr>
        <w:t>F</w:t>
      </w:r>
      <w:r w:rsidRPr="0097726E">
        <w:rPr>
          <w:b/>
          <w:szCs w:val="22"/>
        </w:rPr>
        <w:tab/>
        <w:t xml:space="preserve">Headline trends in income poverty, 1982 </w:t>
      </w:r>
      <w:r w:rsidR="00E61E90">
        <w:rPr>
          <w:b/>
          <w:szCs w:val="22"/>
        </w:rPr>
        <w:t>to</w:t>
      </w:r>
      <w:r w:rsidRPr="0097726E">
        <w:rPr>
          <w:b/>
          <w:szCs w:val="22"/>
        </w:rPr>
        <w:t xml:space="preserve"> 20</w:t>
      </w:r>
      <w:r w:rsidR="00AC238D">
        <w:rPr>
          <w:b/>
          <w:szCs w:val="22"/>
        </w:rPr>
        <w:t>10</w:t>
      </w:r>
    </w:p>
    <w:p w:rsidR="009851D4" w:rsidRPr="0008073A" w:rsidRDefault="009851D4" w:rsidP="009851D4">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F</w:t>
      </w:r>
      <w:r w:rsidRPr="0008073A">
        <w:rPr>
          <w:rFonts w:cs="Arial"/>
          <w:sz w:val="20"/>
        </w:rPr>
        <w:t>.1</w:t>
      </w:r>
      <w:r>
        <w:rPr>
          <w:rFonts w:cs="Arial"/>
          <w:sz w:val="20"/>
        </w:rPr>
        <w:tab/>
      </w:r>
      <w:r w:rsidRPr="0008073A">
        <w:rPr>
          <w:rFonts w:cs="Arial"/>
          <w:sz w:val="20"/>
        </w:rPr>
        <w:t xml:space="preserve">Poverty measures reported </w:t>
      </w:r>
      <w:r w:rsidR="002E6711">
        <w:rPr>
          <w:rFonts w:cs="Arial"/>
          <w:sz w:val="20"/>
        </w:rPr>
        <w:t>in</w:t>
      </w:r>
      <w:r w:rsidRPr="0008073A">
        <w:rPr>
          <w:rFonts w:cs="Arial"/>
          <w:sz w:val="20"/>
        </w:rPr>
        <w:t xml:space="preserve"> Section</w:t>
      </w:r>
      <w:r w:rsidR="002E6711">
        <w:rPr>
          <w:rFonts w:cs="Arial"/>
          <w:sz w:val="20"/>
        </w:rPr>
        <w:t xml:space="preserve"> F</w:t>
      </w:r>
      <w:r w:rsidR="002E6711">
        <w:rPr>
          <w:rFonts w:cs="Arial"/>
          <w:sz w:val="20"/>
        </w:rPr>
        <w:tab/>
      </w:r>
      <w:r>
        <w:rPr>
          <w:rFonts w:cs="Arial"/>
          <w:sz w:val="20"/>
        </w:rPr>
        <w:t>……………………………………………….</w:t>
      </w:r>
      <w:r>
        <w:rPr>
          <w:rFonts w:cs="Arial"/>
          <w:sz w:val="20"/>
        </w:rPr>
        <w:tab/>
      </w:r>
      <w:r w:rsidR="00E61E90">
        <w:rPr>
          <w:rFonts w:cs="Arial"/>
          <w:sz w:val="20"/>
        </w:rPr>
        <w:t>9</w:t>
      </w:r>
      <w:r w:rsidR="00803779">
        <w:rPr>
          <w:rFonts w:cs="Arial"/>
          <w:sz w:val="20"/>
        </w:rPr>
        <w:t>9</w:t>
      </w:r>
    </w:p>
    <w:p w:rsidR="001D6776" w:rsidRPr="0008073A" w:rsidRDefault="001D6776" w:rsidP="001D6776">
      <w:pPr>
        <w:pStyle w:val="Heading3"/>
        <w:tabs>
          <w:tab w:val="left" w:pos="1170"/>
          <w:tab w:val="right" w:pos="8460"/>
          <w:tab w:val="right" w:pos="8910"/>
        </w:tabs>
        <w:spacing w:after="80"/>
        <w:ind w:left="1166" w:hanging="1166"/>
        <w:rPr>
          <w:b w:val="0"/>
          <w:sz w:val="20"/>
          <w:szCs w:val="20"/>
        </w:rPr>
      </w:pPr>
      <w:r>
        <w:rPr>
          <w:b w:val="0"/>
          <w:sz w:val="20"/>
          <w:szCs w:val="20"/>
        </w:rPr>
        <w:t>Table</w:t>
      </w:r>
      <w:r w:rsidRPr="0008073A">
        <w:rPr>
          <w:b w:val="0"/>
          <w:sz w:val="20"/>
          <w:szCs w:val="20"/>
        </w:rPr>
        <w:t xml:space="preserve"> </w:t>
      </w:r>
      <w:r>
        <w:rPr>
          <w:b w:val="0"/>
          <w:sz w:val="20"/>
          <w:szCs w:val="20"/>
        </w:rPr>
        <w:t>F</w:t>
      </w:r>
      <w:r w:rsidRPr="0008073A">
        <w:rPr>
          <w:b w:val="0"/>
          <w:sz w:val="20"/>
          <w:szCs w:val="20"/>
        </w:rPr>
        <w:t>.</w:t>
      </w:r>
      <w:r w:rsidR="009851D4">
        <w:rPr>
          <w:b w:val="0"/>
          <w:sz w:val="20"/>
          <w:szCs w:val="20"/>
        </w:rPr>
        <w:t>2</w:t>
      </w:r>
      <w:r>
        <w:rPr>
          <w:b w:val="0"/>
          <w:sz w:val="20"/>
          <w:szCs w:val="20"/>
        </w:rPr>
        <w:tab/>
        <w:t xml:space="preserve">Impact of </w:t>
      </w:r>
      <w:r w:rsidR="00422DCE">
        <w:rPr>
          <w:b w:val="0"/>
          <w:sz w:val="20"/>
          <w:szCs w:val="20"/>
        </w:rPr>
        <w:t>selected</w:t>
      </w:r>
      <w:r>
        <w:rPr>
          <w:b w:val="0"/>
          <w:sz w:val="20"/>
          <w:szCs w:val="20"/>
        </w:rPr>
        <w:t xml:space="preserve"> factors on different poverty measures</w:t>
      </w:r>
      <w:r>
        <w:rPr>
          <w:b w:val="0"/>
          <w:sz w:val="20"/>
          <w:szCs w:val="20"/>
        </w:rPr>
        <w:tab/>
      </w:r>
      <w:r w:rsidR="00E61E90">
        <w:rPr>
          <w:b w:val="0"/>
          <w:sz w:val="20"/>
          <w:szCs w:val="20"/>
        </w:rPr>
        <w:t>………..</w:t>
      </w:r>
      <w:r>
        <w:rPr>
          <w:b w:val="0"/>
          <w:sz w:val="20"/>
          <w:szCs w:val="20"/>
        </w:rPr>
        <w:t>………………..</w:t>
      </w:r>
      <w:r>
        <w:rPr>
          <w:b w:val="0"/>
          <w:sz w:val="20"/>
          <w:szCs w:val="20"/>
        </w:rPr>
        <w:tab/>
      </w:r>
      <w:r w:rsidR="00803779">
        <w:rPr>
          <w:b w:val="0"/>
          <w:sz w:val="20"/>
          <w:szCs w:val="20"/>
        </w:rPr>
        <w:t>100</w:t>
      </w:r>
    </w:p>
    <w:p w:rsidR="00EF3364" w:rsidRDefault="00EF3364" w:rsidP="00EC58F5">
      <w:pPr>
        <w:pStyle w:val="Heading3"/>
        <w:tabs>
          <w:tab w:val="left" w:pos="1170"/>
          <w:tab w:val="right" w:pos="8460"/>
          <w:tab w:val="right" w:pos="8910"/>
        </w:tabs>
        <w:ind w:left="1166" w:hanging="1166"/>
        <w:rPr>
          <w:b w:val="0"/>
          <w:sz w:val="20"/>
          <w:szCs w:val="20"/>
        </w:rPr>
      </w:pPr>
      <w:r w:rsidRPr="0008073A">
        <w:rPr>
          <w:b w:val="0"/>
          <w:sz w:val="20"/>
          <w:szCs w:val="20"/>
        </w:rPr>
        <w:t xml:space="preserve">Figure </w:t>
      </w:r>
      <w:r w:rsidR="00A470A1">
        <w:rPr>
          <w:b w:val="0"/>
          <w:sz w:val="20"/>
          <w:szCs w:val="20"/>
        </w:rPr>
        <w:t>F</w:t>
      </w:r>
      <w:r w:rsidRPr="0008073A">
        <w:rPr>
          <w:b w:val="0"/>
          <w:sz w:val="20"/>
          <w:szCs w:val="20"/>
        </w:rPr>
        <w:t>.1</w:t>
      </w:r>
      <w:r>
        <w:rPr>
          <w:b w:val="0"/>
          <w:sz w:val="20"/>
          <w:szCs w:val="20"/>
        </w:rPr>
        <w:tab/>
      </w:r>
      <w:r w:rsidRPr="0008073A">
        <w:rPr>
          <w:b w:val="0"/>
          <w:sz w:val="20"/>
          <w:szCs w:val="20"/>
        </w:rPr>
        <w:t>Proportion of whole population below selected thresholds (</w:t>
      </w:r>
      <w:smartTag w:uri="urn:schemas-microsoft-com:office:smarttags" w:element="stockticker">
        <w:r w:rsidRPr="0008073A">
          <w:rPr>
            <w:b w:val="0"/>
            <w:sz w:val="20"/>
            <w:szCs w:val="20"/>
          </w:rPr>
          <w:t>BHC</w:t>
        </w:r>
      </w:smartTag>
      <w:r w:rsidRPr="0008073A">
        <w:rPr>
          <w:b w:val="0"/>
          <w:sz w:val="20"/>
          <w:szCs w:val="20"/>
        </w:rPr>
        <w:t xml:space="preserve">): fixed line (CV) </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Pr>
          <w:b w:val="0"/>
          <w:sz w:val="20"/>
          <w:szCs w:val="20"/>
        </w:rPr>
        <w:tab/>
      </w:r>
      <w:r w:rsidRPr="0008073A">
        <w:rPr>
          <w:b w:val="0"/>
          <w:sz w:val="20"/>
          <w:szCs w:val="20"/>
        </w:rPr>
        <w:t>and moving line (</w:t>
      </w:r>
      <w:smartTag w:uri="urn:schemas-microsoft-com:office:smarttags" w:element="stockticker">
        <w:r w:rsidRPr="0008073A">
          <w:rPr>
            <w:b w:val="0"/>
            <w:sz w:val="20"/>
            <w:szCs w:val="20"/>
          </w:rPr>
          <w:t>REL</w:t>
        </w:r>
      </w:smartTag>
      <w:r w:rsidRPr="0008073A">
        <w:rPr>
          <w:b w:val="0"/>
          <w:sz w:val="20"/>
          <w:szCs w:val="20"/>
        </w:rPr>
        <w:t>) approaches compared</w:t>
      </w:r>
      <w:r w:rsidR="009358FC">
        <w:rPr>
          <w:b w:val="0"/>
          <w:sz w:val="20"/>
          <w:szCs w:val="20"/>
        </w:rPr>
        <w:tab/>
        <w:t>.</w:t>
      </w:r>
      <w:r>
        <w:rPr>
          <w:b w:val="0"/>
          <w:sz w:val="20"/>
          <w:szCs w:val="20"/>
        </w:rPr>
        <w:t>……………………………………..</w:t>
      </w:r>
      <w:r>
        <w:rPr>
          <w:b w:val="0"/>
          <w:sz w:val="20"/>
          <w:szCs w:val="20"/>
        </w:rPr>
        <w:tab/>
      </w:r>
      <w:r w:rsidR="00E61E90">
        <w:rPr>
          <w:b w:val="0"/>
          <w:sz w:val="20"/>
          <w:szCs w:val="20"/>
        </w:rPr>
        <w:t>10</w:t>
      </w:r>
      <w:r w:rsidR="00803779">
        <w:rPr>
          <w:b w:val="0"/>
          <w:sz w:val="20"/>
          <w:szCs w:val="20"/>
        </w:rPr>
        <w:t>4</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Table </w:t>
      </w:r>
      <w:r w:rsidR="00A470A1">
        <w:rPr>
          <w:b w:val="0"/>
          <w:sz w:val="20"/>
          <w:szCs w:val="20"/>
        </w:rPr>
        <w:t>F</w:t>
      </w:r>
      <w:r w:rsidRPr="0008073A">
        <w:rPr>
          <w:b w:val="0"/>
          <w:sz w:val="20"/>
          <w:szCs w:val="20"/>
        </w:rPr>
        <w:t>.</w:t>
      </w:r>
      <w:r w:rsidR="009851D4">
        <w:rPr>
          <w:b w:val="0"/>
          <w:sz w:val="20"/>
          <w:szCs w:val="20"/>
        </w:rPr>
        <w:t>3</w:t>
      </w:r>
      <w:r>
        <w:rPr>
          <w:b w:val="0"/>
          <w:sz w:val="20"/>
          <w:szCs w:val="20"/>
        </w:rPr>
        <w:tab/>
      </w:r>
      <w:r w:rsidRPr="0008073A">
        <w:rPr>
          <w:b w:val="0"/>
          <w:sz w:val="20"/>
          <w:szCs w:val="20"/>
        </w:rPr>
        <w:t>P</w:t>
      </w:r>
      <w:r>
        <w:rPr>
          <w:b w:val="0"/>
          <w:sz w:val="20"/>
          <w:szCs w:val="20"/>
        </w:rPr>
        <w:t>roportion</w:t>
      </w:r>
      <w:r w:rsidRPr="0008073A">
        <w:rPr>
          <w:b w:val="0"/>
          <w:sz w:val="20"/>
          <w:szCs w:val="20"/>
        </w:rPr>
        <w:t xml:space="preserve"> of whole population below selected thresholds (</w:t>
      </w:r>
      <w:smartTag w:uri="urn:schemas-microsoft-com:office:smarttags" w:element="stockticker">
        <w:r w:rsidRPr="0008073A">
          <w:rPr>
            <w:b w:val="0"/>
            <w:sz w:val="20"/>
            <w:szCs w:val="20"/>
          </w:rPr>
          <w:t>BHC</w:t>
        </w:r>
      </w:smartTag>
      <w:r w:rsidRPr="0008073A">
        <w:rPr>
          <w:b w:val="0"/>
          <w:sz w:val="20"/>
          <w:szCs w:val="20"/>
        </w:rPr>
        <w:t>)</w:t>
      </w:r>
      <w:r>
        <w:rPr>
          <w:b w:val="0"/>
          <w:sz w:val="20"/>
          <w:szCs w:val="20"/>
        </w:rPr>
        <w:tab/>
        <w:t>…………………</w:t>
      </w:r>
      <w:r>
        <w:rPr>
          <w:b w:val="0"/>
          <w:sz w:val="20"/>
          <w:szCs w:val="20"/>
        </w:rPr>
        <w:tab/>
      </w:r>
      <w:r w:rsidR="00E61E90">
        <w:rPr>
          <w:b w:val="0"/>
          <w:sz w:val="20"/>
          <w:szCs w:val="20"/>
        </w:rPr>
        <w:t>10</w:t>
      </w:r>
      <w:r w:rsidR="00803779">
        <w:rPr>
          <w:b w:val="0"/>
          <w:sz w:val="20"/>
          <w:szCs w:val="20"/>
        </w:rPr>
        <w:t>4</w:t>
      </w:r>
    </w:p>
    <w:p w:rsidR="00EF3364" w:rsidRDefault="00EF3364" w:rsidP="007329A6">
      <w:pPr>
        <w:pStyle w:val="Heading3"/>
        <w:keepNext w:val="0"/>
        <w:tabs>
          <w:tab w:val="left" w:pos="1170"/>
          <w:tab w:val="right" w:pos="8460"/>
          <w:tab w:val="right" w:pos="8910"/>
        </w:tabs>
        <w:ind w:left="1166" w:hanging="1166"/>
        <w:rPr>
          <w:b w:val="0"/>
          <w:sz w:val="20"/>
          <w:szCs w:val="20"/>
        </w:rPr>
      </w:pPr>
      <w:r w:rsidRPr="0008073A">
        <w:rPr>
          <w:b w:val="0"/>
          <w:sz w:val="20"/>
          <w:szCs w:val="20"/>
        </w:rPr>
        <w:t xml:space="preserve">Figure </w:t>
      </w:r>
      <w:r w:rsidR="00A470A1">
        <w:rPr>
          <w:b w:val="0"/>
          <w:sz w:val="20"/>
          <w:szCs w:val="20"/>
        </w:rPr>
        <w:t>F</w:t>
      </w:r>
      <w:r w:rsidRPr="0008073A">
        <w:rPr>
          <w:b w:val="0"/>
          <w:sz w:val="20"/>
          <w:szCs w:val="20"/>
        </w:rPr>
        <w:t>.2</w:t>
      </w:r>
      <w:r>
        <w:rPr>
          <w:b w:val="0"/>
          <w:sz w:val="20"/>
          <w:szCs w:val="20"/>
        </w:rPr>
        <w:tab/>
      </w:r>
      <w:r w:rsidRPr="0008073A">
        <w:rPr>
          <w:b w:val="0"/>
          <w:sz w:val="20"/>
          <w:szCs w:val="20"/>
        </w:rPr>
        <w:t>Proportion of whole population below selected thresholds (</w:t>
      </w:r>
      <w:smartTag w:uri="urn:schemas-microsoft-com:office:smarttags" w:element="stockticker">
        <w:r w:rsidRPr="0008073A">
          <w:rPr>
            <w:b w:val="0"/>
            <w:sz w:val="20"/>
            <w:szCs w:val="20"/>
          </w:rPr>
          <w:t>AHC</w:t>
        </w:r>
      </w:smartTag>
      <w:r w:rsidRPr="0008073A">
        <w:rPr>
          <w:b w:val="0"/>
          <w:sz w:val="20"/>
          <w:szCs w:val="20"/>
        </w:rPr>
        <w:t xml:space="preserve">): fixed line (CV) </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Pr>
          <w:b w:val="0"/>
          <w:sz w:val="20"/>
          <w:szCs w:val="20"/>
        </w:rPr>
        <w:tab/>
      </w:r>
      <w:r w:rsidRPr="0008073A">
        <w:rPr>
          <w:b w:val="0"/>
          <w:sz w:val="20"/>
          <w:szCs w:val="20"/>
        </w:rPr>
        <w:t>and moving line (</w:t>
      </w:r>
      <w:smartTag w:uri="urn:schemas-microsoft-com:office:smarttags" w:element="stockticker">
        <w:r w:rsidRPr="0008073A">
          <w:rPr>
            <w:b w:val="0"/>
            <w:sz w:val="20"/>
            <w:szCs w:val="20"/>
          </w:rPr>
          <w:t>REL</w:t>
        </w:r>
      </w:smartTag>
      <w:r w:rsidRPr="0008073A">
        <w:rPr>
          <w:b w:val="0"/>
          <w:sz w:val="20"/>
          <w:szCs w:val="20"/>
        </w:rPr>
        <w:t>) approaches compared</w:t>
      </w:r>
      <w:r>
        <w:rPr>
          <w:b w:val="0"/>
          <w:sz w:val="20"/>
          <w:szCs w:val="20"/>
        </w:rPr>
        <w:tab/>
        <w:t>……………………………………….</w:t>
      </w:r>
      <w:r>
        <w:rPr>
          <w:b w:val="0"/>
          <w:sz w:val="20"/>
          <w:szCs w:val="20"/>
        </w:rPr>
        <w:tab/>
      </w:r>
      <w:r w:rsidR="00E61E90">
        <w:rPr>
          <w:b w:val="0"/>
          <w:sz w:val="20"/>
          <w:szCs w:val="20"/>
        </w:rPr>
        <w:t>10</w:t>
      </w:r>
      <w:r w:rsidR="00803779">
        <w:rPr>
          <w:b w:val="0"/>
          <w:sz w:val="20"/>
          <w:szCs w:val="20"/>
        </w:rPr>
        <w:t>5</w:t>
      </w:r>
    </w:p>
    <w:p w:rsidR="00EF3364"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Table </w:t>
      </w:r>
      <w:r w:rsidR="00A470A1">
        <w:rPr>
          <w:b w:val="0"/>
          <w:sz w:val="20"/>
          <w:szCs w:val="20"/>
        </w:rPr>
        <w:t>F</w:t>
      </w:r>
      <w:r w:rsidRPr="0008073A">
        <w:rPr>
          <w:b w:val="0"/>
          <w:sz w:val="20"/>
          <w:szCs w:val="20"/>
        </w:rPr>
        <w:t>.</w:t>
      </w:r>
      <w:r w:rsidR="009851D4">
        <w:rPr>
          <w:b w:val="0"/>
          <w:sz w:val="20"/>
          <w:szCs w:val="20"/>
        </w:rPr>
        <w:t>4</w:t>
      </w:r>
      <w:r>
        <w:rPr>
          <w:b w:val="0"/>
          <w:sz w:val="20"/>
          <w:szCs w:val="20"/>
        </w:rPr>
        <w:tab/>
      </w:r>
      <w:r w:rsidRPr="0008073A">
        <w:rPr>
          <w:b w:val="0"/>
          <w:sz w:val="20"/>
          <w:szCs w:val="20"/>
        </w:rPr>
        <w:t>P</w:t>
      </w:r>
      <w:r>
        <w:rPr>
          <w:b w:val="0"/>
          <w:sz w:val="20"/>
          <w:szCs w:val="20"/>
        </w:rPr>
        <w:t>roportion</w:t>
      </w:r>
      <w:r w:rsidRPr="0008073A">
        <w:rPr>
          <w:b w:val="0"/>
          <w:sz w:val="20"/>
          <w:szCs w:val="20"/>
        </w:rPr>
        <w:t xml:space="preserve"> of whole population below selected thresholds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031DA7">
        <w:rPr>
          <w:b w:val="0"/>
          <w:sz w:val="20"/>
          <w:szCs w:val="20"/>
        </w:rPr>
        <w:t>10</w:t>
      </w:r>
      <w:r w:rsidR="00803779">
        <w:rPr>
          <w:b w:val="0"/>
          <w:sz w:val="20"/>
          <w:szCs w:val="20"/>
        </w:rPr>
        <w:t>5</w:t>
      </w:r>
    </w:p>
    <w:p w:rsidR="00354394" w:rsidRDefault="00354394" w:rsidP="00354394">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Table </w:t>
      </w:r>
      <w:r>
        <w:rPr>
          <w:b w:val="0"/>
          <w:sz w:val="20"/>
          <w:szCs w:val="20"/>
        </w:rPr>
        <w:t>F</w:t>
      </w:r>
      <w:r w:rsidRPr="0008073A">
        <w:rPr>
          <w:b w:val="0"/>
          <w:sz w:val="20"/>
          <w:szCs w:val="20"/>
        </w:rPr>
        <w:t>.</w:t>
      </w:r>
      <w:r w:rsidR="009851D4">
        <w:rPr>
          <w:b w:val="0"/>
          <w:sz w:val="20"/>
          <w:szCs w:val="20"/>
        </w:rPr>
        <w:t>5</w:t>
      </w:r>
      <w:r>
        <w:rPr>
          <w:b w:val="0"/>
          <w:sz w:val="20"/>
          <w:szCs w:val="20"/>
        </w:rPr>
        <w:tab/>
      </w:r>
      <w:r w:rsidR="003751FE">
        <w:rPr>
          <w:b w:val="0"/>
          <w:sz w:val="20"/>
          <w:szCs w:val="20"/>
        </w:rPr>
        <w:t xml:space="preserve">Numbers of poor children in </w:t>
      </w:r>
      <w:smartTag w:uri="urn:schemas-microsoft-com:office:smarttags" w:element="place">
        <w:smartTag w:uri="urn:schemas-microsoft-com:office:smarttags" w:element="country-region">
          <w:r w:rsidR="003751FE">
            <w:rPr>
              <w:b w:val="0"/>
              <w:sz w:val="20"/>
              <w:szCs w:val="20"/>
            </w:rPr>
            <w:t>New Zealand</w:t>
          </w:r>
        </w:smartTag>
      </w:smartTag>
      <w:r>
        <w:rPr>
          <w:b w:val="0"/>
          <w:sz w:val="20"/>
          <w:szCs w:val="20"/>
        </w:rPr>
        <w:tab/>
      </w:r>
      <w:r w:rsidR="003751FE">
        <w:rPr>
          <w:b w:val="0"/>
          <w:sz w:val="20"/>
          <w:szCs w:val="20"/>
        </w:rPr>
        <w:t>…………………………</w:t>
      </w:r>
      <w:r>
        <w:rPr>
          <w:b w:val="0"/>
          <w:sz w:val="20"/>
          <w:szCs w:val="20"/>
        </w:rPr>
        <w:t>…………………</w:t>
      </w:r>
      <w:r>
        <w:rPr>
          <w:b w:val="0"/>
          <w:sz w:val="20"/>
          <w:szCs w:val="20"/>
        </w:rPr>
        <w:tab/>
      </w:r>
      <w:r w:rsidR="00031DA7">
        <w:rPr>
          <w:b w:val="0"/>
          <w:sz w:val="20"/>
          <w:szCs w:val="20"/>
        </w:rPr>
        <w:t>10</w:t>
      </w:r>
      <w:r w:rsidR="00803779">
        <w:rPr>
          <w:b w:val="0"/>
          <w:sz w:val="20"/>
          <w:szCs w:val="20"/>
        </w:rPr>
        <w:t>7</w:t>
      </w:r>
    </w:p>
    <w:p w:rsidR="00EF3364" w:rsidRDefault="00EF3364" w:rsidP="007329A6">
      <w:pPr>
        <w:pStyle w:val="Heading3"/>
        <w:keepNext w:val="0"/>
        <w:tabs>
          <w:tab w:val="left" w:pos="1170"/>
          <w:tab w:val="right" w:pos="8460"/>
          <w:tab w:val="right" w:pos="8910"/>
        </w:tabs>
        <w:ind w:left="1166" w:hanging="1166"/>
        <w:rPr>
          <w:b w:val="0"/>
          <w:sz w:val="20"/>
          <w:szCs w:val="20"/>
        </w:rPr>
      </w:pPr>
      <w:r w:rsidRPr="0008073A">
        <w:rPr>
          <w:b w:val="0"/>
          <w:sz w:val="20"/>
          <w:szCs w:val="20"/>
        </w:rPr>
        <w:t xml:space="preserve">Figure </w:t>
      </w:r>
      <w:r w:rsidR="00A470A1">
        <w:rPr>
          <w:b w:val="0"/>
          <w:sz w:val="20"/>
          <w:szCs w:val="20"/>
        </w:rPr>
        <w:t>F</w:t>
      </w:r>
      <w:r w:rsidRPr="0008073A">
        <w:rPr>
          <w:b w:val="0"/>
          <w:sz w:val="20"/>
          <w:szCs w:val="20"/>
        </w:rPr>
        <w:t>.3</w:t>
      </w:r>
      <w:r>
        <w:rPr>
          <w:b w:val="0"/>
          <w:sz w:val="20"/>
          <w:szCs w:val="20"/>
        </w:rPr>
        <w:tab/>
      </w:r>
      <w:r w:rsidRPr="0008073A">
        <w:rPr>
          <w:b w:val="0"/>
          <w:sz w:val="20"/>
          <w:szCs w:val="20"/>
        </w:rPr>
        <w:t>Proportion of children below selected thresholds (</w:t>
      </w:r>
      <w:smartTag w:uri="urn:schemas-microsoft-com:office:smarttags" w:element="stockticker">
        <w:r w:rsidRPr="0008073A">
          <w:rPr>
            <w:b w:val="0"/>
            <w:sz w:val="20"/>
            <w:szCs w:val="20"/>
          </w:rPr>
          <w:t>BHC</w:t>
        </w:r>
      </w:smartTag>
      <w:r w:rsidRPr="0008073A">
        <w:rPr>
          <w:b w:val="0"/>
          <w:sz w:val="20"/>
          <w:szCs w:val="20"/>
        </w:rPr>
        <w:t>): fixed line (CV)</w:t>
      </w:r>
      <w:r>
        <w:rPr>
          <w:b w:val="0"/>
          <w:sz w:val="20"/>
          <w:szCs w:val="20"/>
        </w:rPr>
        <w:t xml:space="preserve"> and</w:t>
      </w:r>
      <w:r w:rsidRPr="0008073A">
        <w:rPr>
          <w:b w:val="0"/>
          <w:sz w:val="20"/>
          <w:szCs w:val="20"/>
        </w:rPr>
        <w:t xml:space="preserve"> </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Pr>
          <w:b w:val="0"/>
          <w:sz w:val="20"/>
          <w:szCs w:val="20"/>
        </w:rPr>
        <w:tab/>
      </w:r>
      <w:r w:rsidRPr="0008073A">
        <w:rPr>
          <w:b w:val="0"/>
          <w:sz w:val="20"/>
          <w:szCs w:val="20"/>
        </w:rPr>
        <w:t>moving line (</w:t>
      </w:r>
      <w:smartTag w:uri="urn:schemas-microsoft-com:office:smarttags" w:element="stockticker">
        <w:r w:rsidRPr="0008073A">
          <w:rPr>
            <w:b w:val="0"/>
            <w:sz w:val="20"/>
            <w:szCs w:val="20"/>
          </w:rPr>
          <w:t>REL</w:t>
        </w:r>
      </w:smartTag>
      <w:r w:rsidRPr="0008073A">
        <w:rPr>
          <w:b w:val="0"/>
          <w:sz w:val="20"/>
          <w:szCs w:val="20"/>
        </w:rPr>
        <w:t>) approaches compared</w:t>
      </w:r>
      <w:r>
        <w:rPr>
          <w:b w:val="0"/>
          <w:sz w:val="20"/>
          <w:szCs w:val="20"/>
        </w:rPr>
        <w:tab/>
        <w:t>…..………………………………………..</w:t>
      </w:r>
      <w:r>
        <w:rPr>
          <w:b w:val="0"/>
          <w:sz w:val="20"/>
          <w:szCs w:val="20"/>
        </w:rPr>
        <w:tab/>
      </w:r>
      <w:r w:rsidR="00031DA7">
        <w:rPr>
          <w:b w:val="0"/>
          <w:sz w:val="20"/>
          <w:szCs w:val="20"/>
        </w:rPr>
        <w:t>10</w:t>
      </w:r>
      <w:r w:rsidR="00803779">
        <w:rPr>
          <w:b w:val="0"/>
          <w:sz w:val="20"/>
          <w:szCs w:val="20"/>
        </w:rPr>
        <w:t>8</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Table </w:t>
      </w:r>
      <w:r w:rsidR="00A470A1">
        <w:rPr>
          <w:b w:val="0"/>
          <w:sz w:val="20"/>
          <w:szCs w:val="20"/>
        </w:rPr>
        <w:t>F</w:t>
      </w:r>
      <w:r w:rsidRPr="0008073A">
        <w:rPr>
          <w:b w:val="0"/>
          <w:sz w:val="20"/>
          <w:szCs w:val="20"/>
        </w:rPr>
        <w:t>.</w:t>
      </w:r>
      <w:r w:rsidR="009851D4">
        <w:rPr>
          <w:b w:val="0"/>
          <w:sz w:val="20"/>
          <w:szCs w:val="20"/>
        </w:rPr>
        <w:t>6</w:t>
      </w:r>
      <w:r>
        <w:rPr>
          <w:b w:val="0"/>
          <w:sz w:val="20"/>
          <w:szCs w:val="20"/>
        </w:rPr>
        <w:tab/>
      </w:r>
      <w:r w:rsidRPr="0008073A">
        <w:rPr>
          <w:b w:val="0"/>
          <w:sz w:val="20"/>
          <w:szCs w:val="20"/>
        </w:rPr>
        <w:t>P</w:t>
      </w:r>
      <w:r>
        <w:rPr>
          <w:b w:val="0"/>
          <w:sz w:val="20"/>
          <w:szCs w:val="20"/>
        </w:rPr>
        <w:t>roportion</w:t>
      </w:r>
      <w:r w:rsidRPr="0008073A">
        <w:rPr>
          <w:b w:val="0"/>
          <w:sz w:val="20"/>
          <w:szCs w:val="20"/>
        </w:rPr>
        <w:t xml:space="preserve"> of children below selected thresholds (</w:t>
      </w:r>
      <w:smartTag w:uri="urn:schemas-microsoft-com:office:smarttags" w:element="stockticker">
        <w:r w:rsidRPr="0008073A">
          <w:rPr>
            <w:b w:val="0"/>
            <w:sz w:val="20"/>
            <w:szCs w:val="20"/>
          </w:rPr>
          <w:t>BHC</w:t>
        </w:r>
      </w:smartTag>
      <w:r w:rsidRPr="0008073A">
        <w:rPr>
          <w:b w:val="0"/>
          <w:sz w:val="20"/>
          <w:szCs w:val="20"/>
        </w:rPr>
        <w:t>)</w:t>
      </w:r>
      <w:r>
        <w:rPr>
          <w:b w:val="0"/>
          <w:sz w:val="20"/>
          <w:szCs w:val="20"/>
        </w:rPr>
        <w:tab/>
      </w:r>
      <w:r w:rsidR="00031DA7">
        <w:rPr>
          <w:b w:val="0"/>
          <w:sz w:val="20"/>
          <w:szCs w:val="20"/>
        </w:rPr>
        <w:t>…</w:t>
      </w:r>
      <w:r>
        <w:rPr>
          <w:b w:val="0"/>
          <w:sz w:val="20"/>
          <w:szCs w:val="20"/>
        </w:rPr>
        <w:t>…………………………..</w:t>
      </w:r>
      <w:r>
        <w:rPr>
          <w:b w:val="0"/>
          <w:sz w:val="20"/>
          <w:szCs w:val="20"/>
        </w:rPr>
        <w:tab/>
      </w:r>
      <w:r w:rsidR="00031DA7">
        <w:rPr>
          <w:b w:val="0"/>
          <w:sz w:val="20"/>
          <w:szCs w:val="20"/>
        </w:rPr>
        <w:t>10</w:t>
      </w:r>
      <w:r w:rsidR="00803779">
        <w:rPr>
          <w:b w:val="0"/>
          <w:sz w:val="20"/>
          <w:szCs w:val="20"/>
        </w:rPr>
        <w:t>8</w:t>
      </w:r>
    </w:p>
    <w:p w:rsidR="00EF3364" w:rsidRPr="0057119F" w:rsidRDefault="00EF3364" w:rsidP="007329A6">
      <w:pPr>
        <w:pStyle w:val="Heading3"/>
        <w:keepNext w:val="0"/>
        <w:tabs>
          <w:tab w:val="left" w:pos="1170"/>
          <w:tab w:val="right" w:pos="8460"/>
          <w:tab w:val="right" w:pos="8910"/>
        </w:tabs>
        <w:ind w:left="1166" w:hanging="1166"/>
        <w:rPr>
          <w:b w:val="0"/>
          <w:sz w:val="20"/>
          <w:szCs w:val="20"/>
        </w:rPr>
      </w:pPr>
      <w:r w:rsidRPr="0057119F">
        <w:rPr>
          <w:b w:val="0"/>
          <w:sz w:val="20"/>
          <w:szCs w:val="20"/>
        </w:rPr>
        <w:t xml:space="preserve">Figure </w:t>
      </w:r>
      <w:r w:rsidR="00A470A1">
        <w:rPr>
          <w:b w:val="0"/>
          <w:sz w:val="20"/>
          <w:szCs w:val="20"/>
        </w:rPr>
        <w:t>F</w:t>
      </w:r>
      <w:r w:rsidRPr="0057119F">
        <w:rPr>
          <w:b w:val="0"/>
          <w:sz w:val="20"/>
          <w:szCs w:val="20"/>
        </w:rPr>
        <w:t>.4</w:t>
      </w:r>
      <w:r w:rsidRPr="0057119F">
        <w:rPr>
          <w:b w:val="0"/>
          <w:sz w:val="20"/>
          <w:szCs w:val="20"/>
        </w:rPr>
        <w:tab/>
        <w:t>Proportion of children below selected thresholds (</w:t>
      </w:r>
      <w:smartTag w:uri="urn:schemas-microsoft-com:office:smarttags" w:element="stockticker">
        <w:r w:rsidRPr="0057119F">
          <w:rPr>
            <w:b w:val="0"/>
            <w:sz w:val="20"/>
            <w:szCs w:val="20"/>
          </w:rPr>
          <w:t>AHC</w:t>
        </w:r>
      </w:smartTag>
      <w:r w:rsidRPr="0057119F">
        <w:rPr>
          <w:b w:val="0"/>
          <w:sz w:val="20"/>
          <w:szCs w:val="20"/>
        </w:rPr>
        <w:t xml:space="preserve">): fixed line (CV) and </w:t>
      </w:r>
    </w:p>
    <w:p w:rsidR="00EF3364" w:rsidRPr="0057119F" w:rsidRDefault="00EF3364" w:rsidP="007329A6">
      <w:pPr>
        <w:pStyle w:val="Heading3"/>
        <w:tabs>
          <w:tab w:val="left" w:pos="1170"/>
          <w:tab w:val="right" w:pos="8460"/>
          <w:tab w:val="right" w:pos="8910"/>
        </w:tabs>
        <w:spacing w:after="80"/>
        <w:ind w:left="1166" w:hanging="1166"/>
        <w:rPr>
          <w:b w:val="0"/>
          <w:sz w:val="20"/>
          <w:szCs w:val="20"/>
        </w:rPr>
      </w:pPr>
      <w:r w:rsidRPr="0057119F">
        <w:rPr>
          <w:b w:val="0"/>
          <w:sz w:val="20"/>
          <w:szCs w:val="20"/>
        </w:rPr>
        <w:tab/>
        <w:t>moving line (</w:t>
      </w:r>
      <w:smartTag w:uri="urn:schemas-microsoft-com:office:smarttags" w:element="stockticker">
        <w:r w:rsidRPr="0057119F">
          <w:rPr>
            <w:b w:val="0"/>
            <w:sz w:val="20"/>
            <w:szCs w:val="20"/>
          </w:rPr>
          <w:t>REL</w:t>
        </w:r>
      </w:smartTag>
      <w:r w:rsidRPr="0057119F">
        <w:rPr>
          <w:b w:val="0"/>
          <w:sz w:val="20"/>
          <w:szCs w:val="20"/>
        </w:rPr>
        <w:t>) approaches compared</w:t>
      </w:r>
      <w:r w:rsidRPr="0057119F">
        <w:rPr>
          <w:b w:val="0"/>
          <w:sz w:val="20"/>
          <w:szCs w:val="20"/>
        </w:rPr>
        <w:tab/>
        <w:t>……………………………………………..</w:t>
      </w:r>
      <w:r w:rsidRPr="0057119F">
        <w:rPr>
          <w:b w:val="0"/>
          <w:sz w:val="20"/>
          <w:szCs w:val="20"/>
        </w:rPr>
        <w:tab/>
      </w:r>
      <w:r w:rsidR="00031DA7">
        <w:rPr>
          <w:b w:val="0"/>
          <w:sz w:val="20"/>
          <w:szCs w:val="20"/>
        </w:rPr>
        <w:t>10</w:t>
      </w:r>
      <w:r w:rsidR="00803779">
        <w:rPr>
          <w:b w:val="0"/>
          <w:sz w:val="20"/>
          <w:szCs w:val="20"/>
        </w:rPr>
        <w:t>9</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Table </w:t>
      </w:r>
      <w:r w:rsidR="00A470A1">
        <w:rPr>
          <w:b w:val="0"/>
          <w:sz w:val="20"/>
          <w:szCs w:val="20"/>
        </w:rPr>
        <w:t>F</w:t>
      </w:r>
      <w:r w:rsidRPr="0008073A">
        <w:rPr>
          <w:b w:val="0"/>
          <w:sz w:val="20"/>
          <w:szCs w:val="20"/>
        </w:rPr>
        <w:t>.</w:t>
      </w:r>
      <w:r w:rsidR="009851D4">
        <w:rPr>
          <w:b w:val="0"/>
          <w:sz w:val="20"/>
          <w:szCs w:val="20"/>
        </w:rPr>
        <w:t>7</w:t>
      </w:r>
      <w:r>
        <w:rPr>
          <w:b w:val="0"/>
          <w:sz w:val="20"/>
          <w:szCs w:val="20"/>
        </w:rPr>
        <w:tab/>
      </w:r>
      <w:r w:rsidRPr="0008073A">
        <w:rPr>
          <w:b w:val="0"/>
          <w:sz w:val="20"/>
          <w:szCs w:val="20"/>
        </w:rPr>
        <w:t>P</w:t>
      </w:r>
      <w:r>
        <w:rPr>
          <w:b w:val="0"/>
          <w:sz w:val="20"/>
          <w:szCs w:val="20"/>
        </w:rPr>
        <w:t>roportion</w:t>
      </w:r>
      <w:r w:rsidRPr="0008073A">
        <w:rPr>
          <w:b w:val="0"/>
          <w:sz w:val="20"/>
          <w:szCs w:val="20"/>
        </w:rPr>
        <w:t xml:space="preserve"> of children below selected thresholds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031DA7">
        <w:rPr>
          <w:b w:val="0"/>
          <w:sz w:val="20"/>
          <w:szCs w:val="20"/>
        </w:rPr>
        <w:t>10</w:t>
      </w:r>
      <w:r w:rsidR="00803779">
        <w:rPr>
          <w:b w:val="0"/>
          <w:sz w:val="20"/>
          <w:szCs w:val="20"/>
        </w:rPr>
        <w:t>9</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w:t>
      </w:r>
      <w:r w:rsidR="00A470A1">
        <w:rPr>
          <w:rFonts w:cs="Arial"/>
          <w:sz w:val="20"/>
        </w:rPr>
        <w:t>F</w:t>
      </w:r>
      <w:r w:rsidRPr="0008073A">
        <w:rPr>
          <w:rFonts w:cs="Arial"/>
          <w:sz w:val="20"/>
        </w:rPr>
        <w:t>.5</w:t>
      </w:r>
      <w:r>
        <w:rPr>
          <w:rFonts w:cs="Arial"/>
          <w:sz w:val="20"/>
        </w:rPr>
        <w:tab/>
      </w:r>
      <w:r w:rsidRPr="0008073A">
        <w:rPr>
          <w:rFonts w:cs="Arial"/>
          <w:sz w:val="20"/>
        </w:rPr>
        <w:t xml:space="preserve">Proportion below </w:t>
      </w:r>
      <w:r>
        <w:rPr>
          <w:rFonts w:cs="Arial"/>
          <w:sz w:val="20"/>
        </w:rPr>
        <w:t xml:space="preserve">a range of </w:t>
      </w:r>
      <w:r w:rsidR="00031DA7">
        <w:rPr>
          <w:rFonts w:cs="Arial"/>
          <w:sz w:val="20"/>
        </w:rPr>
        <w:t>‘moving line’</w:t>
      </w:r>
      <w:r w:rsidRPr="0008073A">
        <w:rPr>
          <w:rFonts w:cs="Arial"/>
          <w:sz w:val="20"/>
        </w:rPr>
        <w:t xml:space="preserve"> thresholds (</w:t>
      </w:r>
      <w:smartTag w:uri="urn:schemas-microsoft-com:office:smarttags" w:element="stockticker">
        <w:r w:rsidRPr="0008073A">
          <w:rPr>
            <w:rFonts w:cs="Arial"/>
            <w:sz w:val="20"/>
          </w:rPr>
          <w:t>BHC</w:t>
        </w:r>
      </w:smartTag>
      <w:r w:rsidRPr="0008073A">
        <w:rPr>
          <w:rFonts w:cs="Arial"/>
          <w:sz w:val="20"/>
        </w:rPr>
        <w:t xml:space="preserve">, </w:t>
      </w:r>
      <w:smartTag w:uri="urn:schemas-microsoft-com:office:smarttags" w:element="stockticker">
        <w:r w:rsidRPr="0008073A">
          <w:rPr>
            <w:rFonts w:cs="Arial"/>
            <w:sz w:val="20"/>
          </w:rPr>
          <w:t>REL</w:t>
        </w:r>
      </w:smartTag>
      <w:r w:rsidRPr="0008073A">
        <w:rPr>
          <w:rFonts w:cs="Arial"/>
          <w:sz w:val="20"/>
        </w:rPr>
        <w:t>)</w:t>
      </w:r>
      <w:r>
        <w:rPr>
          <w:rFonts w:cs="Arial"/>
          <w:sz w:val="20"/>
        </w:rPr>
        <w:tab/>
      </w:r>
      <w:r w:rsidR="00031DA7">
        <w:rPr>
          <w:rFonts w:cs="Arial"/>
          <w:sz w:val="20"/>
        </w:rPr>
        <w:t>…..</w:t>
      </w:r>
      <w:r>
        <w:rPr>
          <w:rFonts w:cs="Arial"/>
          <w:sz w:val="20"/>
        </w:rPr>
        <w:t>………………</w:t>
      </w:r>
      <w:r>
        <w:rPr>
          <w:rFonts w:cs="Arial"/>
          <w:sz w:val="20"/>
        </w:rPr>
        <w:tab/>
      </w:r>
      <w:r w:rsidR="00031DA7">
        <w:rPr>
          <w:rFonts w:cs="Arial"/>
          <w:sz w:val="20"/>
        </w:rPr>
        <w:t>1</w:t>
      </w:r>
      <w:r w:rsidR="00803779">
        <w:rPr>
          <w:rFonts w:cs="Arial"/>
          <w:sz w:val="20"/>
        </w:rPr>
        <w:t>10</w:t>
      </w:r>
    </w:p>
    <w:p w:rsidR="00EF3364" w:rsidRDefault="00EF3364" w:rsidP="007329A6">
      <w:pPr>
        <w:tabs>
          <w:tab w:val="left" w:pos="1170"/>
          <w:tab w:val="right" w:pos="8460"/>
          <w:tab w:val="right" w:pos="8910"/>
        </w:tabs>
        <w:spacing w:after="80"/>
        <w:ind w:left="1166" w:right="-25" w:hanging="1166"/>
        <w:rPr>
          <w:rFonts w:cs="Arial"/>
          <w:sz w:val="20"/>
        </w:rPr>
      </w:pPr>
      <w:r w:rsidRPr="0008073A">
        <w:rPr>
          <w:rFonts w:cs="Arial"/>
          <w:sz w:val="20"/>
        </w:rPr>
        <w:t xml:space="preserve">Figure </w:t>
      </w:r>
      <w:r w:rsidR="00A470A1">
        <w:rPr>
          <w:rFonts w:cs="Arial"/>
          <w:sz w:val="20"/>
        </w:rPr>
        <w:t>F</w:t>
      </w:r>
      <w:r w:rsidRPr="0008073A">
        <w:rPr>
          <w:rFonts w:cs="Arial"/>
          <w:sz w:val="20"/>
        </w:rPr>
        <w:t>.6</w:t>
      </w:r>
      <w:r>
        <w:rPr>
          <w:rFonts w:cs="Arial"/>
          <w:sz w:val="20"/>
        </w:rPr>
        <w:tab/>
      </w:r>
      <w:r w:rsidRPr="0008073A">
        <w:rPr>
          <w:rFonts w:cs="Arial"/>
          <w:sz w:val="20"/>
        </w:rPr>
        <w:t xml:space="preserve">Proportions below </w:t>
      </w:r>
      <w:r>
        <w:rPr>
          <w:rFonts w:cs="Arial"/>
          <w:sz w:val="20"/>
        </w:rPr>
        <w:t xml:space="preserve">a range of </w:t>
      </w:r>
      <w:r w:rsidR="00031DA7">
        <w:rPr>
          <w:rFonts w:cs="Arial"/>
          <w:sz w:val="20"/>
        </w:rPr>
        <w:t>‘fixed line’</w:t>
      </w:r>
      <w:r w:rsidRPr="0008073A">
        <w:rPr>
          <w:rFonts w:cs="Arial"/>
          <w:sz w:val="20"/>
        </w:rPr>
        <w:t xml:space="preserve"> thresholds (</w:t>
      </w:r>
      <w:smartTag w:uri="urn:schemas-microsoft-com:office:smarttags" w:element="stockticker">
        <w:r w:rsidRPr="0008073A">
          <w:rPr>
            <w:rFonts w:cs="Arial"/>
            <w:sz w:val="20"/>
          </w:rPr>
          <w:t>AHC</w:t>
        </w:r>
      </w:smartTag>
      <w:r>
        <w:rPr>
          <w:rFonts w:cs="Arial"/>
          <w:sz w:val="20"/>
        </w:rPr>
        <w:t>, CV)</w:t>
      </w:r>
      <w:r>
        <w:rPr>
          <w:rFonts w:cs="Arial"/>
          <w:sz w:val="20"/>
        </w:rPr>
        <w:tab/>
      </w:r>
      <w:r w:rsidR="00031DA7">
        <w:rPr>
          <w:rFonts w:cs="Arial"/>
          <w:sz w:val="20"/>
        </w:rPr>
        <w:t>…….</w:t>
      </w:r>
      <w:r>
        <w:rPr>
          <w:rFonts w:cs="Arial"/>
          <w:sz w:val="20"/>
        </w:rPr>
        <w:t>………………..</w:t>
      </w:r>
      <w:r>
        <w:rPr>
          <w:rFonts w:cs="Arial"/>
          <w:sz w:val="20"/>
        </w:rPr>
        <w:tab/>
      </w:r>
      <w:r w:rsidR="00031DA7">
        <w:rPr>
          <w:rFonts w:cs="Arial"/>
          <w:sz w:val="20"/>
        </w:rPr>
        <w:t>1</w:t>
      </w:r>
      <w:r w:rsidR="00803779">
        <w:rPr>
          <w:rFonts w:cs="Arial"/>
          <w:sz w:val="20"/>
        </w:rPr>
        <w:t>10</w:t>
      </w:r>
    </w:p>
    <w:p w:rsidR="00EF3364" w:rsidRDefault="00EF3364" w:rsidP="007329A6">
      <w:pPr>
        <w:tabs>
          <w:tab w:val="left" w:pos="1170"/>
          <w:tab w:val="right" w:pos="8460"/>
          <w:tab w:val="right" w:pos="8910"/>
        </w:tabs>
        <w:ind w:left="1166" w:hanging="1166"/>
        <w:rPr>
          <w:rFonts w:cs="Arial"/>
          <w:sz w:val="20"/>
        </w:rPr>
      </w:pPr>
      <w:r w:rsidRPr="0008073A">
        <w:rPr>
          <w:rFonts w:cs="Arial"/>
          <w:sz w:val="20"/>
        </w:rPr>
        <w:t xml:space="preserve">Figure </w:t>
      </w:r>
      <w:r w:rsidR="00A470A1">
        <w:rPr>
          <w:rFonts w:cs="Arial"/>
          <w:sz w:val="20"/>
        </w:rPr>
        <w:t>F</w:t>
      </w:r>
      <w:r w:rsidRPr="0008073A">
        <w:rPr>
          <w:rFonts w:cs="Arial"/>
          <w:sz w:val="20"/>
        </w:rPr>
        <w:t>.</w:t>
      </w:r>
      <w:r>
        <w:rPr>
          <w:rFonts w:cs="Arial"/>
          <w:sz w:val="20"/>
        </w:rPr>
        <w:t>7</w:t>
      </w:r>
      <w:r>
        <w:rPr>
          <w:rFonts w:cs="Arial"/>
          <w:sz w:val="20"/>
        </w:rPr>
        <w:tab/>
      </w:r>
      <w:r w:rsidRPr="0008073A">
        <w:rPr>
          <w:rFonts w:cs="Arial"/>
          <w:sz w:val="20"/>
        </w:rPr>
        <w:t>Ratio of 50% poverty rate to 60% poverty rate using 1998 CV thresholds (</w:t>
      </w:r>
      <w:smartTag w:uri="urn:schemas-microsoft-com:office:smarttags" w:element="stockticker">
        <w:r w:rsidRPr="0008073A">
          <w:rPr>
            <w:rFonts w:cs="Arial"/>
            <w:sz w:val="20"/>
          </w:rPr>
          <w:t>BHC</w:t>
        </w:r>
      </w:smartTag>
      <w:r w:rsidRPr="0008073A">
        <w:rPr>
          <w:rFonts w:cs="Arial"/>
          <w:sz w:val="20"/>
        </w:rPr>
        <w:t>),</w:t>
      </w:r>
      <w:r>
        <w:rPr>
          <w:rFonts w:cs="Arial"/>
          <w:sz w:val="20"/>
        </w:rPr>
        <w:t xml:space="preserve"> </w:t>
      </w:r>
    </w:p>
    <w:p w:rsidR="00EF3364" w:rsidRPr="0008073A" w:rsidRDefault="00EF3364" w:rsidP="007329A6">
      <w:pPr>
        <w:tabs>
          <w:tab w:val="left" w:pos="1170"/>
          <w:tab w:val="right" w:pos="8460"/>
          <w:tab w:val="right" w:pos="8910"/>
        </w:tabs>
        <w:spacing w:after="80"/>
        <w:ind w:left="1166" w:hanging="1166"/>
        <w:rPr>
          <w:rFonts w:cs="Arial"/>
          <w:sz w:val="20"/>
        </w:rPr>
      </w:pPr>
      <w:r>
        <w:rPr>
          <w:rFonts w:cs="Arial"/>
          <w:sz w:val="20"/>
        </w:rPr>
        <w:tab/>
      </w:r>
      <w:r w:rsidRPr="0008073A">
        <w:rPr>
          <w:rFonts w:cs="Arial"/>
          <w:sz w:val="20"/>
        </w:rPr>
        <w:t>total population</w:t>
      </w:r>
      <w:r>
        <w:rPr>
          <w:rFonts w:cs="Arial"/>
          <w:sz w:val="20"/>
        </w:rPr>
        <w:tab/>
        <w:t>……………………………………………………………………………….</w:t>
      </w:r>
      <w:r>
        <w:rPr>
          <w:rFonts w:cs="Arial"/>
          <w:sz w:val="20"/>
        </w:rPr>
        <w:tab/>
      </w:r>
      <w:r w:rsidR="00031DA7">
        <w:rPr>
          <w:rFonts w:cs="Arial"/>
          <w:sz w:val="20"/>
        </w:rPr>
        <w:t>1</w:t>
      </w:r>
      <w:r w:rsidR="00803779">
        <w:rPr>
          <w:rFonts w:cs="Arial"/>
          <w:sz w:val="20"/>
        </w:rPr>
        <w:t>12</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w:t>
      </w:r>
      <w:r w:rsidR="00A470A1">
        <w:rPr>
          <w:rFonts w:cs="Arial"/>
          <w:sz w:val="20"/>
        </w:rPr>
        <w:t>F</w:t>
      </w:r>
      <w:r w:rsidRPr="0008073A">
        <w:rPr>
          <w:rFonts w:cs="Arial"/>
          <w:sz w:val="20"/>
        </w:rPr>
        <w:t>.</w:t>
      </w:r>
      <w:r>
        <w:rPr>
          <w:rFonts w:cs="Arial"/>
          <w:sz w:val="20"/>
        </w:rPr>
        <w:t>8</w:t>
      </w:r>
      <w:r>
        <w:rPr>
          <w:rFonts w:cs="Arial"/>
          <w:sz w:val="20"/>
        </w:rPr>
        <w:tab/>
      </w:r>
      <w:r w:rsidRPr="0008073A">
        <w:rPr>
          <w:rFonts w:cs="Arial"/>
          <w:sz w:val="20"/>
        </w:rPr>
        <w:t>Ratio of 50% poverty rate to 60% poverty rate using 1998 CV thresholds (</w:t>
      </w:r>
      <w:smartTag w:uri="urn:schemas-microsoft-com:office:smarttags" w:element="stockticker">
        <w:r w:rsidRPr="0008073A">
          <w:rPr>
            <w:rFonts w:cs="Arial"/>
            <w:sz w:val="20"/>
          </w:rPr>
          <w:t>BHC</w:t>
        </w:r>
      </w:smartTag>
      <w:r w:rsidRPr="0008073A">
        <w:rPr>
          <w:rFonts w:cs="Arial"/>
          <w:sz w:val="20"/>
        </w:rPr>
        <w:t>),</w:t>
      </w:r>
      <w:r>
        <w:rPr>
          <w:rFonts w:cs="Arial"/>
          <w:sz w:val="20"/>
        </w:rPr>
        <w:t xml:space="preserve"> </w:t>
      </w:r>
      <w:r w:rsidRPr="0008073A">
        <w:rPr>
          <w:rFonts w:cs="Arial"/>
          <w:sz w:val="20"/>
        </w:rPr>
        <w:t>dependent children</w:t>
      </w:r>
      <w:r>
        <w:rPr>
          <w:rFonts w:cs="Arial"/>
          <w:sz w:val="20"/>
        </w:rPr>
        <w:tab/>
        <w:t>……………………………………………………………………..</w:t>
      </w:r>
      <w:r>
        <w:rPr>
          <w:rFonts w:cs="Arial"/>
          <w:sz w:val="20"/>
        </w:rPr>
        <w:tab/>
      </w:r>
      <w:r w:rsidR="00031DA7">
        <w:rPr>
          <w:rFonts w:cs="Arial"/>
          <w:sz w:val="20"/>
        </w:rPr>
        <w:t>1</w:t>
      </w:r>
      <w:r w:rsidR="00803779">
        <w:rPr>
          <w:rFonts w:cs="Arial"/>
          <w:sz w:val="20"/>
        </w:rPr>
        <w:t>12</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w:t>
      </w:r>
      <w:r w:rsidR="00A470A1">
        <w:rPr>
          <w:rFonts w:cs="Arial"/>
          <w:sz w:val="20"/>
        </w:rPr>
        <w:t>F</w:t>
      </w:r>
      <w:r w:rsidRPr="0008073A">
        <w:rPr>
          <w:rFonts w:cs="Arial"/>
          <w:sz w:val="20"/>
        </w:rPr>
        <w:t>.</w:t>
      </w:r>
      <w:r>
        <w:rPr>
          <w:rFonts w:cs="Arial"/>
          <w:sz w:val="20"/>
        </w:rPr>
        <w:t>9</w:t>
      </w:r>
      <w:r>
        <w:rPr>
          <w:rFonts w:cs="Arial"/>
          <w:sz w:val="20"/>
        </w:rPr>
        <w:tab/>
      </w:r>
      <w:r w:rsidRPr="0008073A">
        <w:rPr>
          <w:rFonts w:cs="Arial"/>
          <w:sz w:val="20"/>
        </w:rPr>
        <w:t>Mean and median poverty gap ratios</w:t>
      </w:r>
      <w:r>
        <w:rPr>
          <w:rFonts w:cs="Arial"/>
          <w:sz w:val="20"/>
        </w:rPr>
        <w:tab/>
        <w:t>………………………………………………..</w:t>
      </w:r>
      <w:r>
        <w:rPr>
          <w:rFonts w:cs="Arial"/>
          <w:sz w:val="20"/>
        </w:rPr>
        <w:tab/>
      </w:r>
      <w:r w:rsidR="00031DA7">
        <w:rPr>
          <w:rFonts w:cs="Arial"/>
          <w:sz w:val="20"/>
        </w:rPr>
        <w:t>1</w:t>
      </w:r>
      <w:r w:rsidR="00803779">
        <w:rPr>
          <w:rFonts w:cs="Arial"/>
          <w:sz w:val="20"/>
        </w:rPr>
        <w:t>13</w:t>
      </w:r>
    </w:p>
    <w:p w:rsidR="00EF3364" w:rsidRPr="0008073A" w:rsidRDefault="00EF3364" w:rsidP="008624B7">
      <w:pPr>
        <w:tabs>
          <w:tab w:val="left" w:pos="1170"/>
          <w:tab w:val="right" w:pos="8460"/>
          <w:tab w:val="right" w:pos="8910"/>
        </w:tabs>
        <w:spacing w:after="60"/>
        <w:ind w:left="1170" w:hanging="1170"/>
        <w:rPr>
          <w:rFonts w:cs="Arial"/>
          <w:sz w:val="20"/>
        </w:rPr>
      </w:pPr>
      <w:r w:rsidRPr="0008073A">
        <w:rPr>
          <w:rFonts w:cs="Arial"/>
          <w:sz w:val="20"/>
        </w:rPr>
        <w:t xml:space="preserve">Figure </w:t>
      </w:r>
      <w:r w:rsidR="00A470A1">
        <w:rPr>
          <w:rFonts w:cs="Arial"/>
          <w:sz w:val="20"/>
        </w:rPr>
        <w:t>F</w:t>
      </w:r>
      <w:r w:rsidRPr="0008073A">
        <w:rPr>
          <w:rFonts w:cs="Arial"/>
          <w:sz w:val="20"/>
        </w:rPr>
        <w:t>.</w:t>
      </w:r>
      <w:r>
        <w:rPr>
          <w:rFonts w:cs="Arial"/>
          <w:sz w:val="20"/>
        </w:rPr>
        <w:t>10</w:t>
      </w:r>
      <w:r>
        <w:rPr>
          <w:rFonts w:cs="Arial"/>
          <w:sz w:val="20"/>
        </w:rPr>
        <w:tab/>
      </w:r>
      <w:r w:rsidRPr="0008073A">
        <w:rPr>
          <w:rFonts w:cs="Arial"/>
          <w:sz w:val="20"/>
        </w:rPr>
        <w:t>Total poverty gap for whole population (</w:t>
      </w:r>
      <w:smartTag w:uri="urn:schemas-microsoft-com:office:smarttags" w:element="stockticker">
        <w:r w:rsidRPr="0008073A">
          <w:rPr>
            <w:rFonts w:cs="Arial"/>
            <w:sz w:val="20"/>
          </w:rPr>
          <w:t>BHC</w:t>
        </w:r>
      </w:smartTag>
      <w:r w:rsidRPr="0008073A">
        <w:rPr>
          <w:rFonts w:cs="Arial"/>
          <w:sz w:val="20"/>
        </w:rPr>
        <w:t>)</w:t>
      </w:r>
      <w:r>
        <w:rPr>
          <w:rFonts w:cs="Arial"/>
          <w:sz w:val="20"/>
        </w:rPr>
        <w:tab/>
        <w:t>………………………………………...</w:t>
      </w:r>
      <w:r>
        <w:rPr>
          <w:rFonts w:cs="Arial"/>
          <w:sz w:val="20"/>
        </w:rPr>
        <w:tab/>
      </w:r>
      <w:r w:rsidR="00031DA7">
        <w:rPr>
          <w:rFonts w:cs="Arial"/>
          <w:sz w:val="20"/>
        </w:rPr>
        <w:t>11</w:t>
      </w:r>
      <w:r w:rsidR="00803779">
        <w:rPr>
          <w:rFonts w:cs="Arial"/>
          <w:sz w:val="20"/>
        </w:rPr>
        <w:t>4</w:t>
      </w:r>
    </w:p>
    <w:p w:rsidR="00EC58F5" w:rsidRDefault="00EC58F5" w:rsidP="007329A6">
      <w:pPr>
        <w:tabs>
          <w:tab w:val="left" w:pos="1170"/>
          <w:tab w:val="left" w:pos="1440"/>
          <w:tab w:val="right" w:pos="9000"/>
        </w:tabs>
        <w:spacing w:after="80"/>
        <w:ind w:left="1440" w:hanging="1440"/>
        <w:rPr>
          <w:b/>
          <w:szCs w:val="22"/>
        </w:rPr>
      </w:pPr>
    </w:p>
    <w:p w:rsidR="008624B7" w:rsidRPr="0097726E" w:rsidRDefault="00E1200C" w:rsidP="00F451B8">
      <w:pPr>
        <w:tabs>
          <w:tab w:val="left" w:pos="1170"/>
          <w:tab w:val="left" w:pos="1440"/>
          <w:tab w:val="right" w:pos="9000"/>
        </w:tabs>
        <w:ind w:left="1440" w:hanging="1440"/>
        <w:rPr>
          <w:b/>
          <w:szCs w:val="22"/>
        </w:rPr>
      </w:pPr>
      <w:r w:rsidRPr="0097726E">
        <w:rPr>
          <w:b/>
          <w:szCs w:val="22"/>
        </w:rPr>
        <w:t xml:space="preserve">Section </w:t>
      </w:r>
      <w:r w:rsidR="008902F4">
        <w:rPr>
          <w:b/>
          <w:szCs w:val="22"/>
        </w:rPr>
        <w:t>G</w:t>
      </w:r>
      <w:r w:rsidRPr="0097726E">
        <w:rPr>
          <w:b/>
          <w:szCs w:val="22"/>
        </w:rPr>
        <w:tab/>
        <w:t>Trends for the whole population, 1982</w:t>
      </w:r>
      <w:r w:rsidR="009358FC">
        <w:rPr>
          <w:b/>
          <w:szCs w:val="22"/>
        </w:rPr>
        <w:t xml:space="preserve"> </w:t>
      </w:r>
      <w:r w:rsidR="005C2E10">
        <w:rPr>
          <w:b/>
          <w:szCs w:val="22"/>
        </w:rPr>
        <w:t>to</w:t>
      </w:r>
      <w:r w:rsidR="009358FC">
        <w:rPr>
          <w:b/>
          <w:szCs w:val="22"/>
        </w:rPr>
        <w:t xml:space="preserve"> </w:t>
      </w:r>
      <w:r w:rsidRPr="0097726E">
        <w:rPr>
          <w:b/>
          <w:szCs w:val="22"/>
        </w:rPr>
        <w:t>20</w:t>
      </w:r>
      <w:r w:rsidR="00C036A3">
        <w:rPr>
          <w:b/>
          <w:szCs w:val="22"/>
        </w:rPr>
        <w:t>1</w:t>
      </w:r>
      <w:r w:rsidR="005C2E10">
        <w:rPr>
          <w:b/>
          <w:szCs w:val="22"/>
        </w:rPr>
        <w:t>1</w:t>
      </w:r>
      <w:r w:rsidRPr="0097726E">
        <w:rPr>
          <w:b/>
          <w:szCs w:val="22"/>
        </w:rPr>
        <w:t>, by various</w:t>
      </w:r>
      <w:r w:rsidR="008624B7" w:rsidRPr="0097726E">
        <w:rPr>
          <w:b/>
          <w:szCs w:val="22"/>
        </w:rPr>
        <w:t xml:space="preserve"> individual and </w:t>
      </w:r>
    </w:p>
    <w:p w:rsidR="00E1200C" w:rsidRPr="0097726E" w:rsidRDefault="008624B7" w:rsidP="007329A6">
      <w:pPr>
        <w:tabs>
          <w:tab w:val="left" w:pos="1170"/>
          <w:tab w:val="left" w:pos="1440"/>
          <w:tab w:val="right" w:pos="9000"/>
        </w:tabs>
        <w:spacing w:after="80"/>
        <w:ind w:left="1440" w:hanging="1440"/>
        <w:rPr>
          <w:b/>
          <w:szCs w:val="22"/>
        </w:rPr>
      </w:pPr>
      <w:r w:rsidRPr="0097726E">
        <w:rPr>
          <w:b/>
          <w:szCs w:val="22"/>
        </w:rPr>
        <w:tab/>
        <w:t xml:space="preserve">household </w:t>
      </w:r>
      <w:r w:rsidR="00E1200C" w:rsidRPr="0097726E">
        <w:rPr>
          <w:b/>
          <w:szCs w:val="22"/>
        </w:rPr>
        <w:t>characteristics</w:t>
      </w:r>
    </w:p>
    <w:p w:rsidR="009358FC" w:rsidRDefault="00EF3364" w:rsidP="009358FC">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G</w:t>
      </w:r>
      <w:r w:rsidRPr="0008073A">
        <w:rPr>
          <w:rFonts w:cs="Arial"/>
          <w:sz w:val="20"/>
        </w:rPr>
        <w:t>.1</w:t>
      </w:r>
      <w:r>
        <w:rPr>
          <w:rFonts w:cs="Arial"/>
          <w:sz w:val="20"/>
        </w:rPr>
        <w:tab/>
      </w:r>
      <w:r w:rsidRPr="0008073A">
        <w:rPr>
          <w:rFonts w:cs="Arial"/>
          <w:sz w:val="20"/>
        </w:rPr>
        <w:t xml:space="preserve">Poverty measures reported on in Section </w:t>
      </w:r>
      <w:r w:rsidR="00F451B8">
        <w:rPr>
          <w:rFonts w:cs="Arial"/>
          <w:sz w:val="20"/>
        </w:rPr>
        <w:t>G</w:t>
      </w:r>
      <w:r w:rsidRPr="0008073A">
        <w:rPr>
          <w:rFonts w:cs="Arial"/>
          <w:sz w:val="20"/>
        </w:rPr>
        <w:t xml:space="preserve"> for </w:t>
      </w:r>
      <w:r w:rsidR="00C42A24">
        <w:rPr>
          <w:rFonts w:cs="Arial"/>
          <w:sz w:val="20"/>
        </w:rPr>
        <w:t>subgroup</w:t>
      </w:r>
      <w:r w:rsidR="009358FC">
        <w:rPr>
          <w:rFonts w:cs="Arial"/>
          <w:sz w:val="20"/>
        </w:rPr>
        <w:t>s of the</w:t>
      </w:r>
    </w:p>
    <w:p w:rsidR="00EF3364" w:rsidRPr="0008073A" w:rsidRDefault="009358FC" w:rsidP="007329A6">
      <w:pPr>
        <w:tabs>
          <w:tab w:val="left" w:pos="1170"/>
          <w:tab w:val="right" w:pos="8460"/>
          <w:tab w:val="right" w:pos="8910"/>
        </w:tabs>
        <w:spacing w:after="80"/>
        <w:ind w:left="1166" w:hanging="1166"/>
        <w:rPr>
          <w:rFonts w:cs="Arial"/>
          <w:sz w:val="20"/>
        </w:rPr>
      </w:pPr>
      <w:r>
        <w:rPr>
          <w:rFonts w:cs="Arial"/>
          <w:sz w:val="20"/>
        </w:rPr>
        <w:tab/>
        <w:t xml:space="preserve">whole </w:t>
      </w:r>
      <w:r w:rsidR="00EF3364" w:rsidRPr="0008073A">
        <w:rPr>
          <w:rFonts w:cs="Arial"/>
          <w:sz w:val="20"/>
        </w:rPr>
        <w:t>population</w:t>
      </w:r>
      <w:r>
        <w:rPr>
          <w:rFonts w:cs="Arial"/>
          <w:sz w:val="20"/>
        </w:rPr>
        <w:tab/>
        <w:t>………………………………………………………………………….</w:t>
      </w:r>
      <w:r w:rsidR="00EF3364">
        <w:rPr>
          <w:rFonts w:cs="Arial"/>
          <w:sz w:val="20"/>
        </w:rPr>
        <w:tab/>
      </w:r>
      <w:r w:rsidR="00E1011B">
        <w:rPr>
          <w:rFonts w:cs="Arial"/>
          <w:sz w:val="20"/>
        </w:rPr>
        <w:t>1</w:t>
      </w:r>
      <w:r w:rsidR="005C2E10">
        <w:rPr>
          <w:rFonts w:cs="Arial"/>
          <w:sz w:val="20"/>
        </w:rPr>
        <w:t>1</w:t>
      </w:r>
      <w:r w:rsidR="00803779">
        <w:rPr>
          <w:rFonts w:cs="Arial"/>
          <w:sz w:val="20"/>
        </w:rPr>
        <w:t>5</w:t>
      </w:r>
    </w:p>
    <w:p w:rsidR="00E93C98" w:rsidRDefault="00EF3364" w:rsidP="00E93C98">
      <w:pPr>
        <w:pStyle w:val="Heading3"/>
        <w:tabs>
          <w:tab w:val="left" w:pos="1170"/>
          <w:tab w:val="right" w:pos="8460"/>
          <w:tab w:val="right" w:pos="8910"/>
        </w:tabs>
        <w:ind w:left="1166" w:hanging="1166"/>
        <w:rPr>
          <w:b w:val="0"/>
          <w:sz w:val="20"/>
          <w:szCs w:val="20"/>
        </w:rPr>
      </w:pPr>
      <w:r w:rsidRPr="0008073A">
        <w:rPr>
          <w:b w:val="0"/>
          <w:sz w:val="20"/>
          <w:szCs w:val="20"/>
        </w:rPr>
        <w:t xml:space="preserve">Figure </w:t>
      </w:r>
      <w:r w:rsidR="00262845">
        <w:rPr>
          <w:b w:val="0"/>
          <w:sz w:val="20"/>
          <w:szCs w:val="20"/>
        </w:rPr>
        <w:t>G</w:t>
      </w:r>
      <w:r>
        <w:rPr>
          <w:b w:val="0"/>
          <w:sz w:val="20"/>
          <w:szCs w:val="20"/>
        </w:rPr>
        <w:t>.</w:t>
      </w:r>
      <w:r w:rsidRPr="0008073A">
        <w:rPr>
          <w:b w:val="0"/>
          <w:sz w:val="20"/>
          <w:szCs w:val="20"/>
        </w:rPr>
        <w:t xml:space="preserve">1  </w:t>
      </w:r>
      <w:r>
        <w:rPr>
          <w:b w:val="0"/>
          <w:sz w:val="20"/>
          <w:szCs w:val="20"/>
        </w:rPr>
        <w:tab/>
      </w:r>
      <w:r w:rsidRPr="0008073A">
        <w:rPr>
          <w:b w:val="0"/>
          <w:sz w:val="20"/>
          <w:szCs w:val="20"/>
        </w:rPr>
        <w:t>Proportion of all individuals in low-income households by age</w:t>
      </w:r>
      <w:r w:rsidR="00E93C98">
        <w:rPr>
          <w:b w:val="0"/>
          <w:sz w:val="20"/>
          <w:szCs w:val="20"/>
        </w:rPr>
        <w:t xml:space="preserve">, </w:t>
      </w:r>
    </w:p>
    <w:p w:rsidR="00EF3364" w:rsidRPr="0008073A" w:rsidRDefault="00E93C98" w:rsidP="007329A6">
      <w:pPr>
        <w:pStyle w:val="Heading3"/>
        <w:tabs>
          <w:tab w:val="left" w:pos="1170"/>
          <w:tab w:val="right" w:pos="8460"/>
          <w:tab w:val="right" w:pos="8910"/>
        </w:tabs>
        <w:spacing w:after="80"/>
        <w:ind w:left="1166" w:hanging="1166"/>
        <w:rPr>
          <w:b w:val="0"/>
          <w:sz w:val="20"/>
          <w:szCs w:val="20"/>
        </w:rPr>
      </w:pPr>
      <w:r>
        <w:rPr>
          <w:b w:val="0"/>
          <w:sz w:val="20"/>
          <w:szCs w:val="20"/>
        </w:rPr>
        <w:tab/>
        <w:t>60% CV threshold</w:t>
      </w:r>
      <w:r w:rsidR="00EF3364" w:rsidRPr="0008073A">
        <w:rPr>
          <w:b w:val="0"/>
          <w:sz w:val="20"/>
          <w:szCs w:val="20"/>
        </w:rPr>
        <w:t xml:space="preserve"> (</w:t>
      </w:r>
      <w:smartTag w:uri="urn:schemas-microsoft-com:office:smarttags" w:element="stockticker">
        <w:r w:rsidR="00EF3364" w:rsidRPr="0008073A">
          <w:rPr>
            <w:b w:val="0"/>
            <w:sz w:val="20"/>
            <w:szCs w:val="20"/>
          </w:rPr>
          <w:t>AHC</w:t>
        </w:r>
      </w:smartTag>
      <w:r w:rsidR="00EF3364" w:rsidRPr="0008073A">
        <w:rPr>
          <w:b w:val="0"/>
          <w:sz w:val="20"/>
          <w:szCs w:val="20"/>
        </w:rPr>
        <w:t>)</w:t>
      </w:r>
      <w:r w:rsidR="00EF3364">
        <w:rPr>
          <w:b w:val="0"/>
          <w:sz w:val="20"/>
          <w:szCs w:val="20"/>
        </w:rPr>
        <w:tab/>
      </w:r>
      <w:r>
        <w:rPr>
          <w:b w:val="0"/>
          <w:sz w:val="20"/>
          <w:szCs w:val="20"/>
        </w:rPr>
        <w:t>…………………………………………………</w:t>
      </w:r>
      <w:r w:rsidR="00EF3364">
        <w:rPr>
          <w:b w:val="0"/>
          <w:sz w:val="20"/>
          <w:szCs w:val="20"/>
        </w:rPr>
        <w:t>……………..</w:t>
      </w:r>
      <w:r w:rsidR="00EF3364">
        <w:rPr>
          <w:b w:val="0"/>
          <w:sz w:val="20"/>
          <w:szCs w:val="20"/>
        </w:rPr>
        <w:tab/>
      </w:r>
      <w:r w:rsidR="00E1011B">
        <w:rPr>
          <w:b w:val="0"/>
          <w:sz w:val="20"/>
          <w:szCs w:val="20"/>
        </w:rPr>
        <w:t>1</w:t>
      </w:r>
      <w:r w:rsidR="005C2E10">
        <w:rPr>
          <w:b w:val="0"/>
          <w:sz w:val="20"/>
          <w:szCs w:val="20"/>
        </w:rPr>
        <w:t>1</w:t>
      </w:r>
      <w:r w:rsidR="00803779">
        <w:rPr>
          <w:b w:val="0"/>
          <w:sz w:val="20"/>
          <w:szCs w:val="20"/>
        </w:rPr>
        <w:t>6</w:t>
      </w:r>
    </w:p>
    <w:p w:rsidR="00022D3D" w:rsidRDefault="00022D3D" w:rsidP="00022D3D">
      <w:pPr>
        <w:tabs>
          <w:tab w:val="left" w:pos="1170"/>
          <w:tab w:val="right" w:pos="8460"/>
          <w:tab w:val="right" w:pos="8910"/>
        </w:tabs>
        <w:ind w:left="1166" w:hanging="1166"/>
        <w:rPr>
          <w:rFonts w:cs="Arial"/>
          <w:sz w:val="20"/>
        </w:rPr>
      </w:pPr>
      <w:r w:rsidRPr="0008073A">
        <w:rPr>
          <w:rFonts w:cs="Arial"/>
          <w:sz w:val="20"/>
        </w:rPr>
        <w:t xml:space="preserve">Table </w:t>
      </w:r>
      <w:r>
        <w:rPr>
          <w:rFonts w:cs="Arial"/>
          <w:sz w:val="20"/>
        </w:rPr>
        <w:t>G</w:t>
      </w:r>
      <w:r w:rsidRPr="0008073A">
        <w:rPr>
          <w:rFonts w:cs="Arial"/>
          <w:sz w:val="20"/>
        </w:rPr>
        <w:t>.2</w:t>
      </w:r>
      <w:r>
        <w:rPr>
          <w:rFonts w:cs="Arial"/>
          <w:sz w:val="20"/>
        </w:rPr>
        <w:tab/>
      </w:r>
      <w:r w:rsidRPr="0008073A">
        <w:rPr>
          <w:rFonts w:cs="Arial"/>
          <w:sz w:val="20"/>
        </w:rPr>
        <w:t>Proportion of all individuals in low-income households by age</w:t>
      </w:r>
      <w:r>
        <w:rPr>
          <w:rFonts w:cs="Arial"/>
          <w:sz w:val="20"/>
        </w:rPr>
        <w:tab/>
      </w:r>
    </w:p>
    <w:p w:rsidR="00022D3D" w:rsidRPr="0008073A" w:rsidRDefault="00022D3D" w:rsidP="00022D3D">
      <w:pPr>
        <w:pStyle w:val="Heading3"/>
        <w:tabs>
          <w:tab w:val="left" w:pos="1170"/>
          <w:tab w:val="right" w:pos="8460"/>
          <w:tab w:val="right" w:pos="8910"/>
        </w:tabs>
        <w:spacing w:after="80"/>
        <w:ind w:left="1166" w:hanging="1166"/>
        <w:rPr>
          <w:b w:val="0"/>
          <w:sz w:val="20"/>
          <w:szCs w:val="20"/>
        </w:rPr>
      </w:pPr>
      <w:r>
        <w:rPr>
          <w:b w:val="0"/>
          <w:sz w:val="20"/>
          <w:szCs w:val="20"/>
        </w:rPr>
        <w:tab/>
        <w:t xml:space="preserve">60% and 50% </w:t>
      </w:r>
      <w:r w:rsidR="00700A2C">
        <w:rPr>
          <w:b w:val="0"/>
          <w:sz w:val="20"/>
          <w:szCs w:val="20"/>
        </w:rPr>
        <w:t>CV</w:t>
      </w:r>
      <w:r>
        <w:rPr>
          <w:b w:val="0"/>
          <w:sz w:val="20"/>
          <w:szCs w:val="20"/>
        </w:rPr>
        <w:t xml:space="preserve"> thresholds</w:t>
      </w:r>
      <w:r w:rsidRPr="0008073A">
        <w:rPr>
          <w:b w:val="0"/>
          <w:sz w:val="20"/>
          <w:szCs w:val="20"/>
        </w:rPr>
        <w:t xml:space="preserve">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5C2E10">
        <w:rPr>
          <w:b w:val="0"/>
          <w:sz w:val="20"/>
          <w:szCs w:val="20"/>
        </w:rPr>
        <w:t>11</w:t>
      </w:r>
      <w:r w:rsidR="00803779">
        <w:rPr>
          <w:b w:val="0"/>
          <w:sz w:val="20"/>
          <w:szCs w:val="20"/>
        </w:rPr>
        <w:t>7</w:t>
      </w:r>
    </w:p>
    <w:p w:rsidR="000116CA" w:rsidRPr="0008073A" w:rsidRDefault="000116CA" w:rsidP="000116CA">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Figure </w:t>
      </w:r>
      <w:r>
        <w:rPr>
          <w:b w:val="0"/>
          <w:sz w:val="20"/>
          <w:szCs w:val="20"/>
        </w:rPr>
        <w:t>G.2</w:t>
      </w:r>
      <w:r w:rsidRPr="0008073A">
        <w:rPr>
          <w:b w:val="0"/>
          <w:sz w:val="20"/>
          <w:szCs w:val="20"/>
        </w:rPr>
        <w:t xml:space="preserve">  </w:t>
      </w:r>
      <w:r>
        <w:rPr>
          <w:b w:val="0"/>
          <w:sz w:val="20"/>
          <w:szCs w:val="20"/>
        </w:rPr>
        <w:tab/>
        <w:t>Changing living arrangements for 18 to 24 year olds</w:t>
      </w:r>
      <w:r>
        <w:rPr>
          <w:b w:val="0"/>
          <w:sz w:val="20"/>
          <w:szCs w:val="20"/>
        </w:rPr>
        <w:tab/>
        <w:t>……………………………….</w:t>
      </w:r>
      <w:r>
        <w:rPr>
          <w:b w:val="0"/>
          <w:sz w:val="20"/>
          <w:szCs w:val="20"/>
        </w:rPr>
        <w:tab/>
      </w:r>
      <w:r w:rsidR="00E1011B">
        <w:rPr>
          <w:b w:val="0"/>
          <w:sz w:val="20"/>
          <w:szCs w:val="20"/>
        </w:rPr>
        <w:t>1</w:t>
      </w:r>
      <w:r w:rsidR="005C2E10">
        <w:rPr>
          <w:b w:val="0"/>
          <w:sz w:val="20"/>
          <w:szCs w:val="20"/>
        </w:rPr>
        <w:t>1</w:t>
      </w:r>
      <w:r w:rsidR="00803779">
        <w:rPr>
          <w:b w:val="0"/>
          <w:sz w:val="20"/>
          <w:szCs w:val="20"/>
        </w:rPr>
        <w:t>8</w:t>
      </w:r>
    </w:p>
    <w:p w:rsidR="00022D3D" w:rsidRDefault="00022D3D" w:rsidP="00022D3D">
      <w:pPr>
        <w:pStyle w:val="Heading3"/>
        <w:tabs>
          <w:tab w:val="left" w:pos="1170"/>
          <w:tab w:val="right" w:pos="8460"/>
          <w:tab w:val="right" w:pos="8910"/>
        </w:tabs>
        <w:ind w:left="1166" w:hanging="1166"/>
        <w:rPr>
          <w:b w:val="0"/>
          <w:sz w:val="20"/>
          <w:szCs w:val="20"/>
        </w:rPr>
      </w:pPr>
      <w:r w:rsidRPr="0008073A">
        <w:rPr>
          <w:b w:val="0"/>
          <w:sz w:val="20"/>
          <w:szCs w:val="20"/>
        </w:rPr>
        <w:t xml:space="preserve">Figure </w:t>
      </w:r>
      <w:r>
        <w:rPr>
          <w:b w:val="0"/>
          <w:sz w:val="20"/>
          <w:szCs w:val="20"/>
        </w:rPr>
        <w:t>G.</w:t>
      </w:r>
      <w:r w:rsidR="000116CA">
        <w:rPr>
          <w:b w:val="0"/>
          <w:sz w:val="20"/>
          <w:szCs w:val="20"/>
        </w:rPr>
        <w:t>3</w:t>
      </w:r>
      <w:r w:rsidRPr="0008073A">
        <w:rPr>
          <w:b w:val="0"/>
          <w:sz w:val="20"/>
          <w:szCs w:val="20"/>
        </w:rPr>
        <w:t xml:space="preserve">  </w:t>
      </w:r>
      <w:r>
        <w:rPr>
          <w:b w:val="0"/>
          <w:sz w:val="20"/>
          <w:szCs w:val="20"/>
        </w:rPr>
        <w:tab/>
      </w:r>
      <w:r w:rsidRPr="0008073A">
        <w:rPr>
          <w:b w:val="0"/>
          <w:sz w:val="20"/>
          <w:szCs w:val="20"/>
        </w:rPr>
        <w:t>Proportion of all individuals in low-income households by age</w:t>
      </w:r>
      <w:r>
        <w:rPr>
          <w:b w:val="0"/>
          <w:sz w:val="20"/>
          <w:szCs w:val="20"/>
        </w:rPr>
        <w:t xml:space="preserve">, </w:t>
      </w:r>
    </w:p>
    <w:p w:rsidR="00022D3D" w:rsidRPr="0008073A" w:rsidRDefault="00022D3D" w:rsidP="00022D3D">
      <w:pPr>
        <w:pStyle w:val="Heading3"/>
        <w:tabs>
          <w:tab w:val="left" w:pos="1170"/>
          <w:tab w:val="right" w:pos="8460"/>
          <w:tab w:val="right" w:pos="8910"/>
        </w:tabs>
        <w:spacing w:after="80"/>
        <w:ind w:left="1166" w:hanging="1166"/>
        <w:rPr>
          <w:b w:val="0"/>
          <w:sz w:val="20"/>
          <w:szCs w:val="20"/>
        </w:rPr>
      </w:pPr>
      <w:r>
        <w:rPr>
          <w:b w:val="0"/>
          <w:sz w:val="20"/>
          <w:szCs w:val="20"/>
        </w:rPr>
        <w:tab/>
        <w:t xml:space="preserve">60% </w:t>
      </w:r>
      <w:smartTag w:uri="urn:schemas-microsoft-com:office:smarttags" w:element="stockticker">
        <w:r w:rsidR="00700A2C">
          <w:rPr>
            <w:b w:val="0"/>
            <w:sz w:val="20"/>
            <w:szCs w:val="20"/>
          </w:rPr>
          <w:t>REL</w:t>
        </w:r>
      </w:smartTag>
      <w:r>
        <w:rPr>
          <w:b w:val="0"/>
          <w:sz w:val="20"/>
          <w:szCs w:val="20"/>
        </w:rPr>
        <w:t xml:space="preserve"> threshold</w:t>
      </w:r>
      <w:r w:rsidRPr="0008073A">
        <w:rPr>
          <w:b w:val="0"/>
          <w:sz w:val="20"/>
          <w:szCs w:val="20"/>
        </w:rPr>
        <w:t xml:space="preserve">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5F7B78">
        <w:rPr>
          <w:b w:val="0"/>
          <w:sz w:val="20"/>
          <w:szCs w:val="20"/>
        </w:rPr>
        <w:t>1</w:t>
      </w:r>
      <w:r w:rsidR="005C2E10">
        <w:rPr>
          <w:b w:val="0"/>
          <w:sz w:val="20"/>
          <w:szCs w:val="20"/>
        </w:rPr>
        <w:t>1</w:t>
      </w:r>
      <w:r w:rsidR="00803779">
        <w:rPr>
          <w:b w:val="0"/>
          <w:sz w:val="20"/>
          <w:szCs w:val="20"/>
        </w:rPr>
        <w:t>9</w:t>
      </w:r>
    </w:p>
    <w:p w:rsidR="00022D3D" w:rsidRDefault="00022D3D" w:rsidP="00022D3D">
      <w:pPr>
        <w:tabs>
          <w:tab w:val="left" w:pos="1170"/>
          <w:tab w:val="right" w:pos="8460"/>
          <w:tab w:val="right" w:pos="8910"/>
        </w:tabs>
        <w:ind w:left="1166" w:hanging="1166"/>
        <w:rPr>
          <w:rFonts w:cs="Arial"/>
          <w:sz w:val="20"/>
        </w:rPr>
      </w:pPr>
      <w:r w:rsidRPr="0008073A">
        <w:rPr>
          <w:rFonts w:cs="Arial"/>
          <w:sz w:val="20"/>
        </w:rPr>
        <w:t xml:space="preserve">Table </w:t>
      </w:r>
      <w:r>
        <w:rPr>
          <w:rFonts w:cs="Arial"/>
          <w:sz w:val="20"/>
        </w:rPr>
        <w:t>G</w:t>
      </w:r>
      <w:r w:rsidRPr="0008073A">
        <w:rPr>
          <w:rFonts w:cs="Arial"/>
          <w:sz w:val="20"/>
        </w:rPr>
        <w:t>.</w:t>
      </w:r>
      <w:r>
        <w:rPr>
          <w:rFonts w:cs="Arial"/>
          <w:sz w:val="20"/>
        </w:rPr>
        <w:t>3</w:t>
      </w:r>
      <w:r>
        <w:rPr>
          <w:rFonts w:cs="Arial"/>
          <w:sz w:val="20"/>
        </w:rPr>
        <w:tab/>
      </w:r>
      <w:r w:rsidRPr="0008073A">
        <w:rPr>
          <w:rFonts w:cs="Arial"/>
          <w:sz w:val="20"/>
        </w:rPr>
        <w:t>Proportion of all individuals in low-income households by age</w:t>
      </w:r>
      <w:r>
        <w:rPr>
          <w:rFonts w:cs="Arial"/>
          <w:sz w:val="20"/>
        </w:rPr>
        <w:tab/>
      </w:r>
    </w:p>
    <w:p w:rsidR="00022D3D" w:rsidRPr="0008073A" w:rsidRDefault="00022D3D" w:rsidP="00022D3D">
      <w:pPr>
        <w:pStyle w:val="Heading3"/>
        <w:tabs>
          <w:tab w:val="left" w:pos="1170"/>
          <w:tab w:val="right" w:pos="8460"/>
          <w:tab w:val="right" w:pos="8910"/>
        </w:tabs>
        <w:spacing w:after="80"/>
        <w:ind w:left="1166" w:hanging="1166"/>
        <w:rPr>
          <w:b w:val="0"/>
          <w:sz w:val="20"/>
          <w:szCs w:val="20"/>
        </w:rPr>
      </w:pPr>
      <w:r>
        <w:rPr>
          <w:b w:val="0"/>
          <w:sz w:val="20"/>
          <w:szCs w:val="20"/>
        </w:rPr>
        <w:lastRenderedPageBreak/>
        <w:tab/>
        <w:t xml:space="preserve">60% and 50% </w:t>
      </w:r>
      <w:smartTag w:uri="urn:schemas-microsoft-com:office:smarttags" w:element="stockticker">
        <w:r>
          <w:rPr>
            <w:b w:val="0"/>
            <w:sz w:val="20"/>
            <w:szCs w:val="20"/>
          </w:rPr>
          <w:t>REL</w:t>
        </w:r>
      </w:smartTag>
      <w:r>
        <w:rPr>
          <w:b w:val="0"/>
          <w:sz w:val="20"/>
          <w:szCs w:val="20"/>
        </w:rPr>
        <w:t xml:space="preserve"> thresholds</w:t>
      </w:r>
      <w:r w:rsidRPr="0008073A">
        <w:rPr>
          <w:b w:val="0"/>
          <w:sz w:val="20"/>
          <w:szCs w:val="20"/>
        </w:rPr>
        <w:t xml:space="preserve">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5F7B78">
        <w:rPr>
          <w:b w:val="0"/>
          <w:sz w:val="20"/>
          <w:szCs w:val="20"/>
        </w:rPr>
        <w:t>1</w:t>
      </w:r>
      <w:r w:rsidR="005C2E10">
        <w:rPr>
          <w:b w:val="0"/>
          <w:sz w:val="20"/>
          <w:szCs w:val="20"/>
        </w:rPr>
        <w:t>1</w:t>
      </w:r>
      <w:r w:rsidR="00803779">
        <w:rPr>
          <w:b w:val="0"/>
          <w:sz w:val="20"/>
          <w:szCs w:val="20"/>
        </w:rPr>
        <w:t>7</w:t>
      </w:r>
    </w:p>
    <w:p w:rsidR="00EE090F" w:rsidRPr="0008073A" w:rsidRDefault="00EA62BA" w:rsidP="00EE090F">
      <w:pPr>
        <w:pStyle w:val="Heading3"/>
        <w:tabs>
          <w:tab w:val="left" w:pos="1170"/>
          <w:tab w:val="right" w:pos="8460"/>
          <w:tab w:val="right" w:pos="8910"/>
        </w:tabs>
        <w:spacing w:after="80"/>
        <w:ind w:left="1166" w:hanging="1166"/>
        <w:rPr>
          <w:b w:val="0"/>
          <w:sz w:val="20"/>
          <w:szCs w:val="20"/>
        </w:rPr>
      </w:pPr>
      <w:r>
        <w:rPr>
          <w:b w:val="0"/>
          <w:sz w:val="20"/>
          <w:szCs w:val="20"/>
        </w:rPr>
        <w:t>Table</w:t>
      </w:r>
      <w:r w:rsidR="00EE090F" w:rsidRPr="0008073A">
        <w:rPr>
          <w:b w:val="0"/>
          <w:sz w:val="20"/>
          <w:szCs w:val="20"/>
        </w:rPr>
        <w:t xml:space="preserve"> </w:t>
      </w:r>
      <w:r w:rsidR="00EE090F">
        <w:rPr>
          <w:b w:val="0"/>
          <w:sz w:val="20"/>
          <w:szCs w:val="20"/>
        </w:rPr>
        <w:t>G</w:t>
      </w:r>
      <w:r w:rsidR="00EE090F" w:rsidRPr="0008073A">
        <w:rPr>
          <w:b w:val="0"/>
          <w:sz w:val="20"/>
          <w:szCs w:val="20"/>
        </w:rPr>
        <w:t>.</w:t>
      </w:r>
      <w:r w:rsidR="00B72414">
        <w:rPr>
          <w:b w:val="0"/>
          <w:sz w:val="20"/>
          <w:szCs w:val="20"/>
        </w:rPr>
        <w:t>4</w:t>
      </w:r>
      <w:r w:rsidR="00EE090F">
        <w:rPr>
          <w:b w:val="0"/>
          <w:sz w:val="20"/>
          <w:szCs w:val="20"/>
        </w:rPr>
        <w:tab/>
      </w:r>
      <w:r w:rsidR="00EE090F" w:rsidRPr="0008073A">
        <w:rPr>
          <w:b w:val="0"/>
          <w:sz w:val="20"/>
          <w:szCs w:val="20"/>
        </w:rPr>
        <w:t xml:space="preserve">Proportion of all individuals </w:t>
      </w:r>
      <w:r w:rsidR="00787C18">
        <w:rPr>
          <w:b w:val="0"/>
          <w:sz w:val="20"/>
          <w:szCs w:val="20"/>
        </w:rPr>
        <w:t xml:space="preserve">aged 15+ </w:t>
      </w:r>
      <w:r w:rsidR="00EE090F" w:rsidRPr="0008073A">
        <w:rPr>
          <w:b w:val="0"/>
          <w:sz w:val="20"/>
          <w:szCs w:val="20"/>
        </w:rPr>
        <w:t xml:space="preserve">in low-income households by </w:t>
      </w:r>
      <w:r w:rsidR="00EE090F">
        <w:rPr>
          <w:b w:val="0"/>
          <w:sz w:val="20"/>
          <w:szCs w:val="20"/>
        </w:rPr>
        <w:t>sex</w:t>
      </w:r>
      <w:r w:rsidR="00EE090F">
        <w:rPr>
          <w:b w:val="0"/>
          <w:sz w:val="20"/>
          <w:szCs w:val="20"/>
        </w:rPr>
        <w:tab/>
        <w:t>..…………</w:t>
      </w:r>
      <w:r w:rsidR="00EE090F">
        <w:rPr>
          <w:b w:val="0"/>
          <w:sz w:val="20"/>
          <w:szCs w:val="20"/>
        </w:rPr>
        <w:tab/>
      </w:r>
      <w:r w:rsidR="005F7B78">
        <w:rPr>
          <w:b w:val="0"/>
          <w:sz w:val="20"/>
          <w:szCs w:val="20"/>
        </w:rPr>
        <w:t>1</w:t>
      </w:r>
      <w:r w:rsidR="005C2E10">
        <w:rPr>
          <w:b w:val="0"/>
          <w:sz w:val="20"/>
          <w:szCs w:val="20"/>
        </w:rPr>
        <w:t>1</w:t>
      </w:r>
      <w:r w:rsidR="00803779">
        <w:rPr>
          <w:b w:val="0"/>
          <w:sz w:val="20"/>
          <w:szCs w:val="20"/>
        </w:rPr>
        <w:t>8</w:t>
      </w:r>
    </w:p>
    <w:p w:rsidR="00700A2C" w:rsidRDefault="00700A2C" w:rsidP="00700A2C">
      <w:pPr>
        <w:tabs>
          <w:tab w:val="left" w:pos="1170"/>
          <w:tab w:val="right" w:pos="8460"/>
          <w:tab w:val="right" w:pos="8910"/>
        </w:tabs>
        <w:ind w:left="1166" w:hanging="1166"/>
        <w:rPr>
          <w:rFonts w:cs="Arial"/>
          <w:sz w:val="20"/>
        </w:rPr>
      </w:pPr>
      <w:r w:rsidRPr="0008073A">
        <w:rPr>
          <w:rFonts w:cs="Arial"/>
          <w:sz w:val="20"/>
        </w:rPr>
        <w:t xml:space="preserve">Table </w:t>
      </w:r>
      <w:r>
        <w:rPr>
          <w:rFonts w:cs="Arial"/>
          <w:sz w:val="20"/>
        </w:rPr>
        <w:t>G</w:t>
      </w:r>
      <w:r w:rsidRPr="0008073A">
        <w:rPr>
          <w:rFonts w:cs="Arial"/>
          <w:sz w:val="20"/>
        </w:rPr>
        <w:t>.</w:t>
      </w:r>
      <w:r w:rsidR="00B72414">
        <w:rPr>
          <w:rFonts w:cs="Arial"/>
          <w:sz w:val="20"/>
        </w:rPr>
        <w:t>5</w:t>
      </w:r>
      <w:r>
        <w:rPr>
          <w:rFonts w:cs="Arial"/>
          <w:sz w:val="20"/>
        </w:rPr>
        <w:tab/>
      </w:r>
      <w:r w:rsidRPr="0008073A">
        <w:rPr>
          <w:rFonts w:cs="Arial"/>
          <w:sz w:val="20"/>
        </w:rPr>
        <w:t xml:space="preserve">Proportion of all individuals in low-income households by </w:t>
      </w:r>
      <w:r>
        <w:rPr>
          <w:rFonts w:cs="Arial"/>
          <w:sz w:val="20"/>
        </w:rPr>
        <w:t>tenure</w:t>
      </w:r>
      <w:r>
        <w:rPr>
          <w:rFonts w:cs="Arial"/>
          <w:sz w:val="20"/>
        </w:rPr>
        <w:tab/>
      </w:r>
    </w:p>
    <w:p w:rsidR="00700A2C" w:rsidRPr="0008073A" w:rsidRDefault="00700A2C" w:rsidP="00700A2C">
      <w:pPr>
        <w:pStyle w:val="Heading3"/>
        <w:tabs>
          <w:tab w:val="left" w:pos="1170"/>
          <w:tab w:val="right" w:pos="8460"/>
          <w:tab w:val="right" w:pos="8910"/>
        </w:tabs>
        <w:spacing w:after="80"/>
        <w:ind w:left="1166" w:hanging="1166"/>
        <w:rPr>
          <w:b w:val="0"/>
          <w:sz w:val="20"/>
          <w:szCs w:val="20"/>
        </w:rPr>
      </w:pPr>
      <w:r>
        <w:rPr>
          <w:b w:val="0"/>
          <w:sz w:val="20"/>
          <w:szCs w:val="20"/>
        </w:rPr>
        <w:tab/>
        <w:t>60% and 50% CV thresholds</w:t>
      </w:r>
      <w:r w:rsidRPr="0008073A">
        <w:rPr>
          <w:b w:val="0"/>
          <w:sz w:val="20"/>
          <w:szCs w:val="20"/>
        </w:rPr>
        <w:t xml:space="preserve">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5F7B78">
        <w:rPr>
          <w:b w:val="0"/>
          <w:sz w:val="20"/>
          <w:szCs w:val="20"/>
        </w:rPr>
        <w:t>1</w:t>
      </w:r>
      <w:r w:rsidR="005C2E10">
        <w:rPr>
          <w:b w:val="0"/>
          <w:sz w:val="20"/>
          <w:szCs w:val="20"/>
        </w:rPr>
        <w:t>1</w:t>
      </w:r>
      <w:r w:rsidR="00803779">
        <w:rPr>
          <w:b w:val="0"/>
          <w:sz w:val="20"/>
          <w:szCs w:val="20"/>
        </w:rPr>
        <w:t>9</w:t>
      </w:r>
    </w:p>
    <w:p w:rsidR="00EF3364" w:rsidRDefault="00EF3364" w:rsidP="007329A6">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G</w:t>
      </w:r>
      <w:r w:rsidRPr="0008073A">
        <w:rPr>
          <w:rFonts w:cs="Arial"/>
          <w:sz w:val="20"/>
        </w:rPr>
        <w:t>.</w:t>
      </w:r>
      <w:r w:rsidR="00B72414">
        <w:rPr>
          <w:rFonts w:cs="Arial"/>
          <w:sz w:val="20"/>
        </w:rPr>
        <w:t>6</w:t>
      </w:r>
      <w:r>
        <w:rPr>
          <w:rFonts w:cs="Arial"/>
          <w:sz w:val="20"/>
        </w:rPr>
        <w:tab/>
      </w:r>
      <w:r w:rsidRPr="0008073A">
        <w:rPr>
          <w:rFonts w:cs="Arial"/>
          <w:sz w:val="20"/>
        </w:rPr>
        <w:t xml:space="preserve">Individuals in low-income households by household and family type  60% </w:t>
      </w:r>
      <w:smartTag w:uri="urn:schemas-microsoft-com:office:smarttags" w:element="stockticker">
        <w:r w:rsidRPr="0008073A">
          <w:rPr>
            <w:rFonts w:cs="Arial"/>
            <w:sz w:val="20"/>
          </w:rPr>
          <w:t>AHC</w:t>
        </w:r>
      </w:smartTag>
      <w:r w:rsidRPr="0008073A">
        <w:rPr>
          <w:rFonts w:cs="Arial"/>
          <w:sz w:val="20"/>
        </w:rPr>
        <w:t xml:space="preserve"> CV</w:t>
      </w:r>
    </w:p>
    <w:p w:rsidR="00EF3364" w:rsidRPr="0008073A" w:rsidRDefault="00EF3364" w:rsidP="00787C18">
      <w:pPr>
        <w:tabs>
          <w:tab w:val="left" w:pos="1170"/>
          <w:tab w:val="right" w:pos="8460"/>
          <w:tab w:val="right" w:pos="8910"/>
        </w:tabs>
        <w:spacing w:after="80"/>
        <w:ind w:left="1166" w:hanging="1166"/>
        <w:rPr>
          <w:rFonts w:cs="Arial"/>
          <w:sz w:val="20"/>
        </w:rPr>
      </w:pPr>
      <w:r>
        <w:rPr>
          <w:rFonts w:cs="Arial"/>
          <w:sz w:val="20"/>
        </w:rPr>
        <w:tab/>
        <w:t>proportions below the threshold</w:t>
      </w:r>
      <w:r>
        <w:rPr>
          <w:rFonts w:cs="Arial"/>
          <w:sz w:val="20"/>
        </w:rPr>
        <w:tab/>
        <w:t>……………………………………………………….</w:t>
      </w:r>
      <w:r>
        <w:rPr>
          <w:rFonts w:cs="Arial"/>
          <w:sz w:val="20"/>
        </w:rPr>
        <w:tab/>
      </w:r>
      <w:r w:rsidR="005F7B78">
        <w:rPr>
          <w:rFonts w:cs="Arial"/>
          <w:sz w:val="20"/>
        </w:rPr>
        <w:t>1</w:t>
      </w:r>
      <w:r w:rsidR="00803779">
        <w:rPr>
          <w:rFonts w:cs="Arial"/>
          <w:sz w:val="20"/>
        </w:rPr>
        <w:t>21</w:t>
      </w:r>
    </w:p>
    <w:p w:rsidR="00EF3364" w:rsidRDefault="00EF3364" w:rsidP="007329A6">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G</w:t>
      </w:r>
      <w:r w:rsidRPr="0008073A">
        <w:rPr>
          <w:rFonts w:cs="Arial"/>
          <w:sz w:val="20"/>
        </w:rPr>
        <w:t>.</w:t>
      </w:r>
      <w:r w:rsidR="00B72414">
        <w:rPr>
          <w:rFonts w:cs="Arial"/>
          <w:sz w:val="20"/>
        </w:rPr>
        <w:t>7</w:t>
      </w:r>
      <w:r>
        <w:rPr>
          <w:rFonts w:cs="Arial"/>
          <w:sz w:val="20"/>
        </w:rPr>
        <w:tab/>
      </w:r>
      <w:r w:rsidRPr="0008073A">
        <w:rPr>
          <w:rFonts w:cs="Arial"/>
          <w:sz w:val="20"/>
        </w:rPr>
        <w:t xml:space="preserve">Individuals in low-income households by household and family type 60% </w:t>
      </w:r>
      <w:smartTag w:uri="urn:schemas-microsoft-com:office:smarttags" w:element="stockticker">
        <w:r w:rsidRPr="0008073A">
          <w:rPr>
            <w:rFonts w:cs="Arial"/>
            <w:sz w:val="20"/>
          </w:rPr>
          <w:t>AHC</w:t>
        </w:r>
      </w:smartTag>
      <w:r w:rsidRPr="0008073A">
        <w:rPr>
          <w:rFonts w:cs="Arial"/>
          <w:sz w:val="20"/>
        </w:rPr>
        <w:t xml:space="preserve"> CV</w:t>
      </w:r>
    </w:p>
    <w:p w:rsidR="00EF3364" w:rsidRPr="0008073A" w:rsidRDefault="00EF3364" w:rsidP="007329A6">
      <w:pPr>
        <w:tabs>
          <w:tab w:val="left" w:pos="1170"/>
          <w:tab w:val="right" w:pos="8460"/>
          <w:tab w:val="right" w:pos="8910"/>
        </w:tabs>
        <w:spacing w:after="80"/>
        <w:ind w:left="1166" w:hanging="1166"/>
        <w:rPr>
          <w:rFonts w:cs="Arial"/>
          <w:sz w:val="20"/>
        </w:rPr>
      </w:pPr>
      <w:r>
        <w:rPr>
          <w:rFonts w:cs="Arial"/>
          <w:sz w:val="20"/>
        </w:rPr>
        <w:tab/>
        <w:t>composition of those below the threshold</w:t>
      </w:r>
      <w:r>
        <w:rPr>
          <w:rFonts w:cs="Arial"/>
          <w:sz w:val="20"/>
        </w:rPr>
        <w:tab/>
        <w:t>…………………………………………….</w:t>
      </w:r>
      <w:r>
        <w:rPr>
          <w:rFonts w:cs="Arial"/>
          <w:sz w:val="20"/>
        </w:rPr>
        <w:tab/>
      </w:r>
      <w:r w:rsidR="00700A2C">
        <w:rPr>
          <w:rFonts w:cs="Arial"/>
          <w:sz w:val="20"/>
        </w:rPr>
        <w:t>1</w:t>
      </w:r>
      <w:r w:rsidR="00803779">
        <w:rPr>
          <w:rFonts w:cs="Arial"/>
          <w:sz w:val="20"/>
        </w:rPr>
        <w:t>22</w:t>
      </w:r>
    </w:p>
    <w:p w:rsidR="00EF3364" w:rsidRPr="0008073A" w:rsidRDefault="00EF3364" w:rsidP="00787C18">
      <w:pPr>
        <w:tabs>
          <w:tab w:val="left" w:pos="1170"/>
          <w:tab w:val="right" w:pos="8460"/>
          <w:tab w:val="right" w:pos="8910"/>
        </w:tabs>
        <w:spacing w:after="80"/>
        <w:ind w:left="1166" w:hanging="1166"/>
        <w:rPr>
          <w:rFonts w:cs="Arial"/>
          <w:sz w:val="20"/>
        </w:rPr>
      </w:pPr>
      <w:r w:rsidRPr="0008073A">
        <w:rPr>
          <w:rFonts w:cs="Arial"/>
          <w:sz w:val="20"/>
        </w:rPr>
        <w:t xml:space="preserve">Figure </w:t>
      </w:r>
      <w:r w:rsidR="00262845">
        <w:rPr>
          <w:rFonts w:cs="Arial"/>
          <w:sz w:val="20"/>
        </w:rPr>
        <w:t>G</w:t>
      </w:r>
      <w:r w:rsidRPr="0008073A">
        <w:rPr>
          <w:rFonts w:cs="Arial"/>
          <w:sz w:val="20"/>
        </w:rPr>
        <w:t>.</w:t>
      </w:r>
      <w:r w:rsidR="000116CA">
        <w:rPr>
          <w:rFonts w:cs="Arial"/>
          <w:sz w:val="20"/>
        </w:rPr>
        <w:t>4</w:t>
      </w:r>
      <w:r>
        <w:rPr>
          <w:rFonts w:cs="Arial"/>
          <w:sz w:val="20"/>
        </w:rPr>
        <w:tab/>
      </w:r>
      <w:r w:rsidR="00787C18">
        <w:rPr>
          <w:rFonts w:cs="Arial"/>
          <w:sz w:val="20"/>
        </w:rPr>
        <w:t>Poverty risk ratio</w:t>
      </w:r>
      <w:r w:rsidRPr="0008073A">
        <w:rPr>
          <w:rFonts w:cs="Arial"/>
          <w:sz w:val="20"/>
        </w:rPr>
        <w:t xml:space="preserve"> by household type,</w:t>
      </w:r>
      <w:r>
        <w:rPr>
          <w:rFonts w:cs="Arial"/>
          <w:sz w:val="20"/>
        </w:rPr>
        <w:t xml:space="preserve"> </w:t>
      </w:r>
      <w:smartTag w:uri="urn:schemas-microsoft-com:office:smarttags" w:element="stockticker">
        <w:r w:rsidRPr="0008073A">
          <w:rPr>
            <w:rFonts w:cs="Arial"/>
            <w:sz w:val="20"/>
          </w:rPr>
          <w:t>AHC</w:t>
        </w:r>
      </w:smartTag>
      <w:r w:rsidRPr="0008073A">
        <w:rPr>
          <w:rFonts w:cs="Arial"/>
          <w:sz w:val="20"/>
        </w:rPr>
        <w:t xml:space="preserve"> CV 60% threshold, 1984-200</w:t>
      </w:r>
      <w:r w:rsidR="00787C18">
        <w:rPr>
          <w:rFonts w:cs="Arial"/>
          <w:sz w:val="20"/>
        </w:rPr>
        <w:t>8</w:t>
      </w:r>
      <w:r w:rsidR="00787C18">
        <w:rPr>
          <w:rFonts w:cs="Arial"/>
          <w:sz w:val="20"/>
        </w:rPr>
        <w:tab/>
      </w:r>
      <w:r>
        <w:rPr>
          <w:rFonts w:cs="Arial"/>
          <w:sz w:val="20"/>
        </w:rPr>
        <w:t>…………</w:t>
      </w:r>
      <w:r>
        <w:rPr>
          <w:rFonts w:cs="Arial"/>
          <w:sz w:val="20"/>
        </w:rPr>
        <w:tab/>
      </w:r>
      <w:r w:rsidR="00700A2C">
        <w:rPr>
          <w:rFonts w:cs="Arial"/>
          <w:sz w:val="20"/>
        </w:rPr>
        <w:t>1</w:t>
      </w:r>
      <w:r w:rsidR="00803779">
        <w:rPr>
          <w:rFonts w:cs="Arial"/>
          <w:sz w:val="20"/>
        </w:rPr>
        <w:t>22</w:t>
      </w:r>
    </w:p>
    <w:p w:rsidR="00EF3364" w:rsidRPr="0008073A" w:rsidRDefault="00EF3364" w:rsidP="008624B7">
      <w:pPr>
        <w:tabs>
          <w:tab w:val="left" w:pos="1170"/>
          <w:tab w:val="right" w:pos="8460"/>
          <w:tab w:val="right" w:pos="8910"/>
        </w:tabs>
        <w:ind w:left="1170" w:hanging="1170"/>
        <w:rPr>
          <w:rFonts w:cs="Arial"/>
          <w:sz w:val="20"/>
        </w:rPr>
      </w:pPr>
    </w:p>
    <w:p w:rsidR="00DA6189" w:rsidRPr="0097726E" w:rsidRDefault="00DA6189" w:rsidP="007329A6">
      <w:pPr>
        <w:tabs>
          <w:tab w:val="left" w:pos="1170"/>
          <w:tab w:val="left" w:pos="1440"/>
          <w:tab w:val="right" w:pos="9000"/>
        </w:tabs>
        <w:ind w:left="1440" w:hanging="1440"/>
        <w:rPr>
          <w:b/>
          <w:szCs w:val="22"/>
        </w:rPr>
      </w:pPr>
      <w:r w:rsidRPr="0097726E">
        <w:rPr>
          <w:b/>
          <w:szCs w:val="22"/>
        </w:rPr>
        <w:t xml:space="preserve">Section </w:t>
      </w:r>
      <w:r w:rsidR="008902F4">
        <w:rPr>
          <w:b/>
          <w:szCs w:val="22"/>
        </w:rPr>
        <w:t>H</w:t>
      </w:r>
      <w:r w:rsidRPr="0097726E">
        <w:rPr>
          <w:b/>
          <w:szCs w:val="22"/>
        </w:rPr>
        <w:tab/>
        <w:t>Trends for dependent children, 1982</w:t>
      </w:r>
      <w:r w:rsidR="006821E9">
        <w:rPr>
          <w:b/>
          <w:szCs w:val="22"/>
        </w:rPr>
        <w:t xml:space="preserve"> </w:t>
      </w:r>
      <w:r w:rsidR="005C2E10">
        <w:rPr>
          <w:b/>
          <w:szCs w:val="22"/>
        </w:rPr>
        <w:t>to</w:t>
      </w:r>
      <w:r w:rsidR="006821E9">
        <w:rPr>
          <w:b/>
          <w:szCs w:val="22"/>
        </w:rPr>
        <w:t xml:space="preserve"> </w:t>
      </w:r>
      <w:r w:rsidRPr="0097726E">
        <w:rPr>
          <w:b/>
          <w:szCs w:val="22"/>
        </w:rPr>
        <w:t>20</w:t>
      </w:r>
      <w:r w:rsidR="00C036A3">
        <w:rPr>
          <w:b/>
          <w:szCs w:val="22"/>
        </w:rPr>
        <w:t>1</w:t>
      </w:r>
      <w:r w:rsidR="005C2E10">
        <w:rPr>
          <w:b/>
          <w:szCs w:val="22"/>
        </w:rPr>
        <w:t>1</w:t>
      </w:r>
      <w:r w:rsidRPr="0097726E">
        <w:rPr>
          <w:b/>
          <w:szCs w:val="22"/>
        </w:rPr>
        <w:t xml:space="preserve">, by various individual and </w:t>
      </w:r>
    </w:p>
    <w:p w:rsidR="00EF3364" w:rsidRPr="0097726E" w:rsidRDefault="00DA6189" w:rsidP="007329A6">
      <w:pPr>
        <w:tabs>
          <w:tab w:val="left" w:pos="1170"/>
          <w:tab w:val="right" w:pos="8460"/>
          <w:tab w:val="right" w:pos="8910"/>
        </w:tabs>
        <w:spacing w:after="80"/>
        <w:ind w:left="1166" w:hanging="1166"/>
        <w:rPr>
          <w:rFonts w:cs="Arial"/>
          <w:szCs w:val="22"/>
        </w:rPr>
      </w:pPr>
      <w:r w:rsidRPr="0097726E">
        <w:rPr>
          <w:b/>
          <w:szCs w:val="22"/>
        </w:rPr>
        <w:tab/>
        <w:t>household characteristics</w:t>
      </w:r>
    </w:p>
    <w:p w:rsidR="006821E9" w:rsidRDefault="00EF3364" w:rsidP="006821E9">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H</w:t>
      </w:r>
      <w:r w:rsidRPr="0008073A">
        <w:rPr>
          <w:rFonts w:cs="Arial"/>
          <w:sz w:val="20"/>
        </w:rPr>
        <w:t>.1</w:t>
      </w:r>
      <w:r>
        <w:rPr>
          <w:rFonts w:cs="Arial"/>
          <w:sz w:val="20"/>
        </w:rPr>
        <w:tab/>
      </w:r>
      <w:r w:rsidRPr="0008073A">
        <w:rPr>
          <w:rFonts w:cs="Arial"/>
          <w:sz w:val="20"/>
        </w:rPr>
        <w:t xml:space="preserve">Poverty measures reported on in Section </w:t>
      </w:r>
      <w:r w:rsidR="00C74DEE">
        <w:rPr>
          <w:rFonts w:cs="Arial"/>
          <w:sz w:val="20"/>
        </w:rPr>
        <w:t>H</w:t>
      </w:r>
      <w:r w:rsidRPr="0008073A">
        <w:rPr>
          <w:rFonts w:cs="Arial"/>
          <w:sz w:val="20"/>
        </w:rPr>
        <w:t xml:space="preserve"> for </w:t>
      </w:r>
      <w:r w:rsidR="00C42A24">
        <w:rPr>
          <w:rFonts w:cs="Arial"/>
          <w:sz w:val="20"/>
        </w:rPr>
        <w:t>subgroup</w:t>
      </w:r>
      <w:r w:rsidRPr="0008073A">
        <w:rPr>
          <w:rFonts w:cs="Arial"/>
          <w:sz w:val="20"/>
        </w:rPr>
        <w:t xml:space="preserve">s of </w:t>
      </w:r>
    </w:p>
    <w:p w:rsidR="00EF3364" w:rsidRPr="0008073A" w:rsidRDefault="006821E9" w:rsidP="007329A6">
      <w:pPr>
        <w:tabs>
          <w:tab w:val="left" w:pos="1170"/>
          <w:tab w:val="right" w:pos="8460"/>
          <w:tab w:val="right" w:pos="8910"/>
        </w:tabs>
        <w:spacing w:after="80"/>
        <w:ind w:left="1166" w:hanging="1166"/>
        <w:rPr>
          <w:rFonts w:cs="Arial"/>
          <w:sz w:val="20"/>
        </w:rPr>
      </w:pPr>
      <w:r>
        <w:rPr>
          <w:rFonts w:cs="Arial"/>
          <w:sz w:val="20"/>
        </w:rPr>
        <w:tab/>
      </w:r>
      <w:r w:rsidR="00EF3364" w:rsidRPr="0008073A">
        <w:rPr>
          <w:rFonts w:cs="Arial"/>
          <w:sz w:val="20"/>
        </w:rPr>
        <w:t>dependent children</w:t>
      </w:r>
      <w:r>
        <w:rPr>
          <w:rFonts w:cs="Arial"/>
          <w:sz w:val="20"/>
        </w:rPr>
        <w:tab/>
        <w:t>…………………………………………………………………….</w:t>
      </w:r>
      <w:r w:rsidR="00EF3364">
        <w:rPr>
          <w:rFonts w:cs="Arial"/>
          <w:sz w:val="20"/>
        </w:rPr>
        <w:tab/>
      </w:r>
      <w:r w:rsidR="007D3D95">
        <w:rPr>
          <w:rFonts w:cs="Arial"/>
          <w:sz w:val="20"/>
        </w:rPr>
        <w:t>1</w:t>
      </w:r>
      <w:r w:rsidR="00803779">
        <w:rPr>
          <w:rFonts w:cs="Arial"/>
          <w:sz w:val="20"/>
        </w:rPr>
        <w:t>23</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sidRPr="0008073A">
        <w:rPr>
          <w:b w:val="0"/>
          <w:sz w:val="20"/>
          <w:szCs w:val="20"/>
        </w:rPr>
        <w:t xml:space="preserve">Figure </w:t>
      </w:r>
      <w:r w:rsidR="00262845">
        <w:rPr>
          <w:b w:val="0"/>
          <w:sz w:val="20"/>
          <w:szCs w:val="20"/>
        </w:rPr>
        <w:t>H</w:t>
      </w:r>
      <w:r w:rsidRPr="0008073A">
        <w:rPr>
          <w:b w:val="0"/>
          <w:sz w:val="20"/>
          <w:szCs w:val="20"/>
        </w:rPr>
        <w:t>.1</w:t>
      </w:r>
      <w:r>
        <w:rPr>
          <w:b w:val="0"/>
          <w:sz w:val="20"/>
          <w:szCs w:val="20"/>
        </w:rPr>
        <w:tab/>
      </w:r>
      <w:r w:rsidRPr="0008073A">
        <w:rPr>
          <w:b w:val="0"/>
          <w:sz w:val="20"/>
          <w:szCs w:val="20"/>
        </w:rPr>
        <w:t>Proportion of children in low-income households by age (</w:t>
      </w:r>
      <w:smartTag w:uri="urn:schemas-microsoft-com:office:smarttags" w:element="stockticker">
        <w:r w:rsidRPr="0008073A">
          <w:rPr>
            <w:b w:val="0"/>
            <w:sz w:val="20"/>
            <w:szCs w:val="20"/>
          </w:rPr>
          <w:t>AHC</w:t>
        </w:r>
      </w:smartTag>
      <w:r w:rsidRPr="0008073A">
        <w:rPr>
          <w:b w:val="0"/>
          <w:sz w:val="20"/>
          <w:szCs w:val="20"/>
        </w:rPr>
        <w:t>)</w:t>
      </w:r>
      <w:r>
        <w:rPr>
          <w:b w:val="0"/>
          <w:sz w:val="20"/>
          <w:szCs w:val="20"/>
        </w:rPr>
        <w:tab/>
        <w:t>…………………….</w:t>
      </w:r>
      <w:r>
        <w:rPr>
          <w:b w:val="0"/>
          <w:sz w:val="20"/>
          <w:szCs w:val="20"/>
        </w:rPr>
        <w:tab/>
      </w:r>
      <w:r w:rsidR="007D3D95">
        <w:rPr>
          <w:b w:val="0"/>
          <w:sz w:val="20"/>
          <w:szCs w:val="20"/>
        </w:rPr>
        <w:t>1</w:t>
      </w:r>
      <w:r w:rsidR="00803779">
        <w:rPr>
          <w:b w:val="0"/>
          <w:sz w:val="20"/>
          <w:szCs w:val="20"/>
        </w:rPr>
        <w:t>23</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262845">
        <w:rPr>
          <w:rFonts w:cs="Arial"/>
          <w:sz w:val="20"/>
        </w:rPr>
        <w:t>H</w:t>
      </w:r>
      <w:r w:rsidRPr="0008073A">
        <w:rPr>
          <w:rFonts w:cs="Arial"/>
          <w:sz w:val="20"/>
        </w:rPr>
        <w:t>.2</w:t>
      </w:r>
      <w:r>
        <w:rPr>
          <w:rFonts w:cs="Arial"/>
          <w:sz w:val="20"/>
        </w:rPr>
        <w:tab/>
      </w:r>
      <w:r w:rsidRPr="0008073A">
        <w:rPr>
          <w:rFonts w:cs="Arial"/>
          <w:sz w:val="20"/>
        </w:rPr>
        <w:t>Proportion of children in low-income households by age</w:t>
      </w:r>
      <w:r>
        <w:rPr>
          <w:rFonts w:cs="Arial"/>
          <w:sz w:val="20"/>
        </w:rPr>
        <w:tab/>
        <w:t>……………………………</w:t>
      </w:r>
      <w:r>
        <w:rPr>
          <w:rFonts w:cs="Arial"/>
          <w:sz w:val="20"/>
        </w:rPr>
        <w:tab/>
      </w:r>
      <w:r w:rsidR="007D3D95">
        <w:rPr>
          <w:rFonts w:cs="Arial"/>
          <w:sz w:val="20"/>
        </w:rPr>
        <w:t>1</w:t>
      </w:r>
      <w:r w:rsidR="00803779">
        <w:rPr>
          <w:rFonts w:cs="Arial"/>
          <w:sz w:val="20"/>
        </w:rPr>
        <w:t>23</w:t>
      </w:r>
    </w:p>
    <w:p w:rsidR="00EF3364" w:rsidRDefault="00EF3364" w:rsidP="007329A6">
      <w:pPr>
        <w:pStyle w:val="Heading3"/>
        <w:keepNext w:val="0"/>
        <w:tabs>
          <w:tab w:val="left" w:pos="1170"/>
          <w:tab w:val="right" w:pos="8460"/>
          <w:tab w:val="right" w:pos="8910"/>
        </w:tabs>
        <w:ind w:left="1166" w:hanging="1166"/>
        <w:rPr>
          <w:b w:val="0"/>
          <w:sz w:val="20"/>
          <w:szCs w:val="20"/>
        </w:rPr>
      </w:pPr>
      <w:r w:rsidRPr="0008073A">
        <w:rPr>
          <w:b w:val="0"/>
          <w:sz w:val="20"/>
          <w:szCs w:val="20"/>
        </w:rPr>
        <w:t xml:space="preserve">Table </w:t>
      </w:r>
      <w:r w:rsidR="00262845">
        <w:rPr>
          <w:b w:val="0"/>
          <w:sz w:val="20"/>
          <w:szCs w:val="20"/>
        </w:rPr>
        <w:t>H</w:t>
      </w:r>
      <w:r w:rsidRPr="0008073A">
        <w:rPr>
          <w:b w:val="0"/>
          <w:sz w:val="20"/>
          <w:szCs w:val="20"/>
        </w:rPr>
        <w:t>.</w:t>
      </w:r>
      <w:r w:rsidR="00C74DEE">
        <w:rPr>
          <w:b w:val="0"/>
          <w:sz w:val="20"/>
          <w:szCs w:val="20"/>
        </w:rPr>
        <w:t>3</w:t>
      </w:r>
      <w:r>
        <w:rPr>
          <w:b w:val="0"/>
          <w:sz w:val="20"/>
          <w:szCs w:val="20"/>
        </w:rPr>
        <w:t>A</w:t>
      </w:r>
      <w:r>
        <w:rPr>
          <w:b w:val="0"/>
          <w:sz w:val="20"/>
          <w:szCs w:val="20"/>
        </w:rPr>
        <w:tab/>
      </w:r>
      <w:r w:rsidRPr="0008073A">
        <w:rPr>
          <w:b w:val="0"/>
          <w:sz w:val="20"/>
          <w:szCs w:val="20"/>
        </w:rPr>
        <w:t xml:space="preserve">Children in low-income households by household and family type: 60% </w:t>
      </w:r>
      <w:smartTag w:uri="urn:schemas-microsoft-com:office:smarttags" w:element="stockticker">
        <w:r w:rsidRPr="0008073A">
          <w:rPr>
            <w:b w:val="0"/>
            <w:sz w:val="20"/>
            <w:szCs w:val="20"/>
          </w:rPr>
          <w:t>AHC</w:t>
        </w:r>
      </w:smartTag>
      <w:r w:rsidRPr="0008073A">
        <w:rPr>
          <w:b w:val="0"/>
          <w:sz w:val="20"/>
          <w:szCs w:val="20"/>
        </w:rPr>
        <w:t xml:space="preserve"> CV</w:t>
      </w:r>
    </w:p>
    <w:p w:rsidR="00EF3364" w:rsidRDefault="00EF3364" w:rsidP="007329A6">
      <w:pPr>
        <w:pStyle w:val="Heading3"/>
        <w:tabs>
          <w:tab w:val="left" w:pos="1170"/>
          <w:tab w:val="right" w:pos="8460"/>
          <w:tab w:val="right" w:pos="8910"/>
        </w:tabs>
        <w:spacing w:after="80"/>
        <w:ind w:left="1166" w:hanging="1166"/>
        <w:rPr>
          <w:b w:val="0"/>
          <w:sz w:val="20"/>
          <w:szCs w:val="20"/>
        </w:rPr>
      </w:pPr>
      <w:r>
        <w:rPr>
          <w:b w:val="0"/>
          <w:sz w:val="20"/>
          <w:szCs w:val="20"/>
        </w:rPr>
        <w:tab/>
        <w:t>proportions below the threshold</w:t>
      </w:r>
      <w:r>
        <w:rPr>
          <w:b w:val="0"/>
          <w:sz w:val="20"/>
          <w:szCs w:val="20"/>
        </w:rPr>
        <w:tab/>
        <w:t>…………………………………………………….…</w:t>
      </w:r>
      <w:r>
        <w:rPr>
          <w:b w:val="0"/>
          <w:sz w:val="20"/>
          <w:szCs w:val="20"/>
        </w:rPr>
        <w:tab/>
      </w:r>
      <w:r w:rsidR="00297E1D">
        <w:rPr>
          <w:b w:val="0"/>
          <w:sz w:val="20"/>
          <w:szCs w:val="20"/>
        </w:rPr>
        <w:t>1</w:t>
      </w:r>
      <w:r w:rsidR="005C2E10">
        <w:rPr>
          <w:b w:val="0"/>
          <w:sz w:val="20"/>
          <w:szCs w:val="20"/>
        </w:rPr>
        <w:t>2</w:t>
      </w:r>
      <w:r w:rsidR="00803779">
        <w:rPr>
          <w:b w:val="0"/>
          <w:sz w:val="20"/>
          <w:szCs w:val="20"/>
        </w:rPr>
        <w:t>7</w:t>
      </w:r>
    </w:p>
    <w:p w:rsidR="00EF3364" w:rsidRDefault="00EF3364" w:rsidP="007329A6">
      <w:pPr>
        <w:pStyle w:val="Heading3"/>
        <w:keepNext w:val="0"/>
        <w:tabs>
          <w:tab w:val="left" w:pos="1170"/>
          <w:tab w:val="right" w:pos="8460"/>
          <w:tab w:val="right" w:pos="8910"/>
        </w:tabs>
        <w:ind w:left="1166" w:hanging="1166"/>
        <w:rPr>
          <w:b w:val="0"/>
          <w:sz w:val="20"/>
          <w:szCs w:val="20"/>
        </w:rPr>
      </w:pPr>
      <w:r w:rsidRPr="0008073A">
        <w:rPr>
          <w:b w:val="0"/>
          <w:sz w:val="20"/>
          <w:szCs w:val="20"/>
        </w:rPr>
        <w:t xml:space="preserve">Table </w:t>
      </w:r>
      <w:r w:rsidR="00262845">
        <w:rPr>
          <w:b w:val="0"/>
          <w:sz w:val="20"/>
          <w:szCs w:val="20"/>
        </w:rPr>
        <w:t>H</w:t>
      </w:r>
      <w:r w:rsidRPr="0008073A">
        <w:rPr>
          <w:b w:val="0"/>
          <w:sz w:val="20"/>
          <w:szCs w:val="20"/>
        </w:rPr>
        <w:t>.</w:t>
      </w:r>
      <w:r w:rsidR="00C74DEE">
        <w:rPr>
          <w:b w:val="0"/>
          <w:sz w:val="20"/>
          <w:szCs w:val="20"/>
        </w:rPr>
        <w:t>3</w:t>
      </w:r>
      <w:r>
        <w:rPr>
          <w:b w:val="0"/>
          <w:sz w:val="20"/>
          <w:szCs w:val="20"/>
        </w:rPr>
        <w:t>B</w:t>
      </w:r>
      <w:r>
        <w:rPr>
          <w:b w:val="0"/>
          <w:sz w:val="20"/>
          <w:szCs w:val="20"/>
        </w:rPr>
        <w:tab/>
      </w:r>
      <w:r w:rsidRPr="0008073A">
        <w:rPr>
          <w:b w:val="0"/>
          <w:sz w:val="20"/>
          <w:szCs w:val="20"/>
        </w:rPr>
        <w:t xml:space="preserve">Children in low-income households by household and family type: 60% </w:t>
      </w:r>
      <w:smartTag w:uri="urn:schemas-microsoft-com:office:smarttags" w:element="stockticker">
        <w:r w:rsidRPr="0008073A">
          <w:rPr>
            <w:b w:val="0"/>
            <w:sz w:val="20"/>
            <w:szCs w:val="20"/>
          </w:rPr>
          <w:t>AHC</w:t>
        </w:r>
      </w:smartTag>
      <w:r w:rsidRPr="0008073A">
        <w:rPr>
          <w:b w:val="0"/>
          <w:sz w:val="20"/>
          <w:szCs w:val="20"/>
        </w:rPr>
        <w:t xml:space="preserve"> CV</w:t>
      </w:r>
    </w:p>
    <w:p w:rsidR="00EF3364" w:rsidRPr="0008073A" w:rsidRDefault="00EF3364" w:rsidP="007329A6">
      <w:pPr>
        <w:pStyle w:val="Heading3"/>
        <w:tabs>
          <w:tab w:val="left" w:pos="1170"/>
          <w:tab w:val="right" w:pos="8460"/>
          <w:tab w:val="right" w:pos="8910"/>
        </w:tabs>
        <w:spacing w:after="80"/>
        <w:ind w:left="1166" w:hanging="1166"/>
        <w:rPr>
          <w:b w:val="0"/>
          <w:sz w:val="20"/>
          <w:szCs w:val="20"/>
        </w:rPr>
      </w:pPr>
      <w:r>
        <w:rPr>
          <w:b w:val="0"/>
          <w:sz w:val="20"/>
          <w:szCs w:val="20"/>
        </w:rPr>
        <w:tab/>
        <w:t>composition of children below the threshold, by household and family type</w:t>
      </w:r>
      <w:r>
        <w:rPr>
          <w:b w:val="0"/>
          <w:sz w:val="20"/>
          <w:szCs w:val="20"/>
        </w:rPr>
        <w:tab/>
        <w:t>….…</w:t>
      </w:r>
      <w:r>
        <w:rPr>
          <w:b w:val="0"/>
          <w:sz w:val="20"/>
          <w:szCs w:val="20"/>
        </w:rPr>
        <w:tab/>
      </w:r>
      <w:r w:rsidR="00297E1D">
        <w:rPr>
          <w:b w:val="0"/>
          <w:sz w:val="20"/>
          <w:szCs w:val="20"/>
        </w:rPr>
        <w:t>1</w:t>
      </w:r>
      <w:r w:rsidR="005C2E10">
        <w:rPr>
          <w:b w:val="0"/>
          <w:sz w:val="20"/>
          <w:szCs w:val="20"/>
        </w:rPr>
        <w:t>2</w:t>
      </w:r>
      <w:r w:rsidR="00803779">
        <w:rPr>
          <w:b w:val="0"/>
          <w:sz w:val="20"/>
          <w:szCs w:val="20"/>
        </w:rPr>
        <w:t>7</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262845">
        <w:rPr>
          <w:rFonts w:cs="Arial"/>
          <w:sz w:val="20"/>
        </w:rPr>
        <w:t>H</w:t>
      </w:r>
      <w:r w:rsidRPr="0008073A">
        <w:rPr>
          <w:rFonts w:cs="Arial"/>
          <w:sz w:val="20"/>
        </w:rPr>
        <w:t>.</w:t>
      </w:r>
      <w:r w:rsidR="00AC238D">
        <w:rPr>
          <w:rFonts w:cs="Arial"/>
          <w:sz w:val="20"/>
        </w:rPr>
        <w:t>4</w:t>
      </w:r>
      <w:r>
        <w:rPr>
          <w:rFonts w:cs="Arial"/>
          <w:sz w:val="20"/>
        </w:rPr>
        <w:tab/>
      </w:r>
      <w:r w:rsidRPr="0008073A">
        <w:rPr>
          <w:rFonts w:cs="Arial"/>
          <w:sz w:val="20"/>
        </w:rPr>
        <w:t>Proportion of children in ‘workless’ households (% of all children</w:t>
      </w:r>
      <w:r>
        <w:rPr>
          <w:rFonts w:cs="Arial"/>
          <w:sz w:val="20"/>
        </w:rPr>
        <w:t>)</w:t>
      </w:r>
      <w:r>
        <w:rPr>
          <w:rFonts w:cs="Arial"/>
          <w:sz w:val="20"/>
        </w:rPr>
        <w:tab/>
        <w:t>………………..</w:t>
      </w:r>
      <w:r>
        <w:rPr>
          <w:rFonts w:cs="Arial"/>
          <w:sz w:val="20"/>
        </w:rPr>
        <w:tab/>
      </w:r>
      <w:r w:rsidR="00C34042">
        <w:rPr>
          <w:rFonts w:cs="Arial"/>
          <w:sz w:val="20"/>
        </w:rPr>
        <w:t>1</w:t>
      </w:r>
      <w:r w:rsidR="005C2E10">
        <w:rPr>
          <w:rFonts w:cs="Arial"/>
          <w:sz w:val="20"/>
        </w:rPr>
        <w:t>2</w:t>
      </w:r>
      <w:r w:rsidR="00803779">
        <w:rPr>
          <w:rFonts w:cs="Arial"/>
          <w:sz w:val="20"/>
        </w:rPr>
        <w:t>8</w:t>
      </w:r>
    </w:p>
    <w:p w:rsidR="00A83CB3" w:rsidRPr="0008073A" w:rsidRDefault="00A83CB3" w:rsidP="00A83CB3">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H</w:t>
      </w:r>
      <w:r w:rsidRPr="0008073A">
        <w:rPr>
          <w:rFonts w:cs="Arial"/>
          <w:sz w:val="20"/>
        </w:rPr>
        <w:t>.</w:t>
      </w:r>
      <w:r>
        <w:rPr>
          <w:rFonts w:cs="Arial"/>
          <w:sz w:val="20"/>
        </w:rPr>
        <w:t>2</w:t>
      </w:r>
      <w:r>
        <w:rPr>
          <w:rFonts w:cs="Arial"/>
          <w:sz w:val="20"/>
        </w:rPr>
        <w:tab/>
      </w:r>
      <w:r w:rsidRPr="0008073A">
        <w:rPr>
          <w:rFonts w:cs="Arial"/>
          <w:sz w:val="20"/>
        </w:rPr>
        <w:t xml:space="preserve">Proportion of </w:t>
      </w:r>
      <w:r>
        <w:rPr>
          <w:rFonts w:cs="Arial"/>
          <w:sz w:val="20"/>
        </w:rPr>
        <w:t>parents of dependent children employed, 1976 to 2006 (Census)</w:t>
      </w:r>
      <w:r>
        <w:rPr>
          <w:rFonts w:cs="Arial"/>
          <w:sz w:val="20"/>
        </w:rPr>
        <w:tab/>
        <w:t>..…</w:t>
      </w:r>
      <w:r>
        <w:rPr>
          <w:rFonts w:cs="Arial"/>
          <w:sz w:val="20"/>
        </w:rPr>
        <w:tab/>
        <w:t>1</w:t>
      </w:r>
      <w:r w:rsidR="005C2E10">
        <w:rPr>
          <w:rFonts w:cs="Arial"/>
          <w:sz w:val="20"/>
        </w:rPr>
        <w:t>2</w:t>
      </w:r>
      <w:r w:rsidR="00803779">
        <w:rPr>
          <w:rFonts w:cs="Arial"/>
          <w:sz w:val="20"/>
        </w:rPr>
        <w:t>9</w:t>
      </w:r>
    </w:p>
    <w:p w:rsidR="00A83CB3" w:rsidRDefault="00A83CB3" w:rsidP="00A83CB3">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H</w:t>
      </w:r>
      <w:r w:rsidRPr="0008073A">
        <w:rPr>
          <w:rFonts w:cs="Arial"/>
          <w:sz w:val="20"/>
        </w:rPr>
        <w:t>.</w:t>
      </w:r>
      <w:r w:rsidR="00AC238D">
        <w:rPr>
          <w:rFonts w:cs="Arial"/>
          <w:sz w:val="20"/>
        </w:rPr>
        <w:t>5</w:t>
      </w:r>
      <w:r>
        <w:rPr>
          <w:rFonts w:cs="Arial"/>
          <w:sz w:val="20"/>
        </w:rPr>
        <w:tab/>
        <w:t>Proportion of sole and partnered mothers employed, FT and PT</w:t>
      </w:r>
      <w:r>
        <w:rPr>
          <w:rFonts w:cs="Arial"/>
          <w:sz w:val="20"/>
        </w:rPr>
        <w:tab/>
        <w:t>……………..……</w:t>
      </w:r>
      <w:r>
        <w:rPr>
          <w:rFonts w:cs="Arial"/>
          <w:sz w:val="20"/>
        </w:rPr>
        <w:tab/>
        <w:t>1</w:t>
      </w:r>
      <w:r w:rsidR="005C2E10">
        <w:rPr>
          <w:rFonts w:cs="Arial"/>
          <w:sz w:val="20"/>
        </w:rPr>
        <w:t>2</w:t>
      </w:r>
      <w:r w:rsidR="00803779">
        <w:rPr>
          <w:rFonts w:cs="Arial"/>
          <w:sz w:val="20"/>
        </w:rPr>
        <w:t>9</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Figure </w:t>
      </w:r>
      <w:r w:rsidR="00262845">
        <w:rPr>
          <w:rFonts w:cs="Arial"/>
          <w:sz w:val="20"/>
        </w:rPr>
        <w:t>H</w:t>
      </w:r>
      <w:r w:rsidRPr="0008073A">
        <w:rPr>
          <w:rFonts w:cs="Arial"/>
          <w:sz w:val="20"/>
        </w:rPr>
        <w:t>.</w:t>
      </w:r>
      <w:r w:rsidR="00CD31C8">
        <w:rPr>
          <w:rFonts w:cs="Arial"/>
          <w:sz w:val="20"/>
        </w:rPr>
        <w:t>3</w:t>
      </w:r>
      <w:r>
        <w:rPr>
          <w:rFonts w:cs="Arial"/>
          <w:sz w:val="20"/>
        </w:rPr>
        <w:tab/>
      </w:r>
      <w:r w:rsidR="00A83CB3">
        <w:rPr>
          <w:rFonts w:cs="Arial"/>
          <w:sz w:val="20"/>
        </w:rPr>
        <w:t>Increasing proportion of two earner two parent households (with dep children)</w:t>
      </w:r>
      <w:r>
        <w:rPr>
          <w:rFonts w:cs="Arial"/>
          <w:sz w:val="20"/>
        </w:rPr>
        <w:tab/>
        <w:t>……</w:t>
      </w:r>
      <w:r>
        <w:rPr>
          <w:rFonts w:cs="Arial"/>
          <w:sz w:val="20"/>
        </w:rPr>
        <w:tab/>
      </w:r>
      <w:r w:rsidR="00C34042">
        <w:rPr>
          <w:rFonts w:cs="Arial"/>
          <w:sz w:val="20"/>
        </w:rPr>
        <w:t>1</w:t>
      </w:r>
      <w:r w:rsidR="00803779">
        <w:rPr>
          <w:rFonts w:cs="Arial"/>
          <w:sz w:val="20"/>
        </w:rPr>
        <w:t>30</w:t>
      </w:r>
    </w:p>
    <w:p w:rsidR="00A83CB3" w:rsidRDefault="00A83CB3" w:rsidP="00A83CB3">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H</w:t>
      </w:r>
      <w:r w:rsidRPr="0008073A">
        <w:rPr>
          <w:rFonts w:cs="Arial"/>
          <w:sz w:val="20"/>
        </w:rPr>
        <w:t>.</w:t>
      </w:r>
      <w:r w:rsidR="00AC238D">
        <w:rPr>
          <w:rFonts w:cs="Arial"/>
          <w:sz w:val="20"/>
        </w:rPr>
        <w:t>6</w:t>
      </w:r>
      <w:r>
        <w:rPr>
          <w:rFonts w:cs="Arial"/>
          <w:sz w:val="20"/>
        </w:rPr>
        <w:t>A</w:t>
      </w:r>
      <w:r>
        <w:rPr>
          <w:rFonts w:cs="Arial"/>
          <w:sz w:val="20"/>
        </w:rPr>
        <w:tab/>
      </w:r>
      <w:r w:rsidRPr="0008073A">
        <w:rPr>
          <w:rFonts w:cs="Arial"/>
          <w:sz w:val="20"/>
        </w:rPr>
        <w:t>Proportion of 2P HHs where there is at least one FT adult worker</w:t>
      </w:r>
      <w:r>
        <w:rPr>
          <w:rFonts w:cs="Arial"/>
          <w:sz w:val="20"/>
        </w:rPr>
        <w:tab/>
        <w:t>………….……</w:t>
      </w:r>
      <w:r>
        <w:rPr>
          <w:rFonts w:cs="Arial"/>
          <w:sz w:val="20"/>
        </w:rPr>
        <w:tab/>
        <w:t>1</w:t>
      </w:r>
      <w:r w:rsidR="00803779">
        <w:rPr>
          <w:rFonts w:cs="Arial"/>
          <w:sz w:val="20"/>
        </w:rPr>
        <w:t>30</w:t>
      </w:r>
    </w:p>
    <w:p w:rsidR="00C74DEE" w:rsidRDefault="00C74DEE" w:rsidP="005532BA">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H</w:t>
      </w:r>
      <w:r w:rsidRPr="0008073A">
        <w:rPr>
          <w:rFonts w:cs="Arial"/>
          <w:sz w:val="20"/>
        </w:rPr>
        <w:t>.</w:t>
      </w:r>
      <w:r w:rsidR="00AC238D">
        <w:rPr>
          <w:rFonts w:cs="Arial"/>
          <w:sz w:val="20"/>
        </w:rPr>
        <w:t>6</w:t>
      </w:r>
      <w:r w:rsidR="00A83CB3">
        <w:rPr>
          <w:rFonts w:cs="Arial"/>
          <w:sz w:val="20"/>
        </w:rPr>
        <w:t>A</w:t>
      </w:r>
      <w:r>
        <w:rPr>
          <w:rFonts w:cs="Arial"/>
          <w:sz w:val="20"/>
        </w:rPr>
        <w:tab/>
      </w:r>
      <w:r w:rsidRPr="0008073A">
        <w:rPr>
          <w:rFonts w:cs="Arial"/>
          <w:sz w:val="20"/>
        </w:rPr>
        <w:t>Proportion of children in 2P HHs where there is at least one FT adult worker</w:t>
      </w:r>
      <w:r>
        <w:rPr>
          <w:rFonts w:cs="Arial"/>
          <w:sz w:val="20"/>
        </w:rPr>
        <w:tab/>
        <w:t>……</w:t>
      </w:r>
      <w:r>
        <w:rPr>
          <w:rFonts w:cs="Arial"/>
          <w:sz w:val="20"/>
        </w:rPr>
        <w:tab/>
      </w:r>
      <w:r w:rsidR="00C34042">
        <w:rPr>
          <w:rFonts w:cs="Arial"/>
          <w:sz w:val="20"/>
        </w:rPr>
        <w:t>1</w:t>
      </w:r>
      <w:r w:rsidR="00803779">
        <w:rPr>
          <w:rFonts w:cs="Arial"/>
          <w:sz w:val="20"/>
        </w:rPr>
        <w:t>30</w:t>
      </w:r>
    </w:p>
    <w:p w:rsidR="00CD31C8" w:rsidRDefault="00CD31C8" w:rsidP="00CD31C8">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H</w:t>
      </w:r>
      <w:r w:rsidRPr="0008073A">
        <w:rPr>
          <w:rFonts w:cs="Arial"/>
          <w:sz w:val="20"/>
        </w:rPr>
        <w:t>.</w:t>
      </w:r>
      <w:r>
        <w:rPr>
          <w:rFonts w:cs="Arial"/>
          <w:sz w:val="20"/>
        </w:rPr>
        <w:t>4</w:t>
      </w:r>
      <w:r>
        <w:rPr>
          <w:rFonts w:cs="Arial"/>
          <w:sz w:val="20"/>
        </w:rPr>
        <w:tab/>
        <w:t>Poverty rates for children in ‘workless’ and ‘working’ households</w:t>
      </w:r>
      <w:r>
        <w:rPr>
          <w:rFonts w:cs="Arial"/>
          <w:sz w:val="20"/>
        </w:rPr>
        <w:tab/>
        <w:t>……………..……</w:t>
      </w:r>
      <w:r>
        <w:rPr>
          <w:rFonts w:cs="Arial"/>
          <w:sz w:val="20"/>
        </w:rPr>
        <w:tab/>
        <w:t>1</w:t>
      </w:r>
      <w:r w:rsidR="00803779">
        <w:rPr>
          <w:rFonts w:cs="Arial"/>
          <w:sz w:val="20"/>
        </w:rPr>
        <w:t>31</w:t>
      </w:r>
    </w:p>
    <w:p w:rsidR="00CD31C8" w:rsidRDefault="00CD31C8" w:rsidP="00CD31C8">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H</w:t>
      </w:r>
      <w:r w:rsidRPr="0008073A">
        <w:rPr>
          <w:rFonts w:cs="Arial"/>
          <w:sz w:val="20"/>
        </w:rPr>
        <w:t>.</w:t>
      </w:r>
      <w:r w:rsidR="006C4B43">
        <w:rPr>
          <w:rFonts w:cs="Arial"/>
          <w:sz w:val="20"/>
        </w:rPr>
        <w:t>5</w:t>
      </w:r>
      <w:r>
        <w:rPr>
          <w:rFonts w:cs="Arial"/>
          <w:sz w:val="20"/>
        </w:rPr>
        <w:tab/>
      </w:r>
      <w:r w:rsidR="006C4B43">
        <w:rPr>
          <w:rFonts w:cs="Arial"/>
          <w:sz w:val="20"/>
        </w:rPr>
        <w:t>Proportion of poor</w:t>
      </w:r>
      <w:r>
        <w:rPr>
          <w:rFonts w:cs="Arial"/>
          <w:sz w:val="20"/>
        </w:rPr>
        <w:t xml:space="preserve"> children </w:t>
      </w:r>
      <w:r w:rsidR="006C4B43">
        <w:rPr>
          <w:rFonts w:cs="Arial"/>
          <w:sz w:val="20"/>
        </w:rPr>
        <w:t>who live in</w:t>
      </w:r>
      <w:r>
        <w:rPr>
          <w:rFonts w:cs="Arial"/>
          <w:sz w:val="20"/>
        </w:rPr>
        <w:t xml:space="preserve"> ‘workless’</w:t>
      </w:r>
      <w:r w:rsidR="006C4B43">
        <w:rPr>
          <w:rFonts w:cs="Arial"/>
          <w:sz w:val="20"/>
        </w:rPr>
        <w:t xml:space="preserve"> households, 1982 to 2009</w:t>
      </w:r>
      <w:r w:rsidR="006C4B43">
        <w:rPr>
          <w:rFonts w:cs="Arial"/>
          <w:sz w:val="20"/>
        </w:rPr>
        <w:tab/>
        <w:t>…</w:t>
      </w:r>
      <w:r>
        <w:rPr>
          <w:rFonts w:cs="Arial"/>
          <w:sz w:val="20"/>
        </w:rPr>
        <w:t>.……</w:t>
      </w:r>
      <w:r>
        <w:rPr>
          <w:rFonts w:cs="Arial"/>
          <w:sz w:val="20"/>
        </w:rPr>
        <w:tab/>
        <w:t>1</w:t>
      </w:r>
      <w:r w:rsidR="00803779">
        <w:rPr>
          <w:rFonts w:cs="Arial"/>
          <w:sz w:val="20"/>
        </w:rPr>
        <w:t>32</w:t>
      </w:r>
    </w:p>
    <w:p w:rsidR="006C4B43" w:rsidRPr="0008073A" w:rsidRDefault="006C4B43" w:rsidP="006C4B43">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H</w:t>
      </w:r>
      <w:r w:rsidRPr="0008073A">
        <w:rPr>
          <w:rFonts w:cs="Arial"/>
          <w:sz w:val="20"/>
        </w:rPr>
        <w:t>.</w:t>
      </w:r>
      <w:r>
        <w:rPr>
          <w:rFonts w:cs="Arial"/>
          <w:sz w:val="20"/>
        </w:rPr>
        <w:t>6</w:t>
      </w:r>
      <w:r>
        <w:rPr>
          <w:rFonts w:cs="Arial"/>
          <w:sz w:val="20"/>
        </w:rPr>
        <w:tab/>
        <w:t>Proportion of poor children who live in ‘workless’ households, 1982 to 2009</w:t>
      </w:r>
      <w:r>
        <w:rPr>
          <w:rFonts w:cs="Arial"/>
          <w:sz w:val="20"/>
        </w:rPr>
        <w:tab/>
        <w:t>..……</w:t>
      </w:r>
      <w:r>
        <w:rPr>
          <w:rFonts w:cs="Arial"/>
          <w:sz w:val="20"/>
        </w:rPr>
        <w:tab/>
        <w:t>1</w:t>
      </w:r>
      <w:r w:rsidR="00803779">
        <w:rPr>
          <w:rFonts w:cs="Arial"/>
          <w:sz w:val="20"/>
        </w:rPr>
        <w:t>32</w:t>
      </w:r>
    </w:p>
    <w:p w:rsidR="006C4B43" w:rsidRPr="0008073A" w:rsidRDefault="006C4B43" w:rsidP="00CD31C8">
      <w:pPr>
        <w:tabs>
          <w:tab w:val="left" w:pos="1170"/>
          <w:tab w:val="right" w:pos="8460"/>
          <w:tab w:val="right" w:pos="8910"/>
        </w:tabs>
        <w:spacing w:after="80"/>
        <w:ind w:left="1166" w:hanging="1166"/>
        <w:rPr>
          <w:rFonts w:cs="Arial"/>
          <w:sz w:val="20"/>
        </w:rPr>
      </w:pPr>
    </w:p>
    <w:p w:rsidR="00C34042" w:rsidRPr="0008073A" w:rsidRDefault="00C34042" w:rsidP="00D3318B">
      <w:pPr>
        <w:tabs>
          <w:tab w:val="left" w:pos="1170"/>
          <w:tab w:val="right" w:pos="8460"/>
          <w:tab w:val="right" w:pos="8910"/>
        </w:tabs>
        <w:rPr>
          <w:rFonts w:cs="Arial"/>
          <w:sz w:val="20"/>
          <w:lang w:val="en-NZ"/>
        </w:rPr>
      </w:pPr>
    </w:p>
    <w:p w:rsidR="00EF3364" w:rsidRPr="0097726E" w:rsidRDefault="00E1200C" w:rsidP="007329A6">
      <w:pPr>
        <w:tabs>
          <w:tab w:val="left" w:pos="1170"/>
          <w:tab w:val="left" w:pos="1440"/>
          <w:tab w:val="right" w:pos="9000"/>
        </w:tabs>
        <w:spacing w:after="80"/>
        <w:ind w:left="1440" w:hanging="1440"/>
        <w:rPr>
          <w:rFonts w:cs="Arial"/>
          <w:szCs w:val="22"/>
        </w:rPr>
      </w:pPr>
      <w:r w:rsidRPr="0097726E">
        <w:rPr>
          <w:b/>
          <w:szCs w:val="22"/>
        </w:rPr>
        <w:t xml:space="preserve">Section </w:t>
      </w:r>
      <w:r w:rsidR="008902F4">
        <w:rPr>
          <w:b/>
          <w:szCs w:val="22"/>
        </w:rPr>
        <w:t>I</w:t>
      </w:r>
      <w:r w:rsidRPr="0097726E">
        <w:rPr>
          <w:b/>
          <w:szCs w:val="22"/>
        </w:rPr>
        <w:t xml:space="preserve"> </w:t>
      </w:r>
      <w:r w:rsidRPr="0097726E">
        <w:rPr>
          <w:b/>
          <w:szCs w:val="22"/>
        </w:rPr>
        <w:tab/>
      </w:r>
      <w:r w:rsidR="009A3BAB">
        <w:rPr>
          <w:b/>
          <w:szCs w:val="22"/>
        </w:rPr>
        <w:t>Income trends for</w:t>
      </w:r>
      <w:r w:rsidRPr="0097726E">
        <w:rPr>
          <w:b/>
          <w:szCs w:val="22"/>
        </w:rPr>
        <w:t xml:space="preserve"> older New Zealanders</w:t>
      </w:r>
    </w:p>
    <w:p w:rsidR="0030323D" w:rsidRDefault="0030323D" w:rsidP="0030323D">
      <w:pPr>
        <w:tabs>
          <w:tab w:val="left" w:pos="1170"/>
          <w:tab w:val="right" w:pos="8460"/>
          <w:tab w:val="right" w:pos="8910"/>
        </w:tabs>
        <w:ind w:left="1166" w:hanging="1166"/>
        <w:rPr>
          <w:rFonts w:cs="Arial"/>
          <w:sz w:val="20"/>
        </w:rPr>
      </w:pPr>
      <w:r>
        <w:rPr>
          <w:rFonts w:cs="Arial"/>
          <w:sz w:val="20"/>
        </w:rPr>
        <w:t>Figure</w:t>
      </w:r>
      <w:r w:rsidRPr="0008073A">
        <w:rPr>
          <w:rFonts w:cs="Arial"/>
          <w:sz w:val="20"/>
        </w:rPr>
        <w:t xml:space="preserve"> </w:t>
      </w:r>
      <w:r>
        <w:rPr>
          <w:rFonts w:cs="Arial"/>
          <w:sz w:val="20"/>
        </w:rPr>
        <w:t>I</w:t>
      </w:r>
      <w:r w:rsidRPr="0008073A">
        <w:rPr>
          <w:rFonts w:cs="Arial"/>
          <w:sz w:val="20"/>
        </w:rPr>
        <w:t>.</w:t>
      </w:r>
      <w:r>
        <w:rPr>
          <w:rFonts w:cs="Arial"/>
          <w:sz w:val="20"/>
        </w:rPr>
        <w:t>1</w:t>
      </w:r>
      <w:r>
        <w:rPr>
          <w:rFonts w:cs="Arial"/>
          <w:sz w:val="20"/>
        </w:rPr>
        <w:tab/>
      </w:r>
      <w:smartTag w:uri="urn:schemas-microsoft-com:office:smarttags" w:element="stockticker">
        <w:r>
          <w:rPr>
            <w:rFonts w:cs="Arial"/>
            <w:sz w:val="20"/>
          </w:rPr>
          <w:t>BHC</w:t>
        </w:r>
      </w:smartTag>
      <w:r>
        <w:rPr>
          <w:rFonts w:cs="Arial"/>
          <w:sz w:val="20"/>
        </w:rPr>
        <w:t xml:space="preserve"> household income distribution for older New Zealanders relative to </w:t>
      </w:r>
    </w:p>
    <w:p w:rsidR="0030323D" w:rsidRPr="0008073A" w:rsidRDefault="0030323D" w:rsidP="0030323D">
      <w:pPr>
        <w:tabs>
          <w:tab w:val="left" w:pos="1170"/>
          <w:tab w:val="right" w:pos="8460"/>
          <w:tab w:val="right" w:pos="8910"/>
        </w:tabs>
        <w:spacing w:after="80"/>
        <w:ind w:left="1166" w:hanging="1166"/>
        <w:rPr>
          <w:rFonts w:cs="Arial"/>
          <w:sz w:val="20"/>
        </w:rPr>
      </w:pPr>
      <w:r>
        <w:rPr>
          <w:rFonts w:cs="Arial"/>
          <w:sz w:val="20"/>
        </w:rPr>
        <w:tab/>
        <w:t>the rest of the population</w:t>
      </w:r>
      <w:r w:rsidR="00971E8C">
        <w:rPr>
          <w:rFonts w:cs="Arial"/>
          <w:sz w:val="20"/>
        </w:rPr>
        <w:t>, HES 20</w:t>
      </w:r>
      <w:r w:rsidR="00CD0099">
        <w:rPr>
          <w:rFonts w:cs="Arial"/>
          <w:sz w:val="20"/>
        </w:rPr>
        <w:t>10</w:t>
      </w:r>
      <w:r w:rsidR="00971E8C">
        <w:rPr>
          <w:rFonts w:cs="Arial"/>
          <w:sz w:val="20"/>
        </w:rPr>
        <w:tab/>
        <w:t>..</w:t>
      </w:r>
      <w:r>
        <w:rPr>
          <w:rFonts w:cs="Arial"/>
          <w:sz w:val="20"/>
        </w:rPr>
        <w:t>………………………………………….. …….</w:t>
      </w:r>
      <w:r>
        <w:rPr>
          <w:rFonts w:cs="Arial"/>
          <w:sz w:val="20"/>
        </w:rPr>
        <w:tab/>
        <w:t>1</w:t>
      </w:r>
      <w:r w:rsidR="00E4033C">
        <w:rPr>
          <w:rFonts w:cs="Arial"/>
          <w:sz w:val="20"/>
        </w:rPr>
        <w:t>2</w:t>
      </w:r>
      <w:r w:rsidR="00895FE4">
        <w:rPr>
          <w:rFonts w:cs="Arial"/>
          <w:sz w:val="20"/>
        </w:rPr>
        <w:t>3</w:t>
      </w:r>
    </w:p>
    <w:p w:rsidR="00971E8C" w:rsidRPr="0008073A" w:rsidRDefault="00971E8C" w:rsidP="00971E8C">
      <w:pPr>
        <w:tabs>
          <w:tab w:val="left" w:pos="1170"/>
          <w:tab w:val="right" w:pos="8460"/>
          <w:tab w:val="right" w:pos="8910"/>
        </w:tabs>
        <w:spacing w:after="80"/>
        <w:ind w:left="1166" w:hanging="1166"/>
        <w:rPr>
          <w:rFonts w:cs="Arial"/>
          <w:sz w:val="20"/>
        </w:rPr>
      </w:pPr>
      <w:r>
        <w:rPr>
          <w:rFonts w:cs="Arial"/>
          <w:sz w:val="20"/>
        </w:rPr>
        <w:t>Figure</w:t>
      </w:r>
      <w:r w:rsidRPr="0008073A">
        <w:rPr>
          <w:rFonts w:cs="Arial"/>
          <w:sz w:val="20"/>
        </w:rPr>
        <w:t xml:space="preserve"> </w:t>
      </w:r>
      <w:r>
        <w:rPr>
          <w:rFonts w:cs="Arial"/>
          <w:sz w:val="20"/>
        </w:rPr>
        <w:t>I</w:t>
      </w:r>
      <w:r w:rsidRPr="0008073A">
        <w:rPr>
          <w:rFonts w:cs="Arial"/>
          <w:sz w:val="20"/>
        </w:rPr>
        <w:t>.</w:t>
      </w:r>
      <w:r>
        <w:rPr>
          <w:rFonts w:cs="Arial"/>
          <w:sz w:val="20"/>
        </w:rPr>
        <w:t>2</w:t>
      </w:r>
      <w:r>
        <w:rPr>
          <w:rFonts w:cs="Arial"/>
          <w:sz w:val="20"/>
        </w:rPr>
        <w:tab/>
        <w:t>Trends in average earnings, median household incomes and NZS ($2</w:t>
      </w:r>
      <w:r w:rsidR="00CD0099">
        <w:rPr>
          <w:rFonts w:cs="Arial"/>
          <w:sz w:val="20"/>
        </w:rPr>
        <w:t>010</w:t>
      </w:r>
      <w:r>
        <w:rPr>
          <w:rFonts w:cs="Arial"/>
          <w:sz w:val="20"/>
        </w:rPr>
        <w:t>)</w:t>
      </w:r>
      <w:r>
        <w:rPr>
          <w:rFonts w:cs="Arial"/>
          <w:sz w:val="20"/>
        </w:rPr>
        <w:tab/>
        <w:t>……….</w:t>
      </w:r>
      <w:r>
        <w:rPr>
          <w:rFonts w:cs="Arial"/>
          <w:sz w:val="20"/>
        </w:rPr>
        <w:tab/>
        <w:t>1</w:t>
      </w:r>
      <w:r w:rsidR="005C2E10">
        <w:rPr>
          <w:rFonts w:cs="Arial"/>
          <w:sz w:val="20"/>
        </w:rPr>
        <w:t>3</w:t>
      </w:r>
      <w:r w:rsidR="00895FE4">
        <w:rPr>
          <w:rFonts w:cs="Arial"/>
          <w:sz w:val="20"/>
        </w:rPr>
        <w:t>4</w:t>
      </w:r>
    </w:p>
    <w:p w:rsidR="00971E8C" w:rsidRDefault="00971E8C" w:rsidP="00971E8C">
      <w:pPr>
        <w:tabs>
          <w:tab w:val="left" w:pos="1170"/>
          <w:tab w:val="right" w:pos="8460"/>
          <w:tab w:val="right" w:pos="8910"/>
        </w:tabs>
        <w:spacing w:after="80"/>
        <w:ind w:left="1166" w:hanging="1166"/>
        <w:rPr>
          <w:rFonts w:cs="Arial"/>
          <w:sz w:val="20"/>
        </w:rPr>
      </w:pPr>
      <w:r>
        <w:rPr>
          <w:rFonts w:cs="Arial"/>
          <w:sz w:val="20"/>
        </w:rPr>
        <w:t>Figure</w:t>
      </w:r>
      <w:r w:rsidRPr="0008073A">
        <w:rPr>
          <w:rFonts w:cs="Arial"/>
          <w:sz w:val="20"/>
        </w:rPr>
        <w:t xml:space="preserve"> </w:t>
      </w:r>
      <w:r>
        <w:rPr>
          <w:rFonts w:cs="Arial"/>
          <w:sz w:val="20"/>
        </w:rPr>
        <w:t>I</w:t>
      </w:r>
      <w:r w:rsidRPr="0008073A">
        <w:rPr>
          <w:rFonts w:cs="Arial"/>
          <w:sz w:val="20"/>
        </w:rPr>
        <w:t>.</w:t>
      </w:r>
      <w:r>
        <w:rPr>
          <w:rFonts w:cs="Arial"/>
          <w:sz w:val="20"/>
        </w:rPr>
        <w:t>3</w:t>
      </w:r>
      <w:r>
        <w:rPr>
          <w:rFonts w:cs="Arial"/>
          <w:sz w:val="20"/>
        </w:rPr>
        <w:tab/>
      </w:r>
      <w:r w:rsidRPr="0008073A">
        <w:rPr>
          <w:rFonts w:cs="Arial"/>
          <w:sz w:val="20"/>
        </w:rPr>
        <w:t xml:space="preserve">NZS relative to </w:t>
      </w:r>
      <w:r>
        <w:rPr>
          <w:rFonts w:cs="Arial"/>
          <w:sz w:val="20"/>
        </w:rPr>
        <w:t>average earnings and</w:t>
      </w:r>
      <w:r w:rsidRPr="0008073A">
        <w:rPr>
          <w:rFonts w:cs="Arial"/>
          <w:sz w:val="20"/>
        </w:rPr>
        <w:t xml:space="preserve"> median household income </w:t>
      </w:r>
      <w:r>
        <w:rPr>
          <w:rFonts w:cs="Arial"/>
          <w:sz w:val="20"/>
        </w:rPr>
        <w:tab/>
        <w:t>……………..…….</w:t>
      </w:r>
      <w:r>
        <w:rPr>
          <w:rFonts w:cs="Arial"/>
          <w:sz w:val="20"/>
        </w:rPr>
        <w:tab/>
        <w:t>1</w:t>
      </w:r>
      <w:r w:rsidR="005C2E10">
        <w:rPr>
          <w:rFonts w:cs="Arial"/>
          <w:sz w:val="20"/>
        </w:rPr>
        <w:t>3</w:t>
      </w:r>
      <w:r w:rsidR="00895FE4">
        <w:rPr>
          <w:rFonts w:cs="Arial"/>
          <w:sz w:val="20"/>
        </w:rPr>
        <w:t>5</w:t>
      </w:r>
    </w:p>
    <w:p w:rsidR="00971E8C" w:rsidRPr="0008073A" w:rsidRDefault="00971E8C" w:rsidP="00971E8C">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I</w:t>
      </w:r>
      <w:r w:rsidRPr="0008073A">
        <w:rPr>
          <w:rFonts w:cs="Arial"/>
          <w:sz w:val="20"/>
        </w:rPr>
        <w:t>.1</w:t>
      </w:r>
      <w:r>
        <w:rPr>
          <w:rFonts w:cs="Arial"/>
          <w:sz w:val="20"/>
        </w:rPr>
        <w:tab/>
      </w:r>
      <w:r w:rsidRPr="0008073A">
        <w:rPr>
          <w:rFonts w:cs="Arial"/>
          <w:sz w:val="20"/>
        </w:rPr>
        <w:t xml:space="preserve">NZS relative to the median equivalised </w:t>
      </w:r>
      <w:smartTag w:uri="urn:schemas-microsoft-com:office:smarttags" w:element="stockticker">
        <w:r w:rsidRPr="0008073A">
          <w:rPr>
            <w:rFonts w:cs="Arial"/>
            <w:sz w:val="20"/>
          </w:rPr>
          <w:t>BHC</w:t>
        </w:r>
      </w:smartTag>
      <w:r w:rsidRPr="0008073A">
        <w:rPr>
          <w:rFonts w:cs="Arial"/>
          <w:sz w:val="20"/>
        </w:rPr>
        <w:t xml:space="preserve"> household income median (%)</w:t>
      </w:r>
      <w:r>
        <w:rPr>
          <w:rFonts w:cs="Arial"/>
          <w:sz w:val="20"/>
        </w:rPr>
        <w:tab/>
        <w:t>…….</w:t>
      </w:r>
      <w:r>
        <w:rPr>
          <w:rFonts w:cs="Arial"/>
          <w:sz w:val="20"/>
        </w:rPr>
        <w:tab/>
        <w:t>1</w:t>
      </w:r>
      <w:r w:rsidR="005C2E10">
        <w:rPr>
          <w:rFonts w:cs="Arial"/>
          <w:sz w:val="20"/>
        </w:rPr>
        <w:t>3</w:t>
      </w:r>
      <w:r w:rsidR="00895FE4">
        <w:rPr>
          <w:rFonts w:cs="Arial"/>
          <w:sz w:val="20"/>
        </w:rPr>
        <w:t>6</w:t>
      </w:r>
    </w:p>
    <w:p w:rsidR="00D725F3" w:rsidRDefault="00B52B05" w:rsidP="00D725F3">
      <w:pPr>
        <w:tabs>
          <w:tab w:val="left" w:pos="1170"/>
          <w:tab w:val="right" w:pos="8460"/>
          <w:tab w:val="right" w:pos="8910"/>
        </w:tabs>
        <w:ind w:left="1166" w:hanging="1166"/>
        <w:rPr>
          <w:rFonts w:cs="Arial"/>
          <w:sz w:val="20"/>
        </w:rPr>
      </w:pPr>
      <w:r w:rsidRPr="0008073A">
        <w:rPr>
          <w:rFonts w:cs="Arial"/>
          <w:sz w:val="20"/>
        </w:rPr>
        <w:t xml:space="preserve">Table </w:t>
      </w:r>
      <w:r>
        <w:rPr>
          <w:rFonts w:cs="Arial"/>
          <w:sz w:val="20"/>
        </w:rPr>
        <w:t>I</w:t>
      </w:r>
      <w:r w:rsidRPr="0008073A">
        <w:rPr>
          <w:rFonts w:cs="Arial"/>
          <w:sz w:val="20"/>
        </w:rPr>
        <w:t>.</w:t>
      </w:r>
      <w:r>
        <w:rPr>
          <w:rFonts w:cs="Arial"/>
          <w:sz w:val="20"/>
        </w:rPr>
        <w:t>2</w:t>
      </w:r>
      <w:r>
        <w:rPr>
          <w:rFonts w:cs="Arial"/>
          <w:sz w:val="20"/>
        </w:rPr>
        <w:tab/>
        <w:t xml:space="preserve">Proportion of older New Zealanders (65+) in households with </w:t>
      </w:r>
      <w:smartTag w:uri="urn:schemas-microsoft-com:office:smarttags" w:element="stockticker">
        <w:r>
          <w:rPr>
            <w:rFonts w:cs="Arial"/>
            <w:sz w:val="20"/>
          </w:rPr>
          <w:t>BHC</w:t>
        </w:r>
      </w:smartTag>
      <w:r>
        <w:rPr>
          <w:rFonts w:cs="Arial"/>
          <w:sz w:val="20"/>
        </w:rPr>
        <w:t xml:space="preserve"> incomes </w:t>
      </w:r>
    </w:p>
    <w:p w:rsidR="00D725F3" w:rsidRDefault="00D725F3" w:rsidP="00D725F3">
      <w:pPr>
        <w:tabs>
          <w:tab w:val="left" w:pos="1170"/>
          <w:tab w:val="right" w:pos="8460"/>
          <w:tab w:val="right" w:pos="8910"/>
        </w:tabs>
        <w:ind w:left="1166" w:hanging="1166"/>
        <w:rPr>
          <w:rFonts w:cs="Arial"/>
          <w:sz w:val="20"/>
        </w:rPr>
      </w:pPr>
      <w:r>
        <w:rPr>
          <w:rFonts w:cs="Arial"/>
          <w:sz w:val="20"/>
        </w:rPr>
        <w:tab/>
      </w:r>
      <w:r w:rsidR="00B52B05">
        <w:rPr>
          <w:rFonts w:cs="Arial"/>
          <w:sz w:val="20"/>
        </w:rPr>
        <w:t>below low-income thresholds (‘poverty lines’</w:t>
      </w:r>
      <w:r>
        <w:rPr>
          <w:rFonts w:cs="Arial"/>
          <w:sz w:val="20"/>
        </w:rPr>
        <w:t xml:space="preserve">), set at 50% and 60% of the </w:t>
      </w:r>
    </w:p>
    <w:p w:rsidR="00B52B05" w:rsidRPr="0008073A" w:rsidRDefault="00D725F3" w:rsidP="00B52B05">
      <w:pPr>
        <w:tabs>
          <w:tab w:val="left" w:pos="1170"/>
          <w:tab w:val="right" w:pos="8460"/>
          <w:tab w:val="right" w:pos="8910"/>
        </w:tabs>
        <w:spacing w:after="80"/>
        <w:ind w:left="1166" w:hanging="1166"/>
        <w:rPr>
          <w:rFonts w:cs="Arial"/>
          <w:sz w:val="20"/>
        </w:rPr>
      </w:pPr>
      <w:r>
        <w:rPr>
          <w:rFonts w:cs="Arial"/>
          <w:sz w:val="20"/>
        </w:rPr>
        <w:tab/>
        <w:t>median in the survey year</w:t>
      </w:r>
      <w:r w:rsidR="00B52B05">
        <w:rPr>
          <w:rFonts w:cs="Arial"/>
          <w:sz w:val="20"/>
        </w:rPr>
        <w:tab/>
      </w:r>
      <w:r>
        <w:rPr>
          <w:rFonts w:cs="Arial"/>
          <w:sz w:val="20"/>
        </w:rPr>
        <w:t>………………………………………………………….</w:t>
      </w:r>
      <w:r w:rsidR="00B52B05">
        <w:rPr>
          <w:rFonts w:cs="Arial"/>
          <w:sz w:val="20"/>
        </w:rPr>
        <w:t>…….</w:t>
      </w:r>
      <w:r w:rsidR="00B52B05">
        <w:rPr>
          <w:rFonts w:cs="Arial"/>
          <w:sz w:val="20"/>
        </w:rPr>
        <w:tab/>
        <w:t>1</w:t>
      </w:r>
      <w:r w:rsidR="005C2E10">
        <w:rPr>
          <w:rFonts w:cs="Arial"/>
          <w:sz w:val="20"/>
        </w:rPr>
        <w:t>3</w:t>
      </w:r>
      <w:r w:rsidR="00895FE4">
        <w:rPr>
          <w:rFonts w:cs="Arial"/>
          <w:sz w:val="20"/>
        </w:rPr>
        <w:t>6</w:t>
      </w:r>
    </w:p>
    <w:p w:rsidR="00EF3364" w:rsidRDefault="00EF3364" w:rsidP="007329A6">
      <w:pPr>
        <w:tabs>
          <w:tab w:val="left" w:pos="1170"/>
          <w:tab w:val="right" w:pos="8460"/>
          <w:tab w:val="right" w:pos="8910"/>
        </w:tabs>
        <w:ind w:left="1166" w:hanging="1166"/>
        <w:rPr>
          <w:rFonts w:cs="Arial"/>
          <w:sz w:val="20"/>
          <w:lang w:val="en-NZ"/>
        </w:rPr>
      </w:pPr>
      <w:r w:rsidRPr="0008073A">
        <w:rPr>
          <w:rFonts w:cs="Arial"/>
          <w:sz w:val="20"/>
          <w:lang w:val="en-NZ"/>
        </w:rPr>
        <w:t xml:space="preserve">Figure </w:t>
      </w:r>
      <w:r w:rsidR="00262845">
        <w:rPr>
          <w:rFonts w:cs="Arial"/>
          <w:sz w:val="20"/>
          <w:lang w:val="en-NZ"/>
        </w:rPr>
        <w:t>I</w:t>
      </w:r>
      <w:r w:rsidRPr="0008073A">
        <w:rPr>
          <w:rFonts w:cs="Arial"/>
          <w:sz w:val="20"/>
          <w:lang w:val="en-NZ"/>
        </w:rPr>
        <w:t>.</w:t>
      </w:r>
      <w:r w:rsidR="00D725F3">
        <w:rPr>
          <w:rFonts w:cs="Arial"/>
          <w:sz w:val="20"/>
          <w:lang w:val="en-NZ"/>
        </w:rPr>
        <w:t>4</w:t>
      </w:r>
      <w:r>
        <w:rPr>
          <w:rFonts w:cs="Arial"/>
          <w:sz w:val="20"/>
          <w:lang w:val="en-NZ"/>
        </w:rPr>
        <w:tab/>
      </w:r>
      <w:r w:rsidRPr="0008073A">
        <w:rPr>
          <w:rFonts w:cs="Arial"/>
          <w:sz w:val="20"/>
          <w:lang w:val="en-NZ"/>
        </w:rPr>
        <w:t xml:space="preserve">Sensitivity of income poverty rates for the 65+ to the threshold used: </w:t>
      </w:r>
    </w:p>
    <w:p w:rsidR="00EF3364" w:rsidRPr="0008073A" w:rsidRDefault="00EF3364" w:rsidP="007329A6">
      <w:pPr>
        <w:tabs>
          <w:tab w:val="left" w:pos="1170"/>
          <w:tab w:val="right" w:pos="8460"/>
          <w:tab w:val="right" w:pos="8910"/>
        </w:tabs>
        <w:spacing w:after="80"/>
        <w:ind w:left="1166" w:hanging="1166"/>
        <w:rPr>
          <w:rFonts w:cs="Arial"/>
          <w:sz w:val="20"/>
          <w:lang w:val="en-NZ"/>
        </w:rPr>
      </w:pPr>
      <w:r>
        <w:rPr>
          <w:rFonts w:cs="Arial"/>
          <w:sz w:val="20"/>
          <w:lang w:val="en-NZ"/>
        </w:rPr>
        <w:tab/>
      </w:r>
      <w:smartTag w:uri="urn:schemas-microsoft-com:office:smarttags" w:element="stockticker">
        <w:r>
          <w:rPr>
            <w:rFonts w:cs="Arial"/>
            <w:sz w:val="20"/>
            <w:lang w:val="en-NZ"/>
          </w:rPr>
          <w:t>BHC</w:t>
        </w:r>
      </w:smartTag>
      <w:r>
        <w:rPr>
          <w:rFonts w:cs="Arial"/>
          <w:sz w:val="20"/>
          <w:lang w:val="en-NZ"/>
        </w:rPr>
        <w:t xml:space="preserve"> incomes, </w:t>
      </w:r>
      <w:r w:rsidRPr="0008073A">
        <w:rPr>
          <w:rFonts w:cs="Arial"/>
          <w:sz w:val="20"/>
          <w:lang w:val="en-NZ"/>
        </w:rPr>
        <w:t>20</w:t>
      </w:r>
      <w:r w:rsidR="00CD0099">
        <w:rPr>
          <w:rFonts w:cs="Arial"/>
          <w:sz w:val="20"/>
          <w:lang w:val="en-NZ"/>
        </w:rPr>
        <w:t>10</w:t>
      </w:r>
      <w:r>
        <w:rPr>
          <w:rFonts w:cs="Arial"/>
          <w:sz w:val="20"/>
          <w:lang w:val="en-NZ"/>
        </w:rPr>
        <w:tab/>
        <w:t>……………………………………………………………………..</w:t>
      </w:r>
      <w:r>
        <w:rPr>
          <w:rFonts w:cs="Arial"/>
          <w:sz w:val="20"/>
          <w:lang w:val="en-NZ"/>
        </w:rPr>
        <w:tab/>
      </w:r>
      <w:r w:rsidR="00C34042">
        <w:rPr>
          <w:rFonts w:cs="Arial"/>
          <w:sz w:val="20"/>
          <w:lang w:val="en-NZ"/>
        </w:rPr>
        <w:t>1</w:t>
      </w:r>
      <w:r w:rsidR="005C2E10">
        <w:rPr>
          <w:rFonts w:cs="Arial"/>
          <w:sz w:val="20"/>
          <w:lang w:val="en-NZ"/>
        </w:rPr>
        <w:t>3</w:t>
      </w:r>
      <w:r w:rsidR="00895FE4">
        <w:rPr>
          <w:rFonts w:cs="Arial"/>
          <w:sz w:val="20"/>
          <w:lang w:val="en-NZ"/>
        </w:rPr>
        <w:t>6</w:t>
      </w:r>
    </w:p>
    <w:p w:rsidR="00EF3364" w:rsidRDefault="00EF3364" w:rsidP="007329A6">
      <w:pPr>
        <w:tabs>
          <w:tab w:val="left" w:pos="1170"/>
          <w:tab w:val="right" w:pos="8460"/>
          <w:tab w:val="right" w:pos="8910"/>
        </w:tabs>
        <w:ind w:left="1166" w:hanging="1166"/>
        <w:rPr>
          <w:rFonts w:cs="Arial"/>
          <w:sz w:val="20"/>
          <w:lang w:val="en-NZ"/>
        </w:rPr>
      </w:pPr>
      <w:r w:rsidRPr="0008073A">
        <w:rPr>
          <w:rFonts w:cs="Arial"/>
          <w:sz w:val="20"/>
          <w:lang w:val="en-NZ"/>
        </w:rPr>
        <w:t xml:space="preserve">Figure </w:t>
      </w:r>
      <w:r w:rsidR="00262845">
        <w:rPr>
          <w:rFonts w:cs="Arial"/>
          <w:sz w:val="20"/>
          <w:lang w:val="en-NZ"/>
        </w:rPr>
        <w:t>I</w:t>
      </w:r>
      <w:r w:rsidRPr="0008073A">
        <w:rPr>
          <w:rFonts w:cs="Arial"/>
          <w:sz w:val="20"/>
          <w:lang w:val="en-NZ"/>
        </w:rPr>
        <w:t>.</w:t>
      </w:r>
      <w:r w:rsidR="00CD0099">
        <w:rPr>
          <w:rFonts w:cs="Arial"/>
          <w:sz w:val="20"/>
          <w:lang w:val="en-NZ"/>
        </w:rPr>
        <w:t>5</w:t>
      </w:r>
      <w:r>
        <w:rPr>
          <w:rFonts w:cs="Arial"/>
          <w:sz w:val="20"/>
          <w:lang w:val="en-NZ"/>
        </w:rPr>
        <w:tab/>
      </w:r>
      <w:r w:rsidRPr="0008073A">
        <w:rPr>
          <w:rFonts w:cs="Arial"/>
          <w:sz w:val="20"/>
          <w:lang w:val="en-NZ"/>
        </w:rPr>
        <w:t>Sensitivity of income poverty rates for</w:t>
      </w:r>
      <w:r>
        <w:rPr>
          <w:rFonts w:cs="Arial"/>
          <w:sz w:val="20"/>
          <w:lang w:val="en-NZ"/>
        </w:rPr>
        <w:t xml:space="preserve"> the 65+ to the threshold used:</w:t>
      </w:r>
      <w:r w:rsidRPr="0008073A">
        <w:rPr>
          <w:rFonts w:cs="Arial"/>
          <w:sz w:val="20"/>
          <w:lang w:val="en-NZ"/>
        </w:rPr>
        <w:t xml:space="preserve"> </w:t>
      </w:r>
    </w:p>
    <w:p w:rsidR="00EF3364" w:rsidRPr="0008073A" w:rsidRDefault="00EF3364" w:rsidP="007329A6">
      <w:pPr>
        <w:tabs>
          <w:tab w:val="left" w:pos="1170"/>
          <w:tab w:val="right" w:pos="8460"/>
          <w:tab w:val="right" w:pos="8910"/>
        </w:tabs>
        <w:spacing w:after="80"/>
        <w:ind w:left="1166" w:hanging="1166"/>
        <w:rPr>
          <w:rFonts w:cs="Arial"/>
          <w:sz w:val="20"/>
          <w:lang w:val="en-NZ"/>
        </w:rPr>
      </w:pPr>
      <w:r>
        <w:rPr>
          <w:rFonts w:cs="Arial"/>
          <w:sz w:val="20"/>
          <w:lang w:val="en-NZ"/>
        </w:rPr>
        <w:tab/>
      </w:r>
      <w:smartTag w:uri="urn:schemas-microsoft-com:office:smarttags" w:element="stockticker">
        <w:r>
          <w:rPr>
            <w:rFonts w:cs="Arial"/>
            <w:sz w:val="20"/>
            <w:lang w:val="en-NZ"/>
          </w:rPr>
          <w:t>AHC</w:t>
        </w:r>
      </w:smartTag>
      <w:r>
        <w:rPr>
          <w:rFonts w:cs="Arial"/>
          <w:sz w:val="20"/>
          <w:lang w:val="en-NZ"/>
        </w:rPr>
        <w:t xml:space="preserve"> </w:t>
      </w:r>
      <w:r w:rsidRPr="0008073A">
        <w:rPr>
          <w:rFonts w:cs="Arial"/>
          <w:sz w:val="20"/>
          <w:lang w:val="en-NZ"/>
        </w:rPr>
        <w:t>incomes, 20</w:t>
      </w:r>
      <w:r w:rsidR="00CD0099">
        <w:rPr>
          <w:rFonts w:cs="Arial"/>
          <w:sz w:val="20"/>
          <w:lang w:val="en-NZ"/>
        </w:rPr>
        <w:t>10</w:t>
      </w:r>
      <w:r>
        <w:rPr>
          <w:rFonts w:cs="Arial"/>
          <w:sz w:val="20"/>
          <w:lang w:val="en-NZ"/>
        </w:rPr>
        <w:tab/>
        <w:t>……………………………………….…………………………….</w:t>
      </w:r>
      <w:r>
        <w:rPr>
          <w:rFonts w:cs="Arial"/>
          <w:sz w:val="20"/>
          <w:lang w:val="en-NZ"/>
        </w:rPr>
        <w:tab/>
      </w:r>
      <w:r w:rsidR="00C34042">
        <w:rPr>
          <w:rFonts w:cs="Arial"/>
          <w:sz w:val="20"/>
          <w:lang w:val="en-NZ"/>
        </w:rPr>
        <w:t>1</w:t>
      </w:r>
      <w:r w:rsidR="005C2E10">
        <w:rPr>
          <w:rFonts w:cs="Arial"/>
          <w:sz w:val="20"/>
          <w:lang w:val="en-NZ"/>
        </w:rPr>
        <w:t>3</w:t>
      </w:r>
      <w:r w:rsidR="00895FE4">
        <w:rPr>
          <w:rFonts w:cs="Arial"/>
          <w:sz w:val="20"/>
          <w:lang w:val="en-NZ"/>
        </w:rPr>
        <w:t>7</w:t>
      </w:r>
    </w:p>
    <w:p w:rsidR="00EF3364" w:rsidRDefault="00EF3364" w:rsidP="008624B7">
      <w:pPr>
        <w:tabs>
          <w:tab w:val="left" w:pos="1170"/>
          <w:tab w:val="right" w:pos="8460"/>
          <w:tab w:val="right" w:pos="8910"/>
        </w:tabs>
        <w:ind w:left="1170" w:hanging="1170"/>
        <w:rPr>
          <w:rFonts w:cs="Arial"/>
          <w:sz w:val="20"/>
        </w:rPr>
      </w:pPr>
      <w:r w:rsidRPr="0008073A">
        <w:rPr>
          <w:rFonts w:cs="Arial"/>
          <w:sz w:val="20"/>
        </w:rPr>
        <w:t xml:space="preserve">Table </w:t>
      </w:r>
      <w:r w:rsidR="00262845">
        <w:rPr>
          <w:rFonts w:cs="Arial"/>
          <w:sz w:val="20"/>
        </w:rPr>
        <w:t>I</w:t>
      </w:r>
      <w:r w:rsidRPr="0008073A">
        <w:rPr>
          <w:rFonts w:cs="Arial"/>
          <w:sz w:val="20"/>
        </w:rPr>
        <w:t>.</w:t>
      </w:r>
      <w:r w:rsidR="00D725F3">
        <w:rPr>
          <w:rFonts w:cs="Arial"/>
          <w:sz w:val="20"/>
        </w:rPr>
        <w:t>3</w:t>
      </w:r>
      <w:r>
        <w:rPr>
          <w:rFonts w:cs="Arial"/>
          <w:sz w:val="20"/>
        </w:rPr>
        <w:tab/>
      </w:r>
      <w:r w:rsidRPr="0008073A">
        <w:rPr>
          <w:rFonts w:cs="Arial"/>
          <w:sz w:val="20"/>
        </w:rPr>
        <w:t xml:space="preserve">Proportions of older New Zealanders (aged 65+) in low-income households, </w:t>
      </w:r>
    </w:p>
    <w:p w:rsidR="00EF3364" w:rsidRDefault="00EF3364" w:rsidP="00C87E08">
      <w:pPr>
        <w:tabs>
          <w:tab w:val="left" w:pos="1170"/>
          <w:tab w:val="right" w:pos="8460"/>
          <w:tab w:val="right" w:pos="8910"/>
        </w:tabs>
        <w:spacing w:after="80"/>
        <w:ind w:left="1166" w:hanging="1166"/>
        <w:rPr>
          <w:rFonts w:cs="Arial"/>
          <w:sz w:val="20"/>
        </w:rPr>
      </w:pPr>
      <w:r>
        <w:rPr>
          <w:rFonts w:cs="Arial"/>
          <w:sz w:val="20"/>
        </w:rPr>
        <w:tab/>
      </w:r>
      <w:r w:rsidRPr="0008073A">
        <w:rPr>
          <w:rFonts w:cs="Arial"/>
          <w:sz w:val="20"/>
        </w:rPr>
        <w:t>by HH type</w:t>
      </w:r>
      <w:r w:rsidR="00D725F3">
        <w:rPr>
          <w:rFonts w:cs="Arial"/>
          <w:sz w:val="20"/>
        </w:rPr>
        <w:t xml:space="preserve">, </w:t>
      </w:r>
      <w:smartTag w:uri="urn:schemas-microsoft-com:office:smarttags" w:element="stockticker">
        <w:r w:rsidR="00D725F3">
          <w:rPr>
            <w:rFonts w:cs="Arial"/>
            <w:sz w:val="20"/>
          </w:rPr>
          <w:t>AHC</w:t>
        </w:r>
      </w:smartTag>
      <w:r w:rsidR="00D725F3">
        <w:rPr>
          <w:rFonts w:cs="Arial"/>
          <w:sz w:val="20"/>
        </w:rPr>
        <w:t xml:space="preserve"> CV</w:t>
      </w:r>
      <w:r w:rsidR="00E4033C">
        <w:rPr>
          <w:rFonts w:cs="Arial"/>
          <w:sz w:val="20"/>
        </w:rPr>
        <w:t>98 and CV07</w:t>
      </w:r>
      <w:r w:rsidR="00D725F3">
        <w:rPr>
          <w:rFonts w:cs="Arial"/>
          <w:sz w:val="20"/>
        </w:rPr>
        <w:t xml:space="preserve"> 60% measure</w:t>
      </w:r>
      <w:r w:rsidR="00D725F3">
        <w:rPr>
          <w:rFonts w:cs="Arial"/>
          <w:sz w:val="20"/>
        </w:rPr>
        <w:tab/>
      </w:r>
      <w:r w:rsidR="00E4033C">
        <w:rPr>
          <w:rFonts w:cs="Arial"/>
          <w:sz w:val="20"/>
        </w:rPr>
        <w:t>….</w:t>
      </w:r>
      <w:r>
        <w:rPr>
          <w:rFonts w:cs="Arial"/>
          <w:sz w:val="20"/>
        </w:rPr>
        <w:t>……………………………….</w:t>
      </w:r>
      <w:r>
        <w:rPr>
          <w:rFonts w:cs="Arial"/>
          <w:sz w:val="20"/>
        </w:rPr>
        <w:tab/>
      </w:r>
      <w:r w:rsidR="00C34042">
        <w:rPr>
          <w:rFonts w:cs="Arial"/>
          <w:sz w:val="20"/>
        </w:rPr>
        <w:t>1</w:t>
      </w:r>
      <w:r w:rsidR="005C2E10">
        <w:rPr>
          <w:rFonts w:cs="Arial"/>
          <w:sz w:val="20"/>
        </w:rPr>
        <w:t>3</w:t>
      </w:r>
      <w:r w:rsidR="00895FE4">
        <w:rPr>
          <w:rFonts w:cs="Arial"/>
          <w:sz w:val="20"/>
        </w:rPr>
        <w:t>7</w:t>
      </w:r>
    </w:p>
    <w:p w:rsidR="00002F1C" w:rsidRDefault="00002F1C" w:rsidP="00C87E08">
      <w:pPr>
        <w:tabs>
          <w:tab w:val="left" w:pos="1170"/>
          <w:tab w:val="right" w:pos="8460"/>
          <w:tab w:val="right" w:pos="8910"/>
        </w:tabs>
        <w:spacing w:after="80"/>
        <w:ind w:left="1166" w:hanging="1166"/>
        <w:rPr>
          <w:rFonts w:cs="Arial"/>
          <w:sz w:val="20"/>
        </w:rPr>
      </w:pPr>
      <w:r>
        <w:rPr>
          <w:rFonts w:cs="Arial"/>
          <w:sz w:val="20"/>
        </w:rPr>
        <w:t>Table I</w:t>
      </w:r>
      <w:r w:rsidR="005C2E10">
        <w:rPr>
          <w:rFonts w:cs="Arial"/>
          <w:sz w:val="20"/>
        </w:rPr>
        <w:t>.4</w:t>
      </w:r>
      <w:r>
        <w:rPr>
          <w:rFonts w:cs="Arial"/>
          <w:sz w:val="20"/>
        </w:rPr>
        <w:tab/>
        <w:t>Summary of key findings about sources of income for older New Zealanders</w:t>
      </w:r>
      <w:r>
        <w:rPr>
          <w:rFonts w:cs="Arial"/>
          <w:sz w:val="20"/>
        </w:rPr>
        <w:tab/>
        <w:t>……</w:t>
      </w:r>
      <w:r>
        <w:rPr>
          <w:rFonts w:cs="Arial"/>
          <w:sz w:val="20"/>
        </w:rPr>
        <w:tab/>
      </w:r>
      <w:r w:rsidR="00895FE4">
        <w:rPr>
          <w:rFonts w:cs="Arial"/>
          <w:sz w:val="20"/>
        </w:rPr>
        <w:t>139</w:t>
      </w:r>
    </w:p>
    <w:p w:rsidR="008C166C" w:rsidRDefault="008C166C" w:rsidP="00C87E08">
      <w:pPr>
        <w:tabs>
          <w:tab w:val="left" w:pos="1170"/>
          <w:tab w:val="right" w:pos="8460"/>
          <w:tab w:val="right" w:pos="8910"/>
        </w:tabs>
        <w:spacing w:after="80"/>
        <w:ind w:left="1166" w:hanging="1166"/>
        <w:rPr>
          <w:rFonts w:cs="Arial"/>
          <w:sz w:val="20"/>
        </w:rPr>
      </w:pPr>
      <w:r>
        <w:rPr>
          <w:rFonts w:cs="Arial"/>
          <w:sz w:val="20"/>
        </w:rPr>
        <w:t>Figure I.</w:t>
      </w:r>
      <w:r w:rsidR="00CD0099">
        <w:rPr>
          <w:rFonts w:cs="Arial"/>
          <w:sz w:val="20"/>
        </w:rPr>
        <w:t>6</w:t>
      </w:r>
      <w:r>
        <w:rPr>
          <w:rFonts w:cs="Arial"/>
          <w:sz w:val="20"/>
        </w:rPr>
        <w:tab/>
        <w:t>Proportion of gross income of older New Zealanders (66+) coming from government transfers (almost entirely NZS and VP)</w:t>
      </w:r>
      <w:r>
        <w:rPr>
          <w:rFonts w:cs="Arial"/>
          <w:sz w:val="20"/>
        </w:rPr>
        <w:tab/>
        <w:t>……………………………………………….</w:t>
      </w:r>
      <w:r>
        <w:rPr>
          <w:rFonts w:cs="Arial"/>
          <w:sz w:val="20"/>
        </w:rPr>
        <w:tab/>
        <w:t>1</w:t>
      </w:r>
      <w:r w:rsidR="00895FE4">
        <w:rPr>
          <w:rFonts w:cs="Arial"/>
          <w:sz w:val="20"/>
        </w:rPr>
        <w:t>40</w:t>
      </w:r>
    </w:p>
    <w:p w:rsidR="008C166C" w:rsidRDefault="008C166C" w:rsidP="00C87E08">
      <w:pPr>
        <w:tabs>
          <w:tab w:val="left" w:pos="1170"/>
          <w:tab w:val="right" w:pos="8460"/>
          <w:tab w:val="right" w:pos="8910"/>
        </w:tabs>
        <w:spacing w:after="80"/>
        <w:ind w:left="1166" w:hanging="1166"/>
        <w:rPr>
          <w:rFonts w:cs="Arial"/>
          <w:sz w:val="20"/>
        </w:rPr>
      </w:pPr>
      <w:r>
        <w:rPr>
          <w:rFonts w:cs="Arial"/>
          <w:sz w:val="20"/>
        </w:rPr>
        <w:lastRenderedPageBreak/>
        <w:t>Figure I.</w:t>
      </w:r>
      <w:r w:rsidR="00CD0099">
        <w:rPr>
          <w:rFonts w:cs="Arial"/>
          <w:sz w:val="20"/>
        </w:rPr>
        <w:t>7</w:t>
      </w:r>
      <w:r>
        <w:rPr>
          <w:rFonts w:cs="Arial"/>
          <w:sz w:val="20"/>
        </w:rPr>
        <w:tab/>
        <w:t>Income sources for deciles 1-4, all 66+ EFUs</w:t>
      </w:r>
      <w:r>
        <w:rPr>
          <w:rFonts w:cs="Arial"/>
          <w:sz w:val="20"/>
        </w:rPr>
        <w:tab/>
        <w:t>………………………………………..</w:t>
      </w:r>
      <w:r>
        <w:rPr>
          <w:rFonts w:cs="Arial"/>
          <w:sz w:val="20"/>
        </w:rPr>
        <w:tab/>
        <w:t>1</w:t>
      </w:r>
      <w:r w:rsidR="00895FE4">
        <w:rPr>
          <w:rFonts w:cs="Arial"/>
          <w:sz w:val="20"/>
        </w:rPr>
        <w:t>40</w:t>
      </w:r>
    </w:p>
    <w:p w:rsidR="008C166C" w:rsidRDefault="008C166C" w:rsidP="00C87E08">
      <w:pPr>
        <w:tabs>
          <w:tab w:val="left" w:pos="1170"/>
          <w:tab w:val="right" w:pos="8460"/>
          <w:tab w:val="right" w:pos="8910"/>
        </w:tabs>
        <w:spacing w:after="80"/>
        <w:ind w:left="1166" w:hanging="1166"/>
        <w:rPr>
          <w:rFonts w:cs="Arial"/>
          <w:sz w:val="20"/>
        </w:rPr>
      </w:pPr>
      <w:r>
        <w:rPr>
          <w:rFonts w:cs="Arial"/>
          <w:sz w:val="20"/>
        </w:rPr>
        <w:t>Figure I.</w:t>
      </w:r>
      <w:r w:rsidR="00CD0099">
        <w:rPr>
          <w:rFonts w:cs="Arial"/>
          <w:sz w:val="20"/>
        </w:rPr>
        <w:t>8</w:t>
      </w:r>
      <w:r>
        <w:rPr>
          <w:rFonts w:cs="Arial"/>
          <w:sz w:val="20"/>
        </w:rPr>
        <w:tab/>
        <w:t>Income sources for deciles 5-6, all 66+ EFUs</w:t>
      </w:r>
      <w:r>
        <w:rPr>
          <w:rFonts w:cs="Arial"/>
          <w:sz w:val="20"/>
        </w:rPr>
        <w:tab/>
        <w:t>………………………………………..</w:t>
      </w:r>
      <w:r>
        <w:rPr>
          <w:rFonts w:cs="Arial"/>
          <w:sz w:val="20"/>
        </w:rPr>
        <w:tab/>
        <w:t>1</w:t>
      </w:r>
      <w:r w:rsidR="00895FE4">
        <w:rPr>
          <w:rFonts w:cs="Arial"/>
          <w:sz w:val="20"/>
        </w:rPr>
        <w:t>40</w:t>
      </w:r>
    </w:p>
    <w:p w:rsidR="008C166C" w:rsidRDefault="008C166C" w:rsidP="008C166C">
      <w:pPr>
        <w:tabs>
          <w:tab w:val="left" w:pos="1170"/>
          <w:tab w:val="right" w:pos="8460"/>
          <w:tab w:val="right" w:pos="8910"/>
        </w:tabs>
        <w:spacing w:after="80"/>
        <w:ind w:left="1166" w:hanging="1166"/>
        <w:rPr>
          <w:rFonts w:cs="Arial"/>
          <w:sz w:val="20"/>
        </w:rPr>
      </w:pPr>
      <w:r>
        <w:rPr>
          <w:rFonts w:cs="Arial"/>
          <w:sz w:val="20"/>
        </w:rPr>
        <w:t>Figure I.</w:t>
      </w:r>
      <w:r w:rsidR="00CD0099">
        <w:rPr>
          <w:rFonts w:cs="Arial"/>
          <w:sz w:val="20"/>
        </w:rPr>
        <w:t>9</w:t>
      </w:r>
      <w:r>
        <w:rPr>
          <w:rFonts w:cs="Arial"/>
          <w:sz w:val="20"/>
        </w:rPr>
        <w:tab/>
        <w:t>Proportion of gross income of older New Zealanders (66+) coming from government transfers (almost entirely NZS and VP): one person and couple EFUs compared</w:t>
      </w:r>
      <w:r>
        <w:rPr>
          <w:rFonts w:cs="Arial"/>
          <w:sz w:val="20"/>
        </w:rPr>
        <w:tab/>
        <w:t>...</w:t>
      </w:r>
      <w:r>
        <w:rPr>
          <w:rFonts w:cs="Arial"/>
          <w:sz w:val="20"/>
        </w:rPr>
        <w:tab/>
        <w:t>1</w:t>
      </w:r>
      <w:r w:rsidR="00895FE4">
        <w:rPr>
          <w:rFonts w:cs="Arial"/>
          <w:sz w:val="20"/>
        </w:rPr>
        <w:t>41</w:t>
      </w:r>
    </w:p>
    <w:p w:rsidR="008C166C" w:rsidRDefault="008C166C" w:rsidP="008C166C">
      <w:pPr>
        <w:tabs>
          <w:tab w:val="left" w:pos="1170"/>
          <w:tab w:val="right" w:pos="8460"/>
          <w:tab w:val="right" w:pos="8910"/>
        </w:tabs>
        <w:ind w:left="1166" w:hanging="1166"/>
        <w:rPr>
          <w:rFonts w:cs="Arial"/>
          <w:sz w:val="20"/>
        </w:rPr>
      </w:pPr>
      <w:r>
        <w:rPr>
          <w:rFonts w:cs="Arial"/>
          <w:sz w:val="20"/>
        </w:rPr>
        <w:t>Figure I.</w:t>
      </w:r>
      <w:r w:rsidR="00CD0099">
        <w:rPr>
          <w:rFonts w:cs="Arial"/>
          <w:sz w:val="20"/>
        </w:rPr>
        <w:t>10</w:t>
      </w:r>
      <w:r>
        <w:rPr>
          <w:rFonts w:cs="Arial"/>
          <w:sz w:val="20"/>
        </w:rPr>
        <w:tab/>
        <w:t>Proportion of income from government transfers for couples (aged 66-75) in</w:t>
      </w:r>
    </w:p>
    <w:p w:rsidR="008C166C" w:rsidRDefault="008C166C" w:rsidP="008C166C">
      <w:pPr>
        <w:tabs>
          <w:tab w:val="left" w:pos="1170"/>
          <w:tab w:val="right" w:pos="8460"/>
          <w:tab w:val="right" w:pos="8910"/>
        </w:tabs>
        <w:spacing w:after="80"/>
        <w:ind w:left="1166" w:hanging="1166"/>
        <w:rPr>
          <w:rFonts w:cs="Arial"/>
          <w:sz w:val="20"/>
        </w:rPr>
      </w:pPr>
      <w:r>
        <w:rPr>
          <w:rFonts w:cs="Arial"/>
          <w:sz w:val="20"/>
        </w:rPr>
        <w:tab/>
        <w:t>in deciles 7-9</w:t>
      </w:r>
      <w:r>
        <w:rPr>
          <w:rFonts w:cs="Arial"/>
          <w:sz w:val="20"/>
        </w:rPr>
        <w:tab/>
        <w:t>……………………………………………………………………………</w:t>
      </w:r>
      <w:r>
        <w:rPr>
          <w:rFonts w:cs="Arial"/>
          <w:sz w:val="20"/>
        </w:rPr>
        <w:tab/>
        <w:t>1</w:t>
      </w:r>
      <w:r w:rsidR="00895FE4">
        <w:rPr>
          <w:rFonts w:cs="Arial"/>
          <w:sz w:val="20"/>
        </w:rPr>
        <w:t>41</w:t>
      </w:r>
    </w:p>
    <w:p w:rsidR="008C166C" w:rsidRDefault="008C166C" w:rsidP="008C166C">
      <w:pPr>
        <w:tabs>
          <w:tab w:val="left" w:pos="1170"/>
          <w:tab w:val="right" w:pos="8460"/>
          <w:tab w:val="right" w:pos="8910"/>
        </w:tabs>
        <w:ind w:left="1166" w:hanging="1166"/>
        <w:rPr>
          <w:rFonts w:cs="Arial"/>
          <w:sz w:val="20"/>
        </w:rPr>
      </w:pPr>
      <w:r>
        <w:rPr>
          <w:rFonts w:cs="Arial"/>
          <w:sz w:val="20"/>
        </w:rPr>
        <w:t>Table I.</w:t>
      </w:r>
      <w:r w:rsidR="00CD0099">
        <w:rPr>
          <w:rFonts w:cs="Arial"/>
          <w:sz w:val="20"/>
        </w:rPr>
        <w:t>5</w:t>
      </w:r>
      <w:r>
        <w:rPr>
          <w:rFonts w:cs="Arial"/>
          <w:sz w:val="20"/>
        </w:rPr>
        <w:tab/>
        <w:t xml:space="preserve">Amount received per week by 66+ EFUs from non-government sources </w:t>
      </w:r>
    </w:p>
    <w:p w:rsidR="008C166C" w:rsidRDefault="008C166C" w:rsidP="008C166C">
      <w:pPr>
        <w:tabs>
          <w:tab w:val="left" w:pos="1170"/>
          <w:tab w:val="right" w:pos="8460"/>
          <w:tab w:val="right" w:pos="8910"/>
        </w:tabs>
        <w:spacing w:after="80"/>
        <w:ind w:left="1166" w:hanging="1166"/>
        <w:rPr>
          <w:rFonts w:cs="Arial"/>
          <w:sz w:val="20"/>
        </w:rPr>
      </w:pPr>
      <w:r>
        <w:rPr>
          <w:rFonts w:cs="Arial"/>
          <w:sz w:val="20"/>
        </w:rPr>
        <w:tab/>
        <w:t>by decile, HES 20</w:t>
      </w:r>
      <w:r w:rsidR="00E4033C">
        <w:rPr>
          <w:rFonts w:cs="Arial"/>
          <w:sz w:val="20"/>
        </w:rPr>
        <w:t>10</w:t>
      </w:r>
      <w:r>
        <w:rPr>
          <w:rFonts w:cs="Arial"/>
          <w:sz w:val="20"/>
        </w:rPr>
        <w:tab/>
        <w:t>……………………………………………………………………</w:t>
      </w:r>
      <w:r>
        <w:rPr>
          <w:rFonts w:cs="Arial"/>
          <w:sz w:val="20"/>
        </w:rPr>
        <w:tab/>
        <w:t>1</w:t>
      </w:r>
      <w:r w:rsidR="00895FE4">
        <w:rPr>
          <w:rFonts w:cs="Arial"/>
          <w:sz w:val="20"/>
        </w:rPr>
        <w:t>42</w:t>
      </w:r>
    </w:p>
    <w:p w:rsidR="00B762FC" w:rsidRDefault="00B762FC" w:rsidP="00B762FC">
      <w:pPr>
        <w:tabs>
          <w:tab w:val="left" w:pos="1170"/>
          <w:tab w:val="right" w:pos="8460"/>
          <w:tab w:val="right" w:pos="8910"/>
        </w:tabs>
        <w:ind w:left="1166" w:hanging="1166"/>
        <w:rPr>
          <w:rFonts w:cs="Arial"/>
          <w:sz w:val="20"/>
        </w:rPr>
      </w:pPr>
      <w:r>
        <w:rPr>
          <w:rFonts w:cs="Arial"/>
          <w:sz w:val="20"/>
        </w:rPr>
        <w:t>Figure I.1</w:t>
      </w:r>
      <w:r w:rsidR="00CD0099">
        <w:rPr>
          <w:rFonts w:cs="Arial"/>
          <w:sz w:val="20"/>
        </w:rPr>
        <w:t>1</w:t>
      </w:r>
      <w:r>
        <w:rPr>
          <w:rFonts w:cs="Arial"/>
          <w:sz w:val="20"/>
        </w:rPr>
        <w:tab/>
        <w:t xml:space="preserve">Income from non-government sources for one person and couple EFUs (66+): </w:t>
      </w:r>
    </w:p>
    <w:p w:rsidR="00B762FC" w:rsidRDefault="00B762FC" w:rsidP="00B762FC">
      <w:pPr>
        <w:tabs>
          <w:tab w:val="left" w:pos="1170"/>
          <w:tab w:val="right" w:pos="8460"/>
          <w:tab w:val="right" w:pos="8910"/>
        </w:tabs>
        <w:spacing w:after="80"/>
        <w:ind w:left="1166" w:hanging="1166"/>
        <w:rPr>
          <w:rFonts w:cs="Arial"/>
          <w:sz w:val="20"/>
        </w:rPr>
      </w:pPr>
      <w:r>
        <w:rPr>
          <w:rFonts w:cs="Arial"/>
          <w:sz w:val="20"/>
        </w:rPr>
        <w:tab/>
        <w:t>weekly amounts per person, decile upper boundaries, deciles 1-8, HES 20</w:t>
      </w:r>
      <w:r w:rsidR="00E4033C">
        <w:rPr>
          <w:rFonts w:cs="Arial"/>
          <w:sz w:val="20"/>
        </w:rPr>
        <w:t>10</w:t>
      </w:r>
      <w:r>
        <w:rPr>
          <w:rFonts w:cs="Arial"/>
          <w:sz w:val="20"/>
        </w:rPr>
        <w:tab/>
        <w:t>……</w:t>
      </w:r>
      <w:r>
        <w:rPr>
          <w:rFonts w:cs="Arial"/>
          <w:sz w:val="20"/>
        </w:rPr>
        <w:tab/>
        <w:t>1</w:t>
      </w:r>
      <w:r w:rsidR="00895FE4">
        <w:rPr>
          <w:rFonts w:cs="Arial"/>
          <w:sz w:val="20"/>
        </w:rPr>
        <w:t>42</w:t>
      </w:r>
    </w:p>
    <w:p w:rsidR="00EF3364" w:rsidRDefault="00EF3364" w:rsidP="008D0011">
      <w:pPr>
        <w:tabs>
          <w:tab w:val="left" w:pos="1170"/>
          <w:tab w:val="right" w:pos="8460"/>
          <w:tab w:val="right" w:pos="8910"/>
        </w:tabs>
        <w:rPr>
          <w:rFonts w:cs="Arial"/>
          <w:sz w:val="20"/>
        </w:rPr>
      </w:pPr>
    </w:p>
    <w:p w:rsidR="00EF3364" w:rsidRPr="0097726E" w:rsidRDefault="00E1200C" w:rsidP="007329A6">
      <w:pPr>
        <w:tabs>
          <w:tab w:val="left" w:pos="1170"/>
          <w:tab w:val="left" w:pos="1440"/>
          <w:tab w:val="right" w:pos="9000"/>
        </w:tabs>
        <w:spacing w:after="80"/>
        <w:ind w:left="1440" w:hanging="1440"/>
        <w:rPr>
          <w:rFonts w:cs="Arial"/>
          <w:szCs w:val="22"/>
        </w:rPr>
      </w:pPr>
      <w:r w:rsidRPr="0097726E">
        <w:rPr>
          <w:b/>
          <w:szCs w:val="22"/>
        </w:rPr>
        <w:t xml:space="preserve">Section </w:t>
      </w:r>
      <w:r w:rsidR="008902F4">
        <w:rPr>
          <w:b/>
          <w:szCs w:val="22"/>
        </w:rPr>
        <w:t>J</w:t>
      </w:r>
      <w:r w:rsidRPr="0097726E">
        <w:rPr>
          <w:b/>
          <w:szCs w:val="22"/>
        </w:rPr>
        <w:t xml:space="preserve"> </w:t>
      </w:r>
      <w:r w:rsidRPr="0097726E">
        <w:rPr>
          <w:b/>
          <w:szCs w:val="22"/>
        </w:rPr>
        <w:tab/>
        <w:t>International comparisons</w:t>
      </w:r>
      <w:r w:rsidR="00587084">
        <w:rPr>
          <w:b/>
          <w:szCs w:val="22"/>
        </w:rPr>
        <w:t xml:space="preserve"> for income poverty</w:t>
      </w:r>
      <w:r w:rsidR="00790C69">
        <w:rPr>
          <w:b/>
          <w:szCs w:val="22"/>
        </w:rPr>
        <w:t xml:space="preserve"> and income inequality</w:t>
      </w:r>
    </w:p>
    <w:p w:rsidR="00CD0099" w:rsidRDefault="00CD0099" w:rsidP="007329A6">
      <w:pPr>
        <w:tabs>
          <w:tab w:val="left" w:pos="1170"/>
          <w:tab w:val="right" w:pos="8460"/>
          <w:tab w:val="right" w:pos="8910"/>
        </w:tabs>
        <w:spacing w:after="80"/>
        <w:ind w:left="1166" w:hanging="1166"/>
        <w:rPr>
          <w:rFonts w:cs="Arial"/>
          <w:sz w:val="20"/>
        </w:rPr>
      </w:pPr>
      <w:r>
        <w:rPr>
          <w:rFonts w:cs="Arial"/>
          <w:sz w:val="20"/>
        </w:rPr>
        <w:t>Figure J.1</w:t>
      </w:r>
      <w:r w:rsidR="00E4033C">
        <w:rPr>
          <w:rFonts w:cs="Arial"/>
          <w:sz w:val="20"/>
        </w:rPr>
        <w:tab/>
        <w:t>Weak relationship between income poverty and reported income differences</w:t>
      </w:r>
      <w:r w:rsidR="00E4033C">
        <w:rPr>
          <w:rFonts w:cs="Arial"/>
          <w:sz w:val="20"/>
        </w:rPr>
        <w:tab/>
        <w:t>…….</w:t>
      </w:r>
      <w:r w:rsidR="00E4033C">
        <w:rPr>
          <w:rFonts w:cs="Arial"/>
          <w:sz w:val="20"/>
        </w:rPr>
        <w:tab/>
        <w:t>1</w:t>
      </w:r>
      <w:r w:rsidR="005C2E10">
        <w:rPr>
          <w:rFonts w:cs="Arial"/>
          <w:sz w:val="20"/>
        </w:rPr>
        <w:t>4</w:t>
      </w:r>
      <w:r w:rsidR="00895FE4">
        <w:rPr>
          <w:rFonts w:cs="Arial"/>
          <w:sz w:val="20"/>
        </w:rPr>
        <w:t>4</w:t>
      </w:r>
    </w:p>
    <w:p w:rsidR="00E4033C" w:rsidRDefault="00CD0099" w:rsidP="00E4033C">
      <w:pPr>
        <w:tabs>
          <w:tab w:val="left" w:pos="1170"/>
          <w:tab w:val="right" w:pos="8460"/>
          <w:tab w:val="right" w:pos="8910"/>
        </w:tabs>
        <w:ind w:left="1166" w:hanging="1166"/>
        <w:rPr>
          <w:rFonts w:cs="Arial"/>
          <w:sz w:val="20"/>
        </w:rPr>
      </w:pPr>
      <w:r>
        <w:rPr>
          <w:rFonts w:cs="Arial"/>
          <w:sz w:val="20"/>
        </w:rPr>
        <w:t>Figure J.2</w:t>
      </w:r>
      <w:r w:rsidR="00E4033C">
        <w:rPr>
          <w:rFonts w:cs="Arial"/>
          <w:sz w:val="20"/>
        </w:rPr>
        <w:tab/>
        <w:t>Strong negative relationship between median household income and reported</w:t>
      </w:r>
    </w:p>
    <w:p w:rsidR="00CD0099" w:rsidRDefault="00E4033C" w:rsidP="007329A6">
      <w:pPr>
        <w:tabs>
          <w:tab w:val="left" w:pos="1170"/>
          <w:tab w:val="right" w:pos="8460"/>
          <w:tab w:val="right" w:pos="8910"/>
        </w:tabs>
        <w:spacing w:after="80"/>
        <w:ind w:left="1166" w:hanging="1166"/>
        <w:rPr>
          <w:rFonts w:cs="Arial"/>
          <w:sz w:val="20"/>
        </w:rPr>
      </w:pPr>
      <w:r>
        <w:rPr>
          <w:rFonts w:cs="Arial"/>
          <w:sz w:val="20"/>
        </w:rPr>
        <w:tab/>
        <w:t>income difficulties</w:t>
      </w:r>
      <w:r>
        <w:rPr>
          <w:rFonts w:cs="Arial"/>
          <w:sz w:val="20"/>
        </w:rPr>
        <w:tab/>
        <w:t>……………………………………………………………………….</w:t>
      </w:r>
      <w:r>
        <w:rPr>
          <w:rFonts w:cs="Arial"/>
          <w:sz w:val="20"/>
        </w:rPr>
        <w:tab/>
        <w:t>1</w:t>
      </w:r>
      <w:r w:rsidR="005C2E10">
        <w:rPr>
          <w:rFonts w:cs="Arial"/>
          <w:sz w:val="20"/>
        </w:rPr>
        <w:t>4</w:t>
      </w:r>
      <w:r w:rsidR="00895FE4">
        <w:rPr>
          <w:rFonts w:cs="Arial"/>
          <w:sz w:val="20"/>
        </w:rPr>
        <w:t>4</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262845">
        <w:rPr>
          <w:rFonts w:cs="Arial"/>
          <w:sz w:val="20"/>
        </w:rPr>
        <w:t>J</w:t>
      </w:r>
      <w:r w:rsidRPr="0008073A">
        <w:rPr>
          <w:rFonts w:cs="Arial"/>
          <w:sz w:val="20"/>
        </w:rPr>
        <w:t>.1</w:t>
      </w:r>
      <w:r>
        <w:rPr>
          <w:rFonts w:cs="Arial"/>
          <w:sz w:val="20"/>
        </w:rPr>
        <w:tab/>
      </w:r>
      <w:r w:rsidRPr="0008073A">
        <w:rPr>
          <w:rFonts w:cs="Arial"/>
          <w:sz w:val="20"/>
        </w:rPr>
        <w:t>Populati</w:t>
      </w:r>
      <w:r w:rsidR="006821E9">
        <w:rPr>
          <w:rFonts w:cs="Arial"/>
          <w:sz w:val="20"/>
        </w:rPr>
        <w:t>on poverty rates in the OECD</w:t>
      </w:r>
      <w:r w:rsidRPr="0008073A">
        <w:rPr>
          <w:rFonts w:cs="Arial"/>
          <w:sz w:val="20"/>
        </w:rPr>
        <w:t xml:space="preserve"> c 200</w:t>
      </w:r>
      <w:r w:rsidR="00790C69">
        <w:rPr>
          <w:rFonts w:cs="Arial"/>
          <w:sz w:val="20"/>
        </w:rPr>
        <w:t>4</w:t>
      </w:r>
      <w:r w:rsidRPr="0008073A">
        <w:rPr>
          <w:rFonts w:cs="Arial"/>
          <w:sz w:val="20"/>
        </w:rPr>
        <w:t xml:space="preserve">: </w:t>
      </w:r>
      <w:r>
        <w:rPr>
          <w:rFonts w:cs="Arial"/>
          <w:sz w:val="20"/>
        </w:rPr>
        <w:t xml:space="preserve"> </w:t>
      </w:r>
      <w:r w:rsidRPr="0008073A">
        <w:rPr>
          <w:rFonts w:cs="Arial"/>
          <w:sz w:val="20"/>
        </w:rPr>
        <w:t>50% of median threshold (</w:t>
      </w:r>
      <w:smartTag w:uri="urn:schemas-microsoft-com:office:smarttags" w:element="stockticker">
        <w:r w:rsidRPr="0008073A">
          <w:rPr>
            <w:rFonts w:cs="Arial"/>
            <w:sz w:val="20"/>
          </w:rPr>
          <w:t>BHC</w:t>
        </w:r>
      </w:smartTag>
      <w:r w:rsidRPr="0008073A">
        <w:rPr>
          <w:rFonts w:cs="Arial"/>
          <w:sz w:val="20"/>
        </w:rPr>
        <w:t>)</w:t>
      </w:r>
      <w:r w:rsidR="006821E9">
        <w:rPr>
          <w:rFonts w:cs="Arial"/>
          <w:sz w:val="20"/>
        </w:rPr>
        <w:tab/>
        <w:t>….</w:t>
      </w:r>
      <w:r>
        <w:rPr>
          <w:rFonts w:cs="Arial"/>
          <w:sz w:val="20"/>
        </w:rPr>
        <w:tab/>
      </w:r>
      <w:r w:rsidR="008D0011">
        <w:rPr>
          <w:rFonts w:cs="Arial"/>
          <w:sz w:val="20"/>
        </w:rPr>
        <w:t>1</w:t>
      </w:r>
      <w:r w:rsidR="005C2E10">
        <w:rPr>
          <w:rFonts w:cs="Arial"/>
          <w:sz w:val="20"/>
        </w:rPr>
        <w:t>4</w:t>
      </w:r>
      <w:r w:rsidR="00895FE4">
        <w:rPr>
          <w:rFonts w:cs="Arial"/>
          <w:sz w:val="20"/>
        </w:rPr>
        <w:t>6</w:t>
      </w:r>
    </w:p>
    <w:p w:rsidR="00E4033C" w:rsidRDefault="00EF3364" w:rsidP="00E4033C">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J</w:t>
      </w:r>
      <w:r w:rsidRPr="0008073A">
        <w:rPr>
          <w:rFonts w:cs="Arial"/>
          <w:sz w:val="20"/>
        </w:rPr>
        <w:t>.2</w:t>
      </w:r>
      <w:r>
        <w:rPr>
          <w:rFonts w:cs="Arial"/>
          <w:sz w:val="20"/>
        </w:rPr>
        <w:tab/>
      </w:r>
      <w:r w:rsidRPr="0008073A">
        <w:rPr>
          <w:rFonts w:cs="Arial"/>
          <w:sz w:val="20"/>
        </w:rPr>
        <w:t xml:space="preserve">Population poverty rates in </w:t>
      </w:r>
      <w:r w:rsidR="008D0011">
        <w:rPr>
          <w:rFonts w:cs="Arial"/>
          <w:sz w:val="20"/>
        </w:rPr>
        <w:t>selected</w:t>
      </w:r>
      <w:r w:rsidRPr="0008073A">
        <w:rPr>
          <w:rFonts w:cs="Arial"/>
          <w:sz w:val="20"/>
        </w:rPr>
        <w:t xml:space="preserve"> </w:t>
      </w:r>
      <w:r w:rsidR="008D0011">
        <w:rPr>
          <w:rFonts w:cs="Arial"/>
          <w:sz w:val="20"/>
        </w:rPr>
        <w:t>European countries</w:t>
      </w:r>
      <w:r w:rsidRPr="0008073A">
        <w:rPr>
          <w:rFonts w:cs="Arial"/>
          <w:sz w:val="20"/>
        </w:rPr>
        <w:t xml:space="preserve">, </w:t>
      </w:r>
      <w:smartTag w:uri="urn:schemas-microsoft-com:office:smarttags" w:element="country-region">
        <w:r w:rsidR="008D0011">
          <w:rPr>
            <w:rFonts w:cs="Arial"/>
            <w:sz w:val="20"/>
          </w:rPr>
          <w:t>Canada</w:t>
        </w:r>
      </w:smartTag>
      <w:r w:rsidR="008D0011">
        <w:rPr>
          <w:rFonts w:cs="Arial"/>
          <w:sz w:val="20"/>
        </w:rPr>
        <w:t xml:space="preserve">, the </w:t>
      </w:r>
      <w:smartTag w:uri="urn:schemas-microsoft-com:office:smarttags" w:element="country-region">
        <w:r w:rsidR="008D0011">
          <w:rPr>
            <w:rFonts w:cs="Arial"/>
            <w:sz w:val="20"/>
          </w:rPr>
          <w:t>US</w:t>
        </w:r>
      </w:smartTag>
      <w:r w:rsidR="008D0011">
        <w:rPr>
          <w:rFonts w:cs="Arial"/>
          <w:sz w:val="20"/>
        </w:rPr>
        <w:t xml:space="preserve">, </w:t>
      </w:r>
      <w:smartTag w:uri="urn:schemas-microsoft-com:office:smarttags" w:element="place">
        <w:smartTag w:uri="urn:schemas-microsoft-com:office:smarttags" w:element="country-region">
          <w:r w:rsidR="008D0011">
            <w:rPr>
              <w:rFonts w:cs="Arial"/>
              <w:sz w:val="20"/>
            </w:rPr>
            <w:t>Mexico</w:t>
          </w:r>
        </w:smartTag>
      </w:smartTag>
    </w:p>
    <w:p w:rsidR="00EF3364" w:rsidRPr="0008073A" w:rsidRDefault="00E4033C" w:rsidP="008D0011">
      <w:pPr>
        <w:tabs>
          <w:tab w:val="left" w:pos="1170"/>
          <w:tab w:val="right" w:pos="8460"/>
          <w:tab w:val="right" w:pos="8910"/>
        </w:tabs>
        <w:spacing w:after="80"/>
        <w:ind w:left="1166" w:hanging="1166"/>
        <w:rPr>
          <w:rFonts w:cs="Arial"/>
          <w:sz w:val="20"/>
        </w:rPr>
      </w:pPr>
      <w:r>
        <w:rPr>
          <w:rFonts w:cs="Arial"/>
          <w:sz w:val="20"/>
        </w:rPr>
        <w:tab/>
      </w:r>
      <w:r w:rsidR="00EF3364" w:rsidRPr="0008073A">
        <w:rPr>
          <w:rFonts w:cs="Arial"/>
          <w:sz w:val="20"/>
        </w:rPr>
        <w:t xml:space="preserve">and </w:t>
      </w:r>
      <w:smartTag w:uri="urn:schemas-microsoft-com:office:smarttags" w:element="place">
        <w:smartTag w:uri="urn:schemas-microsoft-com:office:smarttags" w:element="country-region">
          <w:r w:rsidR="00EF3364" w:rsidRPr="0008073A">
            <w:rPr>
              <w:rFonts w:cs="Arial"/>
              <w:sz w:val="20"/>
            </w:rPr>
            <w:t>Australia</w:t>
          </w:r>
        </w:smartTag>
      </w:smartTag>
      <w:r w:rsidR="00EF3364" w:rsidRPr="0008073A">
        <w:rPr>
          <w:rFonts w:cs="Arial"/>
          <w:sz w:val="20"/>
        </w:rPr>
        <w:t xml:space="preserve"> c 200</w:t>
      </w:r>
      <w:r w:rsidR="00800A4E">
        <w:rPr>
          <w:rFonts w:cs="Arial"/>
          <w:sz w:val="20"/>
        </w:rPr>
        <w:t>9</w:t>
      </w:r>
      <w:r w:rsidR="006821E9">
        <w:rPr>
          <w:rFonts w:cs="Arial"/>
          <w:sz w:val="20"/>
        </w:rPr>
        <w:t>:</w:t>
      </w:r>
      <w:r w:rsidR="00EF3364" w:rsidRPr="0008073A">
        <w:rPr>
          <w:rFonts w:cs="Arial"/>
          <w:sz w:val="20"/>
        </w:rPr>
        <w:t xml:space="preserve"> 60% of median threshold (</w:t>
      </w:r>
      <w:smartTag w:uri="urn:schemas-microsoft-com:office:smarttags" w:element="stockticker">
        <w:r w:rsidR="00EF3364" w:rsidRPr="0008073A">
          <w:rPr>
            <w:rFonts w:cs="Arial"/>
            <w:sz w:val="20"/>
          </w:rPr>
          <w:t>BHC</w:t>
        </w:r>
      </w:smartTag>
      <w:r w:rsidR="006821E9">
        <w:rPr>
          <w:rFonts w:cs="Arial"/>
          <w:sz w:val="20"/>
        </w:rPr>
        <w:t>)</w:t>
      </w:r>
      <w:r w:rsidR="006821E9">
        <w:rPr>
          <w:rFonts w:cs="Arial"/>
          <w:sz w:val="20"/>
        </w:rPr>
        <w:tab/>
      </w:r>
      <w:r>
        <w:rPr>
          <w:rFonts w:cs="Arial"/>
          <w:sz w:val="20"/>
        </w:rPr>
        <w:t>….</w:t>
      </w:r>
      <w:r w:rsidR="00EF3364">
        <w:rPr>
          <w:rFonts w:cs="Arial"/>
          <w:sz w:val="20"/>
        </w:rPr>
        <w:t>………………………….</w:t>
      </w:r>
      <w:r w:rsidR="00EF3364">
        <w:rPr>
          <w:rFonts w:cs="Arial"/>
          <w:sz w:val="20"/>
        </w:rPr>
        <w:tab/>
      </w:r>
      <w:r w:rsidR="00C34042">
        <w:rPr>
          <w:rFonts w:cs="Arial"/>
          <w:sz w:val="20"/>
        </w:rPr>
        <w:t>1</w:t>
      </w:r>
      <w:r w:rsidR="005C2E10">
        <w:rPr>
          <w:rFonts w:cs="Arial"/>
          <w:sz w:val="20"/>
        </w:rPr>
        <w:t>4</w:t>
      </w:r>
      <w:r w:rsidR="00895FE4">
        <w:rPr>
          <w:rFonts w:cs="Arial"/>
          <w:sz w:val="20"/>
        </w:rPr>
        <w:t>7</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262845">
        <w:rPr>
          <w:rFonts w:cs="Arial"/>
          <w:sz w:val="20"/>
        </w:rPr>
        <w:t>J</w:t>
      </w:r>
      <w:r w:rsidRPr="0008073A">
        <w:rPr>
          <w:rFonts w:cs="Arial"/>
          <w:sz w:val="20"/>
        </w:rPr>
        <w:t>.3</w:t>
      </w:r>
      <w:r>
        <w:rPr>
          <w:rFonts w:cs="Arial"/>
          <w:sz w:val="20"/>
        </w:rPr>
        <w:tab/>
      </w:r>
      <w:r w:rsidRPr="0008073A">
        <w:rPr>
          <w:rFonts w:cs="Arial"/>
          <w:sz w:val="20"/>
        </w:rPr>
        <w:t xml:space="preserve">Child poverty rates in the OECD (%) </w:t>
      </w:r>
      <w:r w:rsidR="00800A4E">
        <w:rPr>
          <w:rFonts w:cs="Arial"/>
          <w:sz w:val="20"/>
        </w:rPr>
        <w:t>mid to late 2000s</w:t>
      </w:r>
      <w:r w:rsidRPr="0008073A">
        <w:rPr>
          <w:rFonts w:cs="Arial"/>
          <w:sz w:val="20"/>
        </w:rPr>
        <w:t>: 50% of median (</w:t>
      </w:r>
      <w:smartTag w:uri="urn:schemas-microsoft-com:office:smarttags" w:element="stockticker">
        <w:r w:rsidRPr="0008073A">
          <w:rPr>
            <w:rFonts w:cs="Arial"/>
            <w:sz w:val="20"/>
          </w:rPr>
          <w:t>BHC</w:t>
        </w:r>
      </w:smartTag>
      <w:r>
        <w:rPr>
          <w:rFonts w:cs="Arial"/>
          <w:sz w:val="20"/>
        </w:rPr>
        <w:t>)</w:t>
      </w:r>
      <w:r>
        <w:rPr>
          <w:rFonts w:cs="Arial"/>
          <w:sz w:val="20"/>
        </w:rPr>
        <w:tab/>
        <w:t>…..</w:t>
      </w:r>
      <w:r>
        <w:rPr>
          <w:rFonts w:cs="Arial"/>
          <w:sz w:val="20"/>
        </w:rPr>
        <w:tab/>
      </w:r>
      <w:r w:rsidR="006E0CDC">
        <w:rPr>
          <w:rFonts w:cs="Arial"/>
          <w:sz w:val="20"/>
        </w:rPr>
        <w:t>1</w:t>
      </w:r>
      <w:r w:rsidR="005C2E10">
        <w:rPr>
          <w:rFonts w:cs="Arial"/>
          <w:sz w:val="20"/>
        </w:rPr>
        <w:t>4</w:t>
      </w:r>
      <w:r w:rsidR="00895FE4">
        <w:rPr>
          <w:rFonts w:cs="Arial"/>
          <w:sz w:val="20"/>
        </w:rPr>
        <w:t>8</w:t>
      </w:r>
    </w:p>
    <w:p w:rsidR="00EF3364" w:rsidRPr="0008073A" w:rsidRDefault="00EF3364" w:rsidP="007329A6">
      <w:pPr>
        <w:tabs>
          <w:tab w:val="left" w:pos="1170"/>
          <w:tab w:val="right" w:pos="8460"/>
          <w:tab w:val="right" w:pos="8910"/>
        </w:tabs>
        <w:spacing w:after="80"/>
        <w:ind w:left="1166" w:hanging="1166"/>
        <w:rPr>
          <w:rFonts w:cs="Arial"/>
          <w:sz w:val="20"/>
        </w:rPr>
      </w:pPr>
      <w:r w:rsidRPr="0008073A">
        <w:rPr>
          <w:rFonts w:cs="Arial"/>
          <w:sz w:val="20"/>
        </w:rPr>
        <w:t xml:space="preserve">Table </w:t>
      </w:r>
      <w:r w:rsidR="00262845">
        <w:rPr>
          <w:rFonts w:cs="Arial"/>
          <w:sz w:val="20"/>
        </w:rPr>
        <w:t>J.</w:t>
      </w:r>
      <w:r w:rsidRPr="0008073A">
        <w:rPr>
          <w:rFonts w:cs="Arial"/>
          <w:sz w:val="20"/>
        </w:rPr>
        <w:t>4</w:t>
      </w:r>
      <w:r>
        <w:rPr>
          <w:rFonts w:cs="Arial"/>
          <w:sz w:val="20"/>
        </w:rPr>
        <w:tab/>
      </w:r>
      <w:r w:rsidR="008D0011">
        <w:rPr>
          <w:rFonts w:cs="Arial"/>
          <w:sz w:val="20"/>
        </w:rPr>
        <w:t>Child</w:t>
      </w:r>
      <w:r w:rsidR="008D0011" w:rsidRPr="0008073A">
        <w:rPr>
          <w:rFonts w:cs="Arial"/>
          <w:sz w:val="20"/>
        </w:rPr>
        <w:t xml:space="preserve"> poverty rates in </w:t>
      </w:r>
      <w:r w:rsidR="008D0011">
        <w:rPr>
          <w:rFonts w:cs="Arial"/>
          <w:sz w:val="20"/>
        </w:rPr>
        <w:t>selected</w:t>
      </w:r>
      <w:r w:rsidR="008D0011" w:rsidRPr="0008073A">
        <w:rPr>
          <w:rFonts w:cs="Arial"/>
          <w:sz w:val="20"/>
        </w:rPr>
        <w:t xml:space="preserve"> </w:t>
      </w:r>
      <w:r w:rsidR="008D0011">
        <w:rPr>
          <w:rFonts w:cs="Arial"/>
          <w:sz w:val="20"/>
        </w:rPr>
        <w:t>European countries</w:t>
      </w:r>
      <w:r w:rsidR="008D0011" w:rsidRPr="0008073A">
        <w:rPr>
          <w:rFonts w:cs="Arial"/>
          <w:sz w:val="20"/>
        </w:rPr>
        <w:t xml:space="preserve">, </w:t>
      </w:r>
      <w:smartTag w:uri="urn:schemas-microsoft-com:office:smarttags" w:element="country-region">
        <w:r w:rsidR="008D0011">
          <w:rPr>
            <w:rFonts w:cs="Arial"/>
            <w:sz w:val="20"/>
          </w:rPr>
          <w:t>Canada</w:t>
        </w:r>
      </w:smartTag>
      <w:r w:rsidR="008D0011">
        <w:rPr>
          <w:rFonts w:cs="Arial"/>
          <w:sz w:val="20"/>
        </w:rPr>
        <w:t xml:space="preserve">, the </w:t>
      </w:r>
      <w:smartTag w:uri="urn:schemas-microsoft-com:office:smarttags" w:element="country-region">
        <w:r w:rsidR="008D0011">
          <w:rPr>
            <w:rFonts w:cs="Arial"/>
            <w:sz w:val="20"/>
          </w:rPr>
          <w:t>US</w:t>
        </w:r>
      </w:smartTag>
      <w:r w:rsidR="008D0011">
        <w:rPr>
          <w:rFonts w:cs="Arial"/>
          <w:sz w:val="20"/>
        </w:rPr>
        <w:t xml:space="preserve">, </w:t>
      </w:r>
      <w:smartTag w:uri="urn:schemas-microsoft-com:office:smarttags" w:element="country-region">
        <w:r w:rsidR="008D0011">
          <w:rPr>
            <w:rFonts w:cs="Arial"/>
            <w:sz w:val="20"/>
          </w:rPr>
          <w:t>Mexico</w:t>
        </w:r>
      </w:smartTag>
      <w:r w:rsidR="008D0011" w:rsidRPr="0008073A">
        <w:rPr>
          <w:rFonts w:cs="Arial"/>
          <w:sz w:val="20"/>
        </w:rPr>
        <w:t xml:space="preserve"> and </w:t>
      </w:r>
      <w:smartTag w:uri="urn:schemas-microsoft-com:office:smarttags" w:element="place">
        <w:smartTag w:uri="urn:schemas-microsoft-com:office:smarttags" w:element="country-region">
          <w:r w:rsidR="008D0011" w:rsidRPr="0008073A">
            <w:rPr>
              <w:rFonts w:cs="Arial"/>
              <w:sz w:val="20"/>
            </w:rPr>
            <w:t>Australia</w:t>
          </w:r>
        </w:smartTag>
      </w:smartTag>
      <w:r w:rsidR="008D0011" w:rsidRPr="0008073A">
        <w:rPr>
          <w:rFonts w:cs="Arial"/>
          <w:sz w:val="20"/>
        </w:rPr>
        <w:t xml:space="preserve"> c 200</w:t>
      </w:r>
      <w:r w:rsidR="00800A4E">
        <w:rPr>
          <w:rFonts w:cs="Arial"/>
          <w:sz w:val="20"/>
        </w:rPr>
        <w:t>9</w:t>
      </w:r>
      <w:r w:rsidR="008D0011">
        <w:rPr>
          <w:rFonts w:cs="Arial"/>
          <w:sz w:val="20"/>
        </w:rPr>
        <w:t>:</w:t>
      </w:r>
      <w:r w:rsidR="008D0011" w:rsidRPr="0008073A">
        <w:rPr>
          <w:rFonts w:cs="Arial"/>
          <w:sz w:val="20"/>
        </w:rPr>
        <w:t xml:space="preserve"> 60% of median threshold (</w:t>
      </w:r>
      <w:smartTag w:uri="urn:schemas-microsoft-com:office:smarttags" w:element="stockticker">
        <w:r w:rsidR="008D0011" w:rsidRPr="0008073A">
          <w:rPr>
            <w:rFonts w:cs="Arial"/>
            <w:sz w:val="20"/>
          </w:rPr>
          <w:t>BHC</w:t>
        </w:r>
      </w:smartTag>
      <w:r w:rsidR="008D0011">
        <w:rPr>
          <w:rFonts w:cs="Arial"/>
          <w:sz w:val="20"/>
        </w:rPr>
        <w:t>)</w:t>
      </w:r>
      <w:r w:rsidR="008D0011">
        <w:rPr>
          <w:rFonts w:cs="Arial"/>
          <w:sz w:val="20"/>
        </w:rPr>
        <w:tab/>
        <w:t>..………………………………….</w:t>
      </w:r>
      <w:r w:rsidR="008D0011">
        <w:rPr>
          <w:rFonts w:cs="Arial"/>
          <w:sz w:val="20"/>
        </w:rPr>
        <w:tab/>
        <w:t>1</w:t>
      </w:r>
      <w:r w:rsidR="005C2E10">
        <w:rPr>
          <w:rFonts w:cs="Arial"/>
          <w:sz w:val="20"/>
        </w:rPr>
        <w:t>4</w:t>
      </w:r>
      <w:r w:rsidR="00895FE4">
        <w:rPr>
          <w:rFonts w:cs="Arial"/>
          <w:sz w:val="20"/>
        </w:rPr>
        <w:t>9</w:t>
      </w:r>
    </w:p>
    <w:p w:rsidR="00271949" w:rsidRPr="0008073A" w:rsidRDefault="00271949" w:rsidP="00271949">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J.5</w:t>
      </w:r>
      <w:r>
        <w:rPr>
          <w:rFonts w:cs="Arial"/>
          <w:sz w:val="20"/>
        </w:rPr>
        <w:tab/>
        <w:t>International comparisons of the proportion of children living</w:t>
      </w:r>
      <w:r w:rsidR="00184890">
        <w:rPr>
          <w:rFonts w:cs="Arial"/>
          <w:sz w:val="20"/>
        </w:rPr>
        <w:t xml:space="preserve"> in workless </w:t>
      </w:r>
      <w:r w:rsidR="00AC3D9D">
        <w:rPr>
          <w:rFonts w:cs="Arial"/>
          <w:sz w:val="20"/>
        </w:rPr>
        <w:t>HHs</w:t>
      </w:r>
      <w:r w:rsidR="00AC3D9D">
        <w:rPr>
          <w:rFonts w:cs="Arial"/>
          <w:sz w:val="20"/>
        </w:rPr>
        <w:tab/>
        <w:t>……</w:t>
      </w:r>
      <w:r w:rsidR="00184890">
        <w:rPr>
          <w:rFonts w:cs="Arial"/>
          <w:sz w:val="20"/>
        </w:rPr>
        <w:tab/>
      </w:r>
      <w:r>
        <w:rPr>
          <w:rFonts w:cs="Arial"/>
          <w:sz w:val="20"/>
        </w:rPr>
        <w:t>1</w:t>
      </w:r>
      <w:r w:rsidR="00895FE4">
        <w:rPr>
          <w:rFonts w:cs="Arial"/>
          <w:sz w:val="20"/>
        </w:rPr>
        <w:t>50</w:t>
      </w:r>
    </w:p>
    <w:p w:rsidR="00EF3364" w:rsidRPr="0008073A" w:rsidRDefault="00EF3364" w:rsidP="007329A6">
      <w:pPr>
        <w:keepNext/>
        <w:tabs>
          <w:tab w:val="left" w:pos="1170"/>
          <w:tab w:val="right" w:pos="8460"/>
          <w:tab w:val="right" w:pos="8910"/>
        </w:tabs>
        <w:spacing w:after="80"/>
        <w:ind w:left="1166" w:hanging="1166"/>
        <w:outlineLvl w:val="2"/>
        <w:rPr>
          <w:rFonts w:cs="Arial"/>
          <w:sz w:val="20"/>
        </w:rPr>
      </w:pPr>
      <w:r w:rsidRPr="0008073A">
        <w:rPr>
          <w:rFonts w:cs="Arial"/>
          <w:sz w:val="20"/>
        </w:rPr>
        <w:t xml:space="preserve">Table </w:t>
      </w:r>
      <w:r w:rsidR="00262845">
        <w:rPr>
          <w:rFonts w:cs="Arial"/>
          <w:sz w:val="20"/>
        </w:rPr>
        <w:t>J</w:t>
      </w:r>
      <w:r>
        <w:rPr>
          <w:rFonts w:cs="Arial"/>
          <w:sz w:val="20"/>
        </w:rPr>
        <w:t>.</w:t>
      </w:r>
      <w:r w:rsidR="00184890">
        <w:rPr>
          <w:rFonts w:cs="Arial"/>
          <w:sz w:val="20"/>
        </w:rPr>
        <w:t>6</w:t>
      </w:r>
      <w:r>
        <w:rPr>
          <w:rFonts w:cs="Arial"/>
          <w:sz w:val="20"/>
        </w:rPr>
        <w:tab/>
      </w:r>
      <w:r w:rsidRPr="0008073A">
        <w:rPr>
          <w:rFonts w:cs="Arial"/>
          <w:sz w:val="20"/>
        </w:rPr>
        <w:t>65+ poverty rates in the OECD (%)</w:t>
      </w:r>
      <w:r w:rsidR="0047610D">
        <w:rPr>
          <w:rFonts w:cs="Arial"/>
          <w:sz w:val="20"/>
        </w:rPr>
        <w:t xml:space="preserve"> </w:t>
      </w:r>
      <w:r w:rsidR="00800A4E">
        <w:rPr>
          <w:rFonts w:cs="Arial"/>
          <w:sz w:val="20"/>
        </w:rPr>
        <w:t>mid to late 2000s</w:t>
      </w:r>
      <w:r w:rsidRPr="0008073A">
        <w:rPr>
          <w:rFonts w:cs="Arial"/>
          <w:sz w:val="20"/>
        </w:rPr>
        <w:t>: 50% of median (</w:t>
      </w:r>
      <w:smartTag w:uri="urn:schemas-microsoft-com:office:smarttags" w:element="stockticker">
        <w:r w:rsidRPr="0008073A">
          <w:rPr>
            <w:rFonts w:cs="Arial"/>
            <w:sz w:val="20"/>
          </w:rPr>
          <w:t>BHC</w:t>
        </w:r>
      </w:smartTag>
      <w:r w:rsidRPr="0008073A">
        <w:rPr>
          <w:rFonts w:cs="Arial"/>
          <w:sz w:val="20"/>
        </w:rPr>
        <w:t>)</w:t>
      </w:r>
      <w:r>
        <w:rPr>
          <w:rFonts w:cs="Arial"/>
          <w:sz w:val="20"/>
        </w:rPr>
        <w:tab/>
        <w:t>……</w:t>
      </w:r>
      <w:r>
        <w:rPr>
          <w:rFonts w:cs="Arial"/>
          <w:sz w:val="20"/>
        </w:rPr>
        <w:tab/>
      </w:r>
      <w:r w:rsidR="00C34042">
        <w:rPr>
          <w:rFonts w:cs="Arial"/>
          <w:sz w:val="20"/>
        </w:rPr>
        <w:t>1</w:t>
      </w:r>
      <w:r w:rsidR="00895FE4">
        <w:rPr>
          <w:rFonts w:cs="Arial"/>
          <w:sz w:val="20"/>
        </w:rPr>
        <w:t>51</w:t>
      </w:r>
    </w:p>
    <w:p w:rsidR="00184890" w:rsidRDefault="00EF3364" w:rsidP="007329A6">
      <w:pPr>
        <w:tabs>
          <w:tab w:val="left" w:pos="1170"/>
          <w:tab w:val="right" w:pos="8460"/>
          <w:tab w:val="right" w:pos="8910"/>
        </w:tabs>
        <w:ind w:left="1166" w:hanging="1166"/>
        <w:rPr>
          <w:rFonts w:cs="Arial"/>
          <w:sz w:val="20"/>
        </w:rPr>
      </w:pPr>
      <w:r w:rsidRPr="0008073A">
        <w:rPr>
          <w:rFonts w:cs="Arial"/>
          <w:sz w:val="20"/>
        </w:rPr>
        <w:t xml:space="preserve">Table </w:t>
      </w:r>
      <w:r w:rsidR="00262845">
        <w:rPr>
          <w:rFonts w:cs="Arial"/>
          <w:sz w:val="20"/>
        </w:rPr>
        <w:t>J</w:t>
      </w:r>
      <w:r w:rsidRPr="0008073A">
        <w:rPr>
          <w:rFonts w:cs="Arial"/>
          <w:sz w:val="20"/>
        </w:rPr>
        <w:t>.</w:t>
      </w:r>
      <w:r w:rsidR="00184890">
        <w:rPr>
          <w:rFonts w:cs="Arial"/>
          <w:sz w:val="20"/>
        </w:rPr>
        <w:t>7</w:t>
      </w:r>
      <w:r>
        <w:rPr>
          <w:rFonts w:cs="Arial"/>
          <w:sz w:val="20"/>
        </w:rPr>
        <w:tab/>
      </w:r>
      <w:r w:rsidRPr="0008073A">
        <w:rPr>
          <w:rFonts w:cs="Arial"/>
          <w:sz w:val="20"/>
        </w:rPr>
        <w:t xml:space="preserve">65+ poverty rates in the </w:t>
      </w:r>
      <w:r w:rsidR="00184890">
        <w:rPr>
          <w:rFonts w:cs="Arial"/>
          <w:sz w:val="20"/>
        </w:rPr>
        <w:t xml:space="preserve">selected </w:t>
      </w:r>
      <w:r w:rsidRPr="0008073A">
        <w:rPr>
          <w:rFonts w:cs="Arial"/>
          <w:sz w:val="20"/>
        </w:rPr>
        <w:t>EU</w:t>
      </w:r>
      <w:r w:rsidR="00184890">
        <w:rPr>
          <w:rFonts w:cs="Arial"/>
          <w:sz w:val="20"/>
        </w:rPr>
        <w:t xml:space="preserve"> countries</w:t>
      </w:r>
      <w:r w:rsidRPr="0008073A">
        <w:rPr>
          <w:rFonts w:cs="Arial"/>
          <w:sz w:val="20"/>
        </w:rPr>
        <w:t xml:space="preserve"> and </w:t>
      </w:r>
      <w:smartTag w:uri="urn:schemas-microsoft-com:office:smarttags" w:element="place">
        <w:smartTag w:uri="urn:schemas-microsoft-com:office:smarttags" w:element="country-region">
          <w:r w:rsidRPr="0008073A">
            <w:rPr>
              <w:rFonts w:cs="Arial"/>
              <w:sz w:val="20"/>
            </w:rPr>
            <w:t>New Zealand</w:t>
          </w:r>
        </w:smartTag>
      </w:smartTag>
      <w:r w:rsidRPr="0008073A">
        <w:rPr>
          <w:rFonts w:cs="Arial"/>
          <w:sz w:val="20"/>
        </w:rPr>
        <w:t xml:space="preserve"> (%)</w:t>
      </w:r>
      <w:r>
        <w:rPr>
          <w:rFonts w:cs="Arial"/>
          <w:sz w:val="20"/>
        </w:rPr>
        <w:t xml:space="preserve"> c 200</w:t>
      </w:r>
      <w:r w:rsidR="00800A4E">
        <w:rPr>
          <w:rFonts w:cs="Arial"/>
          <w:sz w:val="20"/>
        </w:rPr>
        <w:t>8</w:t>
      </w:r>
      <w:r>
        <w:rPr>
          <w:rFonts w:cs="Arial"/>
          <w:sz w:val="20"/>
        </w:rPr>
        <w:t xml:space="preserve">: </w:t>
      </w:r>
    </w:p>
    <w:p w:rsidR="00EF3364" w:rsidRDefault="00184890" w:rsidP="00184890">
      <w:pPr>
        <w:tabs>
          <w:tab w:val="left" w:pos="1170"/>
          <w:tab w:val="right" w:pos="8460"/>
          <w:tab w:val="right" w:pos="8910"/>
        </w:tabs>
        <w:spacing w:after="80"/>
        <w:ind w:left="1166" w:hanging="1166"/>
        <w:rPr>
          <w:rFonts w:cs="Arial"/>
          <w:sz w:val="20"/>
        </w:rPr>
      </w:pPr>
      <w:r>
        <w:rPr>
          <w:rFonts w:cs="Arial"/>
          <w:sz w:val="20"/>
        </w:rPr>
        <w:tab/>
      </w:r>
      <w:r w:rsidR="00EF3364">
        <w:rPr>
          <w:rFonts w:cs="Arial"/>
          <w:sz w:val="20"/>
        </w:rPr>
        <w:t>60% of median</w:t>
      </w:r>
      <w:r>
        <w:rPr>
          <w:rFonts w:cs="Arial"/>
          <w:sz w:val="20"/>
        </w:rPr>
        <w:t xml:space="preserve"> </w:t>
      </w:r>
      <w:r w:rsidR="00EF3364">
        <w:rPr>
          <w:rFonts w:cs="Arial"/>
          <w:sz w:val="20"/>
        </w:rPr>
        <w:t xml:space="preserve">threshold </w:t>
      </w:r>
      <w:r w:rsidR="00EF3364" w:rsidRPr="0008073A">
        <w:rPr>
          <w:rFonts w:cs="Arial"/>
          <w:sz w:val="20"/>
        </w:rPr>
        <w:t>(</w:t>
      </w:r>
      <w:smartTag w:uri="urn:schemas-microsoft-com:office:smarttags" w:element="stockticker">
        <w:r w:rsidR="00EF3364" w:rsidRPr="0008073A">
          <w:rPr>
            <w:rFonts w:cs="Arial"/>
            <w:sz w:val="20"/>
          </w:rPr>
          <w:t>BHC</w:t>
        </w:r>
      </w:smartTag>
      <w:r w:rsidR="00EF3364">
        <w:rPr>
          <w:rFonts w:cs="Arial"/>
          <w:sz w:val="20"/>
        </w:rPr>
        <w:t>)</w:t>
      </w:r>
      <w:r w:rsidR="00EF3364">
        <w:rPr>
          <w:rFonts w:cs="Arial"/>
          <w:sz w:val="20"/>
        </w:rPr>
        <w:tab/>
      </w:r>
      <w:r>
        <w:rPr>
          <w:rFonts w:cs="Arial"/>
          <w:sz w:val="20"/>
        </w:rPr>
        <w:t>……………..</w:t>
      </w:r>
      <w:r w:rsidR="00EF3364">
        <w:rPr>
          <w:rFonts w:cs="Arial"/>
          <w:sz w:val="20"/>
        </w:rPr>
        <w:t>………………………………………..</w:t>
      </w:r>
      <w:r w:rsidR="00EF3364">
        <w:rPr>
          <w:rFonts w:cs="Arial"/>
          <w:sz w:val="20"/>
        </w:rPr>
        <w:tab/>
      </w:r>
      <w:r w:rsidR="00C34042">
        <w:rPr>
          <w:rFonts w:cs="Arial"/>
          <w:sz w:val="20"/>
        </w:rPr>
        <w:t>1</w:t>
      </w:r>
      <w:r w:rsidR="00895FE4">
        <w:rPr>
          <w:rFonts w:cs="Arial"/>
          <w:sz w:val="20"/>
        </w:rPr>
        <w:t>52</w:t>
      </w:r>
    </w:p>
    <w:p w:rsidR="00800A4E" w:rsidRDefault="00AE6242" w:rsidP="00C74DEE">
      <w:pPr>
        <w:tabs>
          <w:tab w:val="left" w:pos="1170"/>
          <w:tab w:val="right" w:pos="8460"/>
          <w:tab w:val="right" w:pos="8910"/>
        </w:tabs>
        <w:spacing w:after="80"/>
        <w:ind w:left="1166" w:hanging="1166"/>
        <w:rPr>
          <w:rFonts w:cs="Arial"/>
          <w:sz w:val="20"/>
        </w:rPr>
      </w:pPr>
      <w:r>
        <w:rPr>
          <w:rFonts w:cs="Arial"/>
          <w:sz w:val="20"/>
        </w:rPr>
        <w:t>Figure J.3</w:t>
      </w:r>
      <w:r>
        <w:rPr>
          <w:rFonts w:cs="Arial"/>
          <w:sz w:val="20"/>
        </w:rPr>
        <w:tab/>
        <w:t>Deprivation rates using 9-</w:t>
      </w:r>
      <w:r w:rsidR="00800A4E">
        <w:rPr>
          <w:rFonts w:cs="Arial"/>
          <w:sz w:val="20"/>
        </w:rPr>
        <w:t>item EU index for those aged 65+</w:t>
      </w:r>
      <w:r w:rsidR="00800A4E">
        <w:rPr>
          <w:rFonts w:cs="Arial"/>
          <w:sz w:val="20"/>
        </w:rPr>
        <w:tab/>
        <w:t>……………………….</w:t>
      </w:r>
      <w:r w:rsidR="00800A4E">
        <w:rPr>
          <w:rFonts w:cs="Arial"/>
          <w:sz w:val="20"/>
        </w:rPr>
        <w:tab/>
      </w:r>
      <w:r>
        <w:rPr>
          <w:rFonts w:cs="Arial"/>
          <w:sz w:val="20"/>
        </w:rPr>
        <w:t>1</w:t>
      </w:r>
      <w:r w:rsidR="00895FE4">
        <w:rPr>
          <w:rFonts w:cs="Arial"/>
          <w:sz w:val="20"/>
        </w:rPr>
        <w:t>53</w:t>
      </w:r>
    </w:p>
    <w:p w:rsidR="005C2E10" w:rsidRDefault="005C2E10" w:rsidP="005C2E10">
      <w:pPr>
        <w:tabs>
          <w:tab w:val="left" w:pos="1170"/>
          <w:tab w:val="right" w:pos="8460"/>
          <w:tab w:val="right" w:pos="8910"/>
        </w:tabs>
        <w:spacing w:after="80"/>
        <w:ind w:left="1166" w:hanging="1166"/>
        <w:rPr>
          <w:rFonts w:cs="Arial"/>
          <w:sz w:val="20"/>
        </w:rPr>
      </w:pPr>
      <w:r>
        <w:rPr>
          <w:rFonts w:cs="Arial"/>
          <w:sz w:val="20"/>
        </w:rPr>
        <w:t>Table J.8</w:t>
      </w:r>
      <w:r>
        <w:rPr>
          <w:rFonts w:cs="Arial"/>
          <w:sz w:val="20"/>
        </w:rPr>
        <w:tab/>
        <w:t>Deprivation rates using 9-item EU index for those aged 65+</w:t>
      </w:r>
      <w:r>
        <w:rPr>
          <w:rFonts w:cs="Arial"/>
          <w:sz w:val="20"/>
        </w:rPr>
        <w:tab/>
        <w:t>……………………….</w:t>
      </w:r>
      <w:r>
        <w:rPr>
          <w:rFonts w:cs="Arial"/>
          <w:sz w:val="20"/>
        </w:rPr>
        <w:tab/>
        <w:t>1</w:t>
      </w:r>
      <w:r w:rsidR="00895FE4">
        <w:rPr>
          <w:rFonts w:cs="Arial"/>
          <w:sz w:val="20"/>
        </w:rPr>
        <w:t>53</w:t>
      </w:r>
    </w:p>
    <w:p w:rsidR="00C74DEE" w:rsidRPr="0008073A" w:rsidRDefault="00C74DEE" w:rsidP="00C74DEE">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J</w:t>
      </w:r>
      <w:r w:rsidRPr="0008073A">
        <w:rPr>
          <w:rFonts w:cs="Arial"/>
          <w:sz w:val="20"/>
        </w:rPr>
        <w:t>.</w:t>
      </w:r>
      <w:r w:rsidR="00CD0099">
        <w:rPr>
          <w:rFonts w:cs="Arial"/>
          <w:sz w:val="20"/>
        </w:rPr>
        <w:t>4</w:t>
      </w:r>
      <w:r>
        <w:rPr>
          <w:rFonts w:cs="Arial"/>
          <w:sz w:val="20"/>
        </w:rPr>
        <w:tab/>
      </w:r>
      <w:r w:rsidRPr="0008073A">
        <w:rPr>
          <w:rFonts w:cs="Arial"/>
          <w:sz w:val="20"/>
        </w:rPr>
        <w:t>Income inequality across the OECD: Gini</w:t>
      </w:r>
      <w:r w:rsidR="00AE6242">
        <w:rPr>
          <w:rFonts w:cs="Arial"/>
          <w:sz w:val="20"/>
        </w:rPr>
        <w:t>s</w:t>
      </w:r>
      <w:r w:rsidRPr="0008073A">
        <w:rPr>
          <w:rFonts w:cs="Arial"/>
          <w:sz w:val="20"/>
        </w:rPr>
        <w:t xml:space="preserve"> for</w:t>
      </w:r>
      <w:r w:rsidR="00AE6242">
        <w:rPr>
          <w:rFonts w:cs="Arial"/>
          <w:sz w:val="20"/>
        </w:rPr>
        <w:t xml:space="preserve"> whole population,</w:t>
      </w:r>
      <w:r w:rsidRPr="0008073A">
        <w:rPr>
          <w:rFonts w:cs="Arial"/>
          <w:sz w:val="20"/>
        </w:rPr>
        <w:t xml:space="preserve"> </w:t>
      </w:r>
      <w:r w:rsidR="00AE6242">
        <w:rPr>
          <w:rFonts w:cs="Arial"/>
          <w:sz w:val="20"/>
        </w:rPr>
        <w:t>c</w:t>
      </w:r>
      <w:r w:rsidRPr="0008073A">
        <w:rPr>
          <w:rFonts w:cs="Arial"/>
          <w:sz w:val="20"/>
        </w:rPr>
        <w:t xml:space="preserve"> </w:t>
      </w:r>
      <w:r w:rsidR="00AE6242">
        <w:rPr>
          <w:rFonts w:cs="Arial"/>
          <w:sz w:val="20"/>
        </w:rPr>
        <w:t>2008-09</w:t>
      </w:r>
      <w:r>
        <w:rPr>
          <w:rFonts w:cs="Arial"/>
          <w:sz w:val="20"/>
        </w:rPr>
        <w:tab/>
        <w:t>………….</w:t>
      </w:r>
      <w:r>
        <w:rPr>
          <w:rFonts w:cs="Arial"/>
          <w:sz w:val="20"/>
        </w:rPr>
        <w:tab/>
      </w:r>
      <w:r w:rsidR="00C34042">
        <w:rPr>
          <w:rFonts w:cs="Arial"/>
          <w:sz w:val="20"/>
        </w:rPr>
        <w:t>1</w:t>
      </w:r>
      <w:r w:rsidR="005C2E10">
        <w:rPr>
          <w:rFonts w:cs="Arial"/>
          <w:sz w:val="20"/>
        </w:rPr>
        <w:t>5</w:t>
      </w:r>
      <w:r w:rsidR="00895FE4">
        <w:rPr>
          <w:rFonts w:cs="Arial"/>
          <w:sz w:val="20"/>
        </w:rPr>
        <w:t>4</w:t>
      </w:r>
    </w:p>
    <w:p w:rsidR="00C74DEE" w:rsidRDefault="00C74DEE" w:rsidP="006B53CF">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J</w:t>
      </w:r>
      <w:r w:rsidRPr="0008073A">
        <w:rPr>
          <w:rFonts w:cs="Arial"/>
          <w:sz w:val="20"/>
        </w:rPr>
        <w:t>.</w:t>
      </w:r>
      <w:r w:rsidR="00CD0099">
        <w:rPr>
          <w:rFonts w:cs="Arial"/>
          <w:sz w:val="20"/>
        </w:rPr>
        <w:t>5</w:t>
      </w:r>
      <w:r>
        <w:rPr>
          <w:rFonts w:cs="Arial"/>
          <w:sz w:val="20"/>
        </w:rPr>
        <w:tab/>
      </w:r>
      <w:r w:rsidRPr="0008073A">
        <w:rPr>
          <w:rFonts w:cs="Arial"/>
          <w:sz w:val="20"/>
        </w:rPr>
        <w:t xml:space="preserve">Gini coefficient changes, mid-1980s to </w:t>
      </w:r>
      <w:r w:rsidR="00790C69">
        <w:rPr>
          <w:rFonts w:cs="Arial"/>
          <w:sz w:val="20"/>
        </w:rPr>
        <w:t xml:space="preserve">c </w:t>
      </w:r>
      <w:r w:rsidRPr="0008073A">
        <w:rPr>
          <w:rFonts w:cs="Arial"/>
          <w:sz w:val="20"/>
        </w:rPr>
        <w:t>200</w:t>
      </w:r>
      <w:r w:rsidR="00790C69">
        <w:rPr>
          <w:rFonts w:cs="Arial"/>
          <w:sz w:val="20"/>
        </w:rPr>
        <w:t>4</w:t>
      </w:r>
      <w:r w:rsidRPr="0008073A">
        <w:rPr>
          <w:rFonts w:cs="Arial"/>
          <w:sz w:val="20"/>
        </w:rPr>
        <w:t>:  2</w:t>
      </w:r>
      <w:r w:rsidR="00790C69">
        <w:rPr>
          <w:rFonts w:cs="Arial"/>
          <w:sz w:val="20"/>
        </w:rPr>
        <w:t>4</w:t>
      </w:r>
      <w:r w:rsidRPr="0008073A">
        <w:rPr>
          <w:rFonts w:cs="Arial"/>
          <w:sz w:val="20"/>
        </w:rPr>
        <w:t xml:space="preserve"> OECD nations</w:t>
      </w:r>
      <w:r>
        <w:rPr>
          <w:rFonts w:cs="Arial"/>
          <w:sz w:val="20"/>
        </w:rPr>
        <w:tab/>
        <w:t>………………….</w:t>
      </w:r>
      <w:r>
        <w:rPr>
          <w:rFonts w:cs="Arial"/>
          <w:sz w:val="20"/>
        </w:rPr>
        <w:tab/>
      </w:r>
      <w:r w:rsidR="005C2E10">
        <w:rPr>
          <w:rFonts w:cs="Arial"/>
          <w:sz w:val="20"/>
        </w:rPr>
        <w:t>15</w:t>
      </w:r>
      <w:r w:rsidR="00895FE4">
        <w:rPr>
          <w:rFonts w:cs="Arial"/>
          <w:sz w:val="20"/>
        </w:rPr>
        <w:t>5</w:t>
      </w:r>
    </w:p>
    <w:p w:rsidR="006B53CF" w:rsidRDefault="006B53CF" w:rsidP="005A3AEC">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J</w:t>
      </w:r>
      <w:r w:rsidRPr="0008073A">
        <w:rPr>
          <w:rFonts w:cs="Arial"/>
          <w:sz w:val="20"/>
        </w:rPr>
        <w:t>.</w:t>
      </w:r>
      <w:r w:rsidR="00CD0099">
        <w:rPr>
          <w:rFonts w:cs="Arial"/>
          <w:sz w:val="20"/>
        </w:rPr>
        <w:t>6</w:t>
      </w:r>
      <w:r>
        <w:rPr>
          <w:rFonts w:cs="Arial"/>
          <w:sz w:val="20"/>
        </w:rPr>
        <w:tab/>
      </w:r>
      <w:r w:rsidRPr="0008073A">
        <w:rPr>
          <w:rFonts w:cs="Arial"/>
          <w:sz w:val="20"/>
        </w:rPr>
        <w:t>Gini coefficient changes, mid-19</w:t>
      </w:r>
      <w:r>
        <w:rPr>
          <w:rFonts w:cs="Arial"/>
          <w:sz w:val="20"/>
        </w:rPr>
        <w:t>9</w:t>
      </w:r>
      <w:r w:rsidRPr="0008073A">
        <w:rPr>
          <w:rFonts w:cs="Arial"/>
          <w:sz w:val="20"/>
        </w:rPr>
        <w:t xml:space="preserve">0s to </w:t>
      </w:r>
      <w:r>
        <w:rPr>
          <w:rFonts w:cs="Arial"/>
          <w:sz w:val="20"/>
        </w:rPr>
        <w:t xml:space="preserve">c </w:t>
      </w:r>
      <w:r w:rsidRPr="0008073A">
        <w:rPr>
          <w:rFonts w:cs="Arial"/>
          <w:sz w:val="20"/>
        </w:rPr>
        <w:t>200</w:t>
      </w:r>
      <w:r>
        <w:rPr>
          <w:rFonts w:cs="Arial"/>
          <w:sz w:val="20"/>
        </w:rPr>
        <w:t>4</w:t>
      </w:r>
      <w:r w:rsidRPr="0008073A">
        <w:rPr>
          <w:rFonts w:cs="Arial"/>
          <w:sz w:val="20"/>
        </w:rPr>
        <w:t>:  2</w:t>
      </w:r>
      <w:r>
        <w:rPr>
          <w:rFonts w:cs="Arial"/>
          <w:sz w:val="20"/>
        </w:rPr>
        <w:t>5</w:t>
      </w:r>
      <w:r w:rsidRPr="0008073A">
        <w:rPr>
          <w:rFonts w:cs="Arial"/>
          <w:sz w:val="20"/>
        </w:rPr>
        <w:t xml:space="preserve"> OECD nations</w:t>
      </w:r>
      <w:r>
        <w:rPr>
          <w:rFonts w:cs="Arial"/>
          <w:sz w:val="20"/>
        </w:rPr>
        <w:tab/>
        <w:t>………………….</w:t>
      </w:r>
      <w:r>
        <w:rPr>
          <w:rFonts w:cs="Arial"/>
          <w:sz w:val="20"/>
        </w:rPr>
        <w:tab/>
      </w:r>
      <w:r w:rsidR="00C34042">
        <w:rPr>
          <w:rFonts w:cs="Arial"/>
          <w:sz w:val="20"/>
        </w:rPr>
        <w:t>1</w:t>
      </w:r>
      <w:r w:rsidR="005C2E10">
        <w:rPr>
          <w:rFonts w:cs="Arial"/>
          <w:sz w:val="20"/>
        </w:rPr>
        <w:t>5</w:t>
      </w:r>
      <w:r w:rsidR="00895FE4">
        <w:rPr>
          <w:rFonts w:cs="Arial"/>
          <w:sz w:val="20"/>
        </w:rPr>
        <w:t>5</w:t>
      </w:r>
    </w:p>
    <w:p w:rsidR="00AE6242" w:rsidRPr="0008073A" w:rsidRDefault="00AE6242" w:rsidP="00AE6242">
      <w:pPr>
        <w:tabs>
          <w:tab w:val="left" w:pos="1170"/>
          <w:tab w:val="right" w:pos="8460"/>
          <w:tab w:val="right" w:pos="8910"/>
        </w:tabs>
        <w:spacing w:after="80"/>
        <w:ind w:left="1166" w:hanging="1166"/>
        <w:rPr>
          <w:rFonts w:cs="Arial"/>
          <w:sz w:val="20"/>
        </w:rPr>
      </w:pPr>
      <w:r w:rsidRPr="0008073A">
        <w:rPr>
          <w:rFonts w:cs="Arial"/>
          <w:sz w:val="20"/>
        </w:rPr>
        <w:t xml:space="preserve">Figure </w:t>
      </w:r>
      <w:r>
        <w:rPr>
          <w:rFonts w:cs="Arial"/>
          <w:sz w:val="20"/>
        </w:rPr>
        <w:t>J</w:t>
      </w:r>
      <w:r w:rsidRPr="0008073A">
        <w:rPr>
          <w:rFonts w:cs="Arial"/>
          <w:sz w:val="20"/>
        </w:rPr>
        <w:t>.</w:t>
      </w:r>
      <w:r>
        <w:rPr>
          <w:rFonts w:cs="Arial"/>
          <w:sz w:val="20"/>
        </w:rPr>
        <w:t>7</w:t>
      </w:r>
      <w:r>
        <w:rPr>
          <w:rFonts w:cs="Arial"/>
          <w:sz w:val="20"/>
        </w:rPr>
        <w:tab/>
      </w:r>
      <w:r w:rsidRPr="0008073A">
        <w:rPr>
          <w:rFonts w:cs="Arial"/>
          <w:sz w:val="20"/>
        </w:rPr>
        <w:t>Income inequality across the OECD: Gini</w:t>
      </w:r>
      <w:r>
        <w:rPr>
          <w:rFonts w:cs="Arial"/>
          <w:sz w:val="20"/>
        </w:rPr>
        <w:t>s</w:t>
      </w:r>
      <w:r w:rsidRPr="0008073A">
        <w:rPr>
          <w:rFonts w:cs="Arial"/>
          <w:sz w:val="20"/>
        </w:rPr>
        <w:t xml:space="preserve"> for</w:t>
      </w:r>
      <w:r>
        <w:rPr>
          <w:rFonts w:cs="Arial"/>
          <w:sz w:val="20"/>
        </w:rPr>
        <w:t xml:space="preserve"> working aged,</w:t>
      </w:r>
      <w:r w:rsidRPr="0008073A">
        <w:rPr>
          <w:rFonts w:cs="Arial"/>
          <w:sz w:val="20"/>
        </w:rPr>
        <w:t xml:space="preserve"> </w:t>
      </w:r>
      <w:r>
        <w:rPr>
          <w:rFonts w:cs="Arial"/>
          <w:sz w:val="20"/>
        </w:rPr>
        <w:t>c</w:t>
      </w:r>
      <w:r w:rsidRPr="0008073A">
        <w:rPr>
          <w:rFonts w:cs="Arial"/>
          <w:sz w:val="20"/>
        </w:rPr>
        <w:t xml:space="preserve"> </w:t>
      </w:r>
      <w:r>
        <w:rPr>
          <w:rFonts w:cs="Arial"/>
          <w:sz w:val="20"/>
        </w:rPr>
        <w:t>2008-09</w:t>
      </w:r>
      <w:r>
        <w:rPr>
          <w:rFonts w:cs="Arial"/>
          <w:sz w:val="20"/>
        </w:rPr>
        <w:tab/>
        <w:t>………….</w:t>
      </w:r>
      <w:r>
        <w:rPr>
          <w:rFonts w:cs="Arial"/>
          <w:sz w:val="20"/>
        </w:rPr>
        <w:tab/>
        <w:t>1</w:t>
      </w:r>
      <w:r w:rsidR="005C2E10">
        <w:rPr>
          <w:rFonts w:cs="Arial"/>
          <w:sz w:val="20"/>
        </w:rPr>
        <w:t>5</w:t>
      </w:r>
      <w:r w:rsidR="00895FE4">
        <w:rPr>
          <w:rFonts w:cs="Arial"/>
          <w:sz w:val="20"/>
        </w:rPr>
        <w:t>6</w:t>
      </w:r>
    </w:p>
    <w:p w:rsidR="005A3AEC" w:rsidRDefault="005A3AEC" w:rsidP="006E0CDC">
      <w:pPr>
        <w:tabs>
          <w:tab w:val="left" w:pos="1170"/>
          <w:tab w:val="right" w:pos="8460"/>
          <w:tab w:val="right" w:pos="8910"/>
        </w:tabs>
        <w:spacing w:after="80"/>
        <w:ind w:left="1166" w:hanging="1166"/>
        <w:rPr>
          <w:rFonts w:cs="Arial"/>
          <w:sz w:val="20"/>
        </w:rPr>
      </w:pPr>
      <w:r>
        <w:rPr>
          <w:rFonts w:cs="Arial"/>
          <w:sz w:val="20"/>
        </w:rPr>
        <w:t>Figure J.</w:t>
      </w:r>
      <w:r w:rsidR="00FC151A">
        <w:rPr>
          <w:rFonts w:cs="Arial"/>
          <w:sz w:val="20"/>
        </w:rPr>
        <w:t>8</w:t>
      </w:r>
      <w:r>
        <w:rPr>
          <w:rFonts w:cs="Arial"/>
          <w:sz w:val="20"/>
        </w:rPr>
        <w:tab/>
        <w:t>The Gini coefficient and the 90:10 percentile ratio rank OECD countries in much the same order: linear regression for 30 countries,c 2004</w:t>
      </w:r>
      <w:r>
        <w:rPr>
          <w:rFonts w:cs="Arial"/>
          <w:sz w:val="20"/>
        </w:rPr>
        <w:tab/>
        <w:t>………………………………..</w:t>
      </w:r>
      <w:r>
        <w:rPr>
          <w:rFonts w:cs="Arial"/>
          <w:sz w:val="20"/>
        </w:rPr>
        <w:tab/>
        <w:t>1</w:t>
      </w:r>
      <w:r w:rsidR="005C2E10">
        <w:rPr>
          <w:rFonts w:cs="Arial"/>
          <w:sz w:val="20"/>
        </w:rPr>
        <w:t>5</w:t>
      </w:r>
      <w:r w:rsidR="00895FE4">
        <w:rPr>
          <w:rFonts w:cs="Arial"/>
          <w:sz w:val="20"/>
        </w:rPr>
        <w:t>7</w:t>
      </w:r>
    </w:p>
    <w:p w:rsidR="006E0CDC" w:rsidRDefault="006E0CDC" w:rsidP="006E0CDC">
      <w:pPr>
        <w:tabs>
          <w:tab w:val="left" w:pos="1170"/>
          <w:tab w:val="right" w:pos="8460"/>
          <w:tab w:val="right" w:pos="8910"/>
        </w:tabs>
        <w:spacing w:after="80"/>
        <w:ind w:left="1166" w:hanging="1166"/>
        <w:rPr>
          <w:rFonts w:cs="Arial"/>
          <w:sz w:val="20"/>
        </w:rPr>
      </w:pPr>
      <w:r w:rsidRPr="0008073A">
        <w:rPr>
          <w:rFonts w:cs="Arial"/>
          <w:sz w:val="20"/>
        </w:rPr>
        <w:t xml:space="preserve">Table </w:t>
      </w:r>
      <w:r>
        <w:rPr>
          <w:rFonts w:cs="Arial"/>
          <w:sz w:val="20"/>
        </w:rPr>
        <w:t>J</w:t>
      </w:r>
      <w:r w:rsidRPr="0008073A">
        <w:rPr>
          <w:rFonts w:cs="Arial"/>
          <w:sz w:val="20"/>
        </w:rPr>
        <w:t>.</w:t>
      </w:r>
      <w:r w:rsidR="00CD0099">
        <w:rPr>
          <w:rFonts w:cs="Arial"/>
          <w:sz w:val="20"/>
        </w:rPr>
        <w:t>9</w:t>
      </w:r>
      <w:r>
        <w:rPr>
          <w:rFonts w:cs="Arial"/>
          <w:sz w:val="20"/>
        </w:rPr>
        <w:tab/>
        <w:t xml:space="preserve">Income inequality: </w:t>
      </w:r>
      <w:smartTag w:uri="urn:schemas-microsoft-com:office:smarttags" w:element="country-region">
        <w:r>
          <w:rPr>
            <w:rFonts w:cs="Arial"/>
            <w:sz w:val="20"/>
          </w:rPr>
          <w:t>New Zealand</w:t>
        </w:r>
      </w:smartTag>
      <w:r>
        <w:rPr>
          <w:rFonts w:cs="Arial"/>
          <w:sz w:val="20"/>
        </w:rPr>
        <w:t xml:space="preserve"> and </w:t>
      </w:r>
      <w:smartTag w:uri="urn:schemas-microsoft-com:office:smarttags" w:element="place">
        <w:smartTag w:uri="urn:schemas-microsoft-com:office:smarttags" w:element="country-region">
          <w:r>
            <w:rPr>
              <w:rFonts w:cs="Arial"/>
              <w:sz w:val="20"/>
            </w:rPr>
            <w:t>Australia</w:t>
          </w:r>
        </w:smartTag>
      </w:smartTag>
      <w:r>
        <w:rPr>
          <w:rFonts w:cs="Arial"/>
          <w:sz w:val="20"/>
        </w:rPr>
        <w:t xml:space="preserve"> compared</w:t>
      </w:r>
      <w:r>
        <w:rPr>
          <w:rFonts w:cs="Arial"/>
          <w:sz w:val="20"/>
        </w:rPr>
        <w:tab/>
        <w:t>………………………….</w:t>
      </w:r>
      <w:r>
        <w:rPr>
          <w:rFonts w:cs="Arial"/>
          <w:sz w:val="20"/>
        </w:rPr>
        <w:tab/>
        <w:t>1</w:t>
      </w:r>
      <w:r w:rsidR="005C2E10">
        <w:rPr>
          <w:rFonts w:cs="Arial"/>
          <w:sz w:val="20"/>
        </w:rPr>
        <w:t>5</w:t>
      </w:r>
      <w:r w:rsidR="00895FE4">
        <w:rPr>
          <w:rFonts w:cs="Arial"/>
          <w:sz w:val="20"/>
        </w:rPr>
        <w:t>7</w:t>
      </w:r>
    </w:p>
    <w:p w:rsidR="005C2E10" w:rsidRDefault="00CD0099" w:rsidP="005C2E10">
      <w:pPr>
        <w:tabs>
          <w:tab w:val="left" w:pos="1170"/>
          <w:tab w:val="right" w:pos="8460"/>
          <w:tab w:val="right" w:pos="8910"/>
        </w:tabs>
        <w:ind w:left="1168" w:hanging="1168"/>
        <w:rPr>
          <w:rFonts w:cs="Arial"/>
          <w:sz w:val="20"/>
        </w:rPr>
      </w:pPr>
      <w:r>
        <w:rPr>
          <w:rFonts w:cs="Arial"/>
          <w:sz w:val="20"/>
        </w:rPr>
        <w:t>Table J.10</w:t>
      </w:r>
      <w:r w:rsidR="00AE6242">
        <w:rPr>
          <w:rFonts w:cs="Arial"/>
          <w:sz w:val="20"/>
        </w:rPr>
        <w:tab/>
        <w:t>Wealth inequalities: shares of total wealth held by top wealth decile and</w:t>
      </w:r>
    </w:p>
    <w:p w:rsidR="00CD0099" w:rsidRPr="0008073A" w:rsidRDefault="005C2E10" w:rsidP="006E0CDC">
      <w:pPr>
        <w:tabs>
          <w:tab w:val="left" w:pos="1170"/>
          <w:tab w:val="right" w:pos="8460"/>
          <w:tab w:val="right" w:pos="8910"/>
        </w:tabs>
        <w:spacing w:after="80"/>
        <w:ind w:left="1166" w:hanging="1166"/>
        <w:rPr>
          <w:rFonts w:cs="Arial"/>
          <w:sz w:val="20"/>
        </w:rPr>
      </w:pPr>
      <w:r>
        <w:rPr>
          <w:rFonts w:cs="Arial"/>
          <w:sz w:val="20"/>
        </w:rPr>
        <w:tab/>
      </w:r>
      <w:r w:rsidR="00AE6242">
        <w:rPr>
          <w:rFonts w:cs="Arial"/>
          <w:sz w:val="20"/>
        </w:rPr>
        <w:t>wealth Ginis</w:t>
      </w:r>
      <w:r>
        <w:rPr>
          <w:rFonts w:cs="Arial"/>
          <w:sz w:val="20"/>
        </w:rPr>
        <w:tab/>
      </w:r>
      <w:r w:rsidR="00A1515F">
        <w:rPr>
          <w:rFonts w:cs="Arial"/>
          <w:sz w:val="20"/>
        </w:rPr>
        <w:t>..</w:t>
      </w:r>
      <w:r>
        <w:rPr>
          <w:rFonts w:cs="Arial"/>
          <w:sz w:val="20"/>
        </w:rPr>
        <w:t>…………………………………………………………………………….</w:t>
      </w:r>
      <w:r w:rsidR="00AE6242">
        <w:rPr>
          <w:rFonts w:cs="Arial"/>
          <w:sz w:val="20"/>
        </w:rPr>
        <w:tab/>
        <w:t>1</w:t>
      </w:r>
      <w:r>
        <w:rPr>
          <w:rFonts w:cs="Arial"/>
          <w:sz w:val="20"/>
        </w:rPr>
        <w:t>5</w:t>
      </w:r>
      <w:r w:rsidR="00895FE4">
        <w:rPr>
          <w:rFonts w:cs="Arial"/>
          <w:sz w:val="20"/>
        </w:rPr>
        <w:t>8</w:t>
      </w:r>
    </w:p>
    <w:p w:rsidR="00EF3364" w:rsidRDefault="00EF3364" w:rsidP="00D3318B">
      <w:pPr>
        <w:tabs>
          <w:tab w:val="left" w:pos="1170"/>
          <w:tab w:val="right" w:pos="8460"/>
          <w:tab w:val="right" w:pos="8910"/>
        </w:tabs>
        <w:rPr>
          <w:rFonts w:cs="Arial"/>
          <w:sz w:val="20"/>
        </w:rPr>
      </w:pPr>
    </w:p>
    <w:p w:rsidR="00EF3364" w:rsidRPr="0097726E" w:rsidRDefault="00E1200C" w:rsidP="007329A6">
      <w:pPr>
        <w:tabs>
          <w:tab w:val="left" w:pos="1170"/>
          <w:tab w:val="left" w:pos="1440"/>
          <w:tab w:val="right" w:pos="9000"/>
        </w:tabs>
        <w:spacing w:after="80"/>
        <w:ind w:left="1440" w:hanging="1440"/>
        <w:rPr>
          <w:rFonts w:cs="Arial"/>
          <w:szCs w:val="22"/>
        </w:rPr>
      </w:pPr>
      <w:r w:rsidRPr="0097726E">
        <w:rPr>
          <w:b/>
          <w:szCs w:val="22"/>
        </w:rPr>
        <w:t xml:space="preserve">Section </w:t>
      </w:r>
      <w:r w:rsidR="008902F4">
        <w:rPr>
          <w:b/>
          <w:szCs w:val="22"/>
        </w:rPr>
        <w:t>K</w:t>
      </w:r>
      <w:r w:rsidRPr="0097726E">
        <w:rPr>
          <w:b/>
          <w:szCs w:val="22"/>
        </w:rPr>
        <w:t xml:space="preserve"> </w:t>
      </w:r>
      <w:r w:rsidRPr="0097726E">
        <w:rPr>
          <w:b/>
          <w:szCs w:val="22"/>
        </w:rPr>
        <w:tab/>
      </w:r>
      <w:r w:rsidR="00882DAC">
        <w:rPr>
          <w:b/>
          <w:szCs w:val="22"/>
        </w:rPr>
        <w:t>Using non-monetary indicators to assess material hardship</w:t>
      </w:r>
    </w:p>
    <w:p w:rsidR="008543FB" w:rsidRDefault="00882DAC" w:rsidP="00A81CEC">
      <w:pPr>
        <w:tabs>
          <w:tab w:val="left" w:pos="1170"/>
          <w:tab w:val="right" w:pos="8460"/>
          <w:tab w:val="right" w:pos="8910"/>
        </w:tabs>
        <w:spacing w:after="80"/>
        <w:ind w:left="1168" w:hanging="1168"/>
        <w:rPr>
          <w:sz w:val="20"/>
          <w:lang w:val="en-NZ"/>
        </w:rPr>
      </w:pPr>
      <w:r w:rsidRPr="00A81CEC">
        <w:rPr>
          <w:rFonts w:cs="Arial"/>
          <w:sz w:val="20"/>
        </w:rPr>
        <w:t>Figure</w:t>
      </w:r>
      <w:r w:rsidR="00EF3364" w:rsidRPr="00A81CEC">
        <w:rPr>
          <w:rFonts w:cs="Arial"/>
          <w:sz w:val="20"/>
        </w:rPr>
        <w:t xml:space="preserve"> </w:t>
      </w:r>
      <w:r w:rsidR="00262845" w:rsidRPr="00A81CEC">
        <w:rPr>
          <w:rFonts w:cs="Arial"/>
          <w:sz w:val="20"/>
        </w:rPr>
        <w:t>K</w:t>
      </w:r>
      <w:r w:rsidR="00EF3364" w:rsidRPr="00A81CEC">
        <w:rPr>
          <w:rFonts w:cs="Arial"/>
          <w:sz w:val="20"/>
        </w:rPr>
        <w:t>.1</w:t>
      </w:r>
      <w:r w:rsidR="00EF3364" w:rsidRPr="00A81CEC">
        <w:rPr>
          <w:rFonts w:cs="Arial"/>
          <w:sz w:val="20"/>
        </w:rPr>
        <w:tab/>
      </w:r>
      <w:r w:rsidR="00A81CEC" w:rsidRPr="00A81CEC">
        <w:rPr>
          <w:rFonts w:cs="Arial"/>
          <w:sz w:val="20"/>
        </w:rPr>
        <w:t>Calibration of ELSI</w:t>
      </w:r>
      <w:r w:rsidR="00A81CEC" w:rsidRPr="00A81CEC">
        <w:rPr>
          <w:rFonts w:cs="Arial"/>
          <w:sz w:val="20"/>
        </w:rPr>
        <w:tab/>
      </w:r>
      <w:r w:rsidRPr="00A81CEC">
        <w:rPr>
          <w:rFonts w:cs="Arial"/>
          <w:sz w:val="20"/>
        </w:rPr>
        <w:t>……………………………………………………………………….</w:t>
      </w:r>
      <w:r w:rsidR="00AE6242" w:rsidRPr="00A81CEC">
        <w:rPr>
          <w:rFonts w:cs="Arial"/>
          <w:sz w:val="20"/>
        </w:rPr>
        <w:tab/>
      </w:r>
      <w:r w:rsidRPr="00A81CEC">
        <w:rPr>
          <w:rFonts w:cs="Arial"/>
          <w:sz w:val="20"/>
        </w:rPr>
        <w:t>1</w:t>
      </w:r>
      <w:r w:rsidR="00A81CEC">
        <w:rPr>
          <w:rFonts w:cs="Arial"/>
          <w:sz w:val="20"/>
        </w:rPr>
        <w:t>6</w:t>
      </w:r>
      <w:r w:rsidR="00D278AF">
        <w:rPr>
          <w:rFonts w:cs="Arial"/>
          <w:sz w:val="20"/>
        </w:rPr>
        <w:t>0</w:t>
      </w:r>
      <w:r w:rsidR="00246A9F" w:rsidRPr="00A81CEC">
        <w:rPr>
          <w:sz w:val="20"/>
          <w:lang w:val="en-NZ"/>
        </w:rPr>
        <w:t xml:space="preserve"> </w:t>
      </w:r>
    </w:p>
    <w:p w:rsidR="00B1566C" w:rsidRPr="00A81CEC" w:rsidRDefault="00B1566C" w:rsidP="00A81CEC">
      <w:pPr>
        <w:tabs>
          <w:tab w:val="left" w:pos="1170"/>
          <w:tab w:val="right" w:pos="8460"/>
          <w:tab w:val="right" w:pos="8910"/>
        </w:tabs>
        <w:spacing w:after="80"/>
        <w:ind w:left="1168" w:hanging="1168"/>
        <w:rPr>
          <w:sz w:val="20"/>
          <w:lang w:val="en-NZ"/>
        </w:rPr>
      </w:pPr>
      <w:r>
        <w:rPr>
          <w:sz w:val="20"/>
          <w:lang w:val="en-NZ"/>
        </w:rPr>
        <w:t>Table K.1</w:t>
      </w:r>
      <w:r>
        <w:rPr>
          <w:sz w:val="20"/>
          <w:lang w:val="en-NZ"/>
        </w:rPr>
        <w:tab/>
        <w:t>Essentials used in the calibration exercise</w:t>
      </w:r>
      <w:r>
        <w:rPr>
          <w:sz w:val="20"/>
          <w:lang w:val="en-NZ"/>
        </w:rPr>
        <w:tab/>
        <w:t>…..……………………………………..</w:t>
      </w:r>
      <w:r>
        <w:rPr>
          <w:sz w:val="20"/>
          <w:lang w:val="en-NZ"/>
        </w:rPr>
        <w:tab/>
        <w:t>16</w:t>
      </w:r>
      <w:r w:rsidR="00D278AF">
        <w:rPr>
          <w:sz w:val="20"/>
          <w:lang w:val="en-NZ"/>
        </w:rPr>
        <w:t>1</w:t>
      </w:r>
    </w:p>
    <w:p w:rsidR="00A81CEC" w:rsidRDefault="00A81CEC" w:rsidP="00A81CEC">
      <w:pPr>
        <w:tabs>
          <w:tab w:val="left" w:pos="1170"/>
          <w:tab w:val="right" w:pos="8460"/>
          <w:tab w:val="right" w:pos="8910"/>
        </w:tabs>
        <w:spacing w:after="80"/>
        <w:ind w:left="1168" w:hanging="1168"/>
        <w:rPr>
          <w:sz w:val="20"/>
          <w:lang w:val="en-NZ"/>
        </w:rPr>
      </w:pPr>
      <w:r w:rsidRPr="00A81CEC">
        <w:rPr>
          <w:sz w:val="20"/>
          <w:lang w:val="en-NZ"/>
        </w:rPr>
        <w:t>Table K.</w:t>
      </w:r>
      <w:r w:rsidR="00B1566C">
        <w:rPr>
          <w:sz w:val="20"/>
          <w:lang w:val="en-NZ"/>
        </w:rPr>
        <w:t>2</w:t>
      </w:r>
      <w:r w:rsidRPr="00A81CEC">
        <w:rPr>
          <w:sz w:val="20"/>
          <w:lang w:val="en-NZ"/>
        </w:rPr>
        <w:tab/>
        <w:t>Composition of indices used in this report</w:t>
      </w:r>
      <w:r>
        <w:rPr>
          <w:sz w:val="20"/>
          <w:lang w:val="en-NZ"/>
        </w:rPr>
        <w:tab/>
        <w:t>……………………………………………</w:t>
      </w:r>
      <w:r>
        <w:rPr>
          <w:sz w:val="20"/>
          <w:lang w:val="en-NZ"/>
        </w:rPr>
        <w:tab/>
        <w:t>162</w:t>
      </w:r>
    </w:p>
    <w:p w:rsidR="00882DAC" w:rsidRDefault="00882DAC" w:rsidP="00E23F25">
      <w:pPr>
        <w:rPr>
          <w:lang w:val="en-NZ"/>
        </w:rPr>
      </w:pPr>
    </w:p>
    <w:p w:rsidR="00882DAC" w:rsidRPr="0097726E" w:rsidRDefault="00882DAC" w:rsidP="00882DAC">
      <w:pPr>
        <w:tabs>
          <w:tab w:val="left" w:pos="1170"/>
          <w:tab w:val="left" w:pos="1440"/>
          <w:tab w:val="right" w:pos="9000"/>
        </w:tabs>
        <w:spacing w:after="80"/>
        <w:ind w:left="1440" w:hanging="1440"/>
        <w:rPr>
          <w:rFonts w:cs="Arial"/>
          <w:szCs w:val="22"/>
        </w:rPr>
      </w:pPr>
      <w:r w:rsidRPr="0097726E">
        <w:rPr>
          <w:b/>
          <w:szCs w:val="22"/>
        </w:rPr>
        <w:t xml:space="preserve">Section </w:t>
      </w:r>
      <w:r>
        <w:rPr>
          <w:b/>
          <w:szCs w:val="22"/>
        </w:rPr>
        <w:t>K</w:t>
      </w:r>
      <w:r w:rsidRPr="0097726E">
        <w:rPr>
          <w:b/>
          <w:szCs w:val="22"/>
        </w:rPr>
        <w:t xml:space="preserve"> </w:t>
      </w:r>
      <w:r w:rsidRPr="0097726E">
        <w:rPr>
          <w:b/>
          <w:szCs w:val="22"/>
        </w:rPr>
        <w:tab/>
      </w:r>
      <w:r>
        <w:rPr>
          <w:b/>
          <w:szCs w:val="22"/>
        </w:rPr>
        <w:t>Income mobility and low-income persistence</w:t>
      </w:r>
    </w:p>
    <w:p w:rsidR="00882DAC" w:rsidRDefault="00882DAC" w:rsidP="00882DAC">
      <w:pPr>
        <w:tabs>
          <w:tab w:val="left" w:pos="1170"/>
          <w:tab w:val="right" w:pos="8460"/>
          <w:tab w:val="right" w:pos="8910"/>
        </w:tabs>
        <w:ind w:left="1170" w:hanging="1170"/>
        <w:rPr>
          <w:lang w:val="en-NZ"/>
        </w:rPr>
      </w:pPr>
      <w:r>
        <w:rPr>
          <w:rFonts w:cs="Arial"/>
          <w:sz w:val="20"/>
        </w:rPr>
        <w:t>Table</w:t>
      </w:r>
      <w:r w:rsidRPr="0008073A">
        <w:rPr>
          <w:rFonts w:cs="Arial"/>
          <w:sz w:val="20"/>
        </w:rPr>
        <w:t xml:space="preserve"> </w:t>
      </w:r>
      <w:r>
        <w:rPr>
          <w:rFonts w:cs="Arial"/>
          <w:sz w:val="20"/>
        </w:rPr>
        <w:t>L</w:t>
      </w:r>
      <w:r w:rsidRPr="0008073A">
        <w:rPr>
          <w:rFonts w:cs="Arial"/>
          <w:sz w:val="20"/>
        </w:rPr>
        <w:t>.</w:t>
      </w:r>
      <w:r>
        <w:rPr>
          <w:rFonts w:cs="Arial"/>
          <w:sz w:val="20"/>
        </w:rPr>
        <w:t>1</w:t>
      </w:r>
      <w:r>
        <w:rPr>
          <w:rFonts w:cs="Arial"/>
          <w:sz w:val="20"/>
        </w:rPr>
        <w:tab/>
      </w:r>
      <w:r w:rsidR="00A81CEC">
        <w:rPr>
          <w:rFonts w:cs="Arial"/>
          <w:sz w:val="20"/>
        </w:rPr>
        <w:t>Income quintile transition probabilities</w:t>
      </w:r>
      <w:r w:rsidR="00A81CEC">
        <w:rPr>
          <w:rFonts w:cs="Arial"/>
          <w:sz w:val="20"/>
        </w:rPr>
        <w:tab/>
        <w:t>..</w:t>
      </w:r>
      <w:r>
        <w:rPr>
          <w:rFonts w:cs="Arial"/>
          <w:sz w:val="20"/>
        </w:rPr>
        <w:t>…………………………………………….</w:t>
      </w:r>
      <w:r>
        <w:rPr>
          <w:rFonts w:cs="Arial"/>
          <w:sz w:val="20"/>
        </w:rPr>
        <w:tab/>
        <w:t>1</w:t>
      </w:r>
      <w:r w:rsidR="00A81CEC">
        <w:rPr>
          <w:rFonts w:cs="Arial"/>
          <w:sz w:val="20"/>
        </w:rPr>
        <w:t>73</w:t>
      </w:r>
      <w:r>
        <w:rPr>
          <w:lang w:val="en-NZ"/>
        </w:rPr>
        <w:t xml:space="preserve"> </w:t>
      </w:r>
    </w:p>
    <w:p w:rsidR="00E23F25" w:rsidRDefault="00E23F25" w:rsidP="00E23F25">
      <w:pPr>
        <w:rPr>
          <w:b/>
          <w:sz w:val="28"/>
          <w:szCs w:val="28"/>
        </w:rPr>
      </w:pPr>
      <w:r>
        <w:rPr>
          <w:lang w:val="en-NZ"/>
        </w:rPr>
        <w:br w:type="page"/>
      </w:r>
      <w:r w:rsidRPr="00197E87">
        <w:rPr>
          <w:b/>
          <w:sz w:val="24"/>
          <w:szCs w:val="24"/>
        </w:rPr>
        <w:lastRenderedPageBreak/>
        <w:t>Abbreviations</w:t>
      </w:r>
    </w:p>
    <w:p w:rsidR="00E23F25" w:rsidRPr="00E34155" w:rsidRDefault="00E23F25" w:rsidP="00E23F25">
      <w:pPr>
        <w:rPr>
          <w:szCs w:val="22"/>
        </w:rPr>
      </w:pPr>
    </w:p>
    <w:p w:rsidR="00E23F25" w:rsidRPr="00197E87" w:rsidRDefault="00E23F25" w:rsidP="006F7C01">
      <w:pPr>
        <w:spacing w:after="60"/>
        <w:ind w:left="1973" w:hanging="1525"/>
        <w:rPr>
          <w:sz w:val="20"/>
        </w:rPr>
      </w:pPr>
      <w:smartTag w:uri="urn:schemas-microsoft-com:office:smarttags" w:element="stockticker">
        <w:r w:rsidRPr="00197E87">
          <w:rPr>
            <w:sz w:val="20"/>
          </w:rPr>
          <w:t>AHC</w:t>
        </w:r>
      </w:smartTag>
      <w:r w:rsidRPr="00197E87">
        <w:rPr>
          <w:sz w:val="20"/>
        </w:rPr>
        <w:tab/>
        <w:t>After (deducting) housing costs</w:t>
      </w:r>
    </w:p>
    <w:p w:rsidR="00E23F25" w:rsidRDefault="00E23F25" w:rsidP="006F7C01">
      <w:pPr>
        <w:spacing w:after="60"/>
        <w:ind w:left="1973" w:hanging="1525"/>
        <w:rPr>
          <w:sz w:val="20"/>
        </w:rPr>
      </w:pPr>
      <w:r>
        <w:rPr>
          <w:sz w:val="20"/>
        </w:rPr>
        <w:t>AS</w:t>
      </w:r>
      <w:r>
        <w:rPr>
          <w:sz w:val="20"/>
        </w:rPr>
        <w:tab/>
        <w:t>Accommodation Supplement</w:t>
      </w:r>
    </w:p>
    <w:p w:rsidR="00E23F25" w:rsidRPr="00197E87" w:rsidRDefault="00E23F25" w:rsidP="006F7C01">
      <w:pPr>
        <w:spacing w:after="60"/>
        <w:ind w:left="1973" w:hanging="1525"/>
        <w:rPr>
          <w:sz w:val="20"/>
        </w:rPr>
      </w:pPr>
      <w:smartTag w:uri="urn:schemas-microsoft-com:office:smarttags" w:element="stockticker">
        <w:r w:rsidRPr="00197E87">
          <w:rPr>
            <w:sz w:val="20"/>
          </w:rPr>
          <w:t>BDL</w:t>
        </w:r>
      </w:smartTag>
      <w:r>
        <w:rPr>
          <w:sz w:val="20"/>
        </w:rPr>
        <w:tab/>
        <w:t>Benefit Datum Line</w:t>
      </w:r>
    </w:p>
    <w:p w:rsidR="00E23F25" w:rsidRPr="00F844B8" w:rsidRDefault="00E23F25" w:rsidP="006F7C01">
      <w:pPr>
        <w:spacing w:after="60"/>
        <w:ind w:left="1973" w:hanging="1525"/>
        <w:rPr>
          <w:sz w:val="20"/>
        </w:rPr>
      </w:pPr>
      <w:smartTag w:uri="urn:schemas-microsoft-com:office:smarttags" w:element="stockticker">
        <w:r w:rsidRPr="00197E87">
          <w:rPr>
            <w:sz w:val="20"/>
          </w:rPr>
          <w:t>BHC</w:t>
        </w:r>
      </w:smartTag>
      <w:r w:rsidRPr="00197E87">
        <w:rPr>
          <w:sz w:val="20"/>
        </w:rPr>
        <w:tab/>
        <w:t>Before (deducting) housing costs</w:t>
      </w:r>
    </w:p>
    <w:p w:rsidR="00E23F25" w:rsidRPr="001A4A00" w:rsidRDefault="00E23F25" w:rsidP="006F7C01">
      <w:pPr>
        <w:spacing w:after="60"/>
        <w:ind w:left="1973" w:hanging="1525"/>
        <w:rPr>
          <w:sz w:val="20"/>
          <w:lang w:val="en-US"/>
        </w:rPr>
      </w:pPr>
      <w:r w:rsidRPr="001A4A00">
        <w:rPr>
          <w:sz w:val="20"/>
          <w:lang w:val="en-US"/>
        </w:rPr>
        <w:t>CV</w:t>
      </w:r>
      <w:r w:rsidRPr="001A4A00">
        <w:rPr>
          <w:sz w:val="20"/>
          <w:lang w:val="en-US"/>
        </w:rPr>
        <w:tab/>
        <w:t>Constant value (</w:t>
      </w:r>
      <w:r>
        <w:rPr>
          <w:sz w:val="20"/>
          <w:lang w:val="en-US"/>
        </w:rPr>
        <w:t xml:space="preserve">referring to </w:t>
      </w:r>
      <w:r w:rsidRPr="001A4A00">
        <w:rPr>
          <w:sz w:val="20"/>
          <w:lang w:val="en-US"/>
        </w:rPr>
        <w:t>low-income thresholds or ‘poverty lines’</w:t>
      </w:r>
      <w:r>
        <w:rPr>
          <w:sz w:val="20"/>
          <w:lang w:val="en-US"/>
        </w:rPr>
        <w:t xml:space="preserve"> kept constant in real terms) = ‘fixed lines’</w:t>
      </w:r>
    </w:p>
    <w:p w:rsidR="00E23F25" w:rsidRDefault="00E23F25" w:rsidP="006F7C01">
      <w:pPr>
        <w:spacing w:after="60"/>
        <w:ind w:left="1973" w:hanging="1525"/>
        <w:rPr>
          <w:sz w:val="20"/>
          <w:lang w:val="en-US"/>
        </w:rPr>
      </w:pPr>
      <w:r>
        <w:rPr>
          <w:sz w:val="20"/>
          <w:lang w:val="en-US"/>
        </w:rPr>
        <w:t>DPB</w:t>
      </w:r>
      <w:r>
        <w:rPr>
          <w:sz w:val="20"/>
          <w:lang w:val="en-US"/>
        </w:rPr>
        <w:tab/>
        <w:t xml:space="preserve">Domestic </w:t>
      </w:r>
      <w:r w:rsidR="007D0B9A">
        <w:rPr>
          <w:sz w:val="20"/>
          <w:lang w:val="en-US"/>
        </w:rPr>
        <w:t>P</w:t>
      </w:r>
      <w:r>
        <w:rPr>
          <w:sz w:val="20"/>
          <w:lang w:val="en-US"/>
        </w:rPr>
        <w:t xml:space="preserve">urposes </w:t>
      </w:r>
      <w:r w:rsidR="007D0B9A">
        <w:rPr>
          <w:sz w:val="20"/>
          <w:lang w:val="en-US"/>
        </w:rPr>
        <w:t>B</w:t>
      </w:r>
      <w:r>
        <w:rPr>
          <w:sz w:val="20"/>
          <w:lang w:val="en-US"/>
        </w:rPr>
        <w:t>enefit</w:t>
      </w:r>
    </w:p>
    <w:p w:rsidR="00E23F25" w:rsidRPr="00D21E18" w:rsidRDefault="00E23F25" w:rsidP="006F7C01">
      <w:pPr>
        <w:spacing w:after="60"/>
        <w:ind w:left="1973" w:hanging="1525"/>
        <w:rPr>
          <w:sz w:val="20"/>
          <w:lang w:val="en-US"/>
        </w:rPr>
      </w:pPr>
      <w:smartTag w:uri="urn:schemas-microsoft-com:office:smarttags" w:element="stockticker">
        <w:r w:rsidRPr="00D21E18">
          <w:rPr>
            <w:sz w:val="20"/>
            <w:lang w:val="en-US"/>
          </w:rPr>
          <w:t>EFU</w:t>
        </w:r>
      </w:smartTag>
      <w:r w:rsidRPr="00D21E18">
        <w:rPr>
          <w:sz w:val="20"/>
          <w:lang w:val="en-US"/>
        </w:rPr>
        <w:tab/>
        <w:t>Economic family unit</w:t>
      </w:r>
    </w:p>
    <w:p w:rsidR="00E23F25" w:rsidRPr="00D21E18" w:rsidRDefault="00E23F25" w:rsidP="006F7C01">
      <w:pPr>
        <w:spacing w:after="60"/>
        <w:ind w:left="1973" w:hanging="1525"/>
        <w:rPr>
          <w:sz w:val="20"/>
          <w:lang w:val="en-US"/>
        </w:rPr>
      </w:pPr>
      <w:r w:rsidRPr="00D21E18">
        <w:rPr>
          <w:sz w:val="20"/>
          <w:lang w:val="en-US"/>
        </w:rPr>
        <w:t>EU</w:t>
      </w:r>
      <w:r w:rsidRPr="00D21E18">
        <w:rPr>
          <w:sz w:val="20"/>
          <w:lang w:val="en-US"/>
        </w:rPr>
        <w:tab/>
        <w:t>European Union</w:t>
      </w:r>
    </w:p>
    <w:p w:rsidR="00E23F25" w:rsidRPr="00485FF4" w:rsidRDefault="00E23F25" w:rsidP="006F7C01">
      <w:pPr>
        <w:spacing w:after="60"/>
        <w:ind w:left="1973" w:hanging="1525"/>
        <w:rPr>
          <w:sz w:val="20"/>
          <w:lang w:val="en-US"/>
        </w:rPr>
      </w:pPr>
      <w:r w:rsidRPr="00485FF4">
        <w:rPr>
          <w:sz w:val="20"/>
          <w:lang w:val="en-US"/>
        </w:rPr>
        <w:t>E</w:t>
      </w:r>
      <w:r>
        <w:rPr>
          <w:sz w:val="20"/>
          <w:lang w:val="en-US"/>
        </w:rPr>
        <w:t>urostat</w:t>
      </w:r>
      <w:r>
        <w:rPr>
          <w:sz w:val="20"/>
          <w:lang w:val="en-US"/>
        </w:rPr>
        <w:tab/>
        <w:t>The Statistical Office of the EU</w:t>
      </w:r>
    </w:p>
    <w:p w:rsidR="00E23F25" w:rsidRPr="001A4A00" w:rsidRDefault="00E23F25" w:rsidP="006F7C01">
      <w:pPr>
        <w:spacing w:after="60"/>
        <w:ind w:left="1973" w:hanging="1525"/>
        <w:rPr>
          <w:sz w:val="20"/>
          <w:lang w:val="en-US"/>
        </w:rPr>
      </w:pPr>
      <w:r w:rsidRPr="001A4A00">
        <w:rPr>
          <w:sz w:val="20"/>
          <w:lang w:val="en-US"/>
        </w:rPr>
        <w:t>FT</w:t>
      </w:r>
      <w:r w:rsidRPr="001A4A00">
        <w:rPr>
          <w:sz w:val="20"/>
          <w:lang w:val="en-US"/>
        </w:rPr>
        <w:tab/>
        <w:t>Full-time (30 hours or more p</w:t>
      </w:r>
      <w:r>
        <w:rPr>
          <w:sz w:val="20"/>
          <w:lang w:val="en-US"/>
        </w:rPr>
        <w:t>er week</w:t>
      </w:r>
      <w:r w:rsidRPr="001A4A00">
        <w:rPr>
          <w:sz w:val="20"/>
          <w:lang w:val="en-US"/>
        </w:rPr>
        <w:t>)</w:t>
      </w:r>
    </w:p>
    <w:p w:rsidR="002D22BA" w:rsidRDefault="002D22BA" w:rsidP="006F7C01">
      <w:pPr>
        <w:spacing w:after="60"/>
        <w:ind w:left="1973" w:hanging="1525"/>
        <w:rPr>
          <w:sz w:val="20"/>
          <w:lang w:val="en-US"/>
        </w:rPr>
      </w:pPr>
      <w:r>
        <w:rPr>
          <w:sz w:val="20"/>
          <w:lang w:val="en-US"/>
        </w:rPr>
        <w:t>GFC</w:t>
      </w:r>
      <w:r>
        <w:rPr>
          <w:sz w:val="20"/>
          <w:lang w:val="en-US"/>
        </w:rPr>
        <w:tab/>
        <w:t>Global Financial Crisis</w:t>
      </w:r>
    </w:p>
    <w:p w:rsidR="00E23F25" w:rsidRPr="001A4A00" w:rsidRDefault="00E23F25" w:rsidP="006F7C01">
      <w:pPr>
        <w:spacing w:after="60"/>
        <w:ind w:left="1973" w:hanging="1525"/>
        <w:rPr>
          <w:sz w:val="20"/>
          <w:lang w:val="en-US"/>
        </w:rPr>
      </w:pPr>
      <w:r w:rsidRPr="001A4A00">
        <w:rPr>
          <w:sz w:val="20"/>
          <w:lang w:val="en-US"/>
        </w:rPr>
        <w:t>HES</w:t>
      </w:r>
      <w:r w:rsidRPr="001A4A00">
        <w:rPr>
          <w:sz w:val="20"/>
          <w:lang w:val="en-US"/>
        </w:rPr>
        <w:tab/>
        <w:t>Household Economic Survey</w:t>
      </w:r>
    </w:p>
    <w:p w:rsidR="00E9047C" w:rsidRDefault="00E9047C" w:rsidP="006F7C01">
      <w:pPr>
        <w:spacing w:after="60"/>
        <w:ind w:left="1973" w:hanging="1525"/>
        <w:rPr>
          <w:sz w:val="20"/>
          <w:lang w:val="en-US"/>
        </w:rPr>
      </w:pPr>
      <w:r>
        <w:rPr>
          <w:sz w:val="20"/>
          <w:lang w:val="en-US"/>
        </w:rPr>
        <w:t>HLFS</w:t>
      </w:r>
      <w:r>
        <w:rPr>
          <w:sz w:val="20"/>
          <w:lang w:val="en-US"/>
        </w:rPr>
        <w:tab/>
        <w:t>Household Labour Force Survey</w:t>
      </w:r>
    </w:p>
    <w:p w:rsidR="00E23F25" w:rsidRPr="001A4A00" w:rsidRDefault="00E23F25" w:rsidP="006F7C01">
      <w:pPr>
        <w:spacing w:after="60"/>
        <w:ind w:left="1973" w:hanging="1525"/>
        <w:rPr>
          <w:sz w:val="20"/>
          <w:lang w:val="en-US"/>
        </w:rPr>
      </w:pPr>
      <w:r w:rsidRPr="001A4A00">
        <w:rPr>
          <w:sz w:val="20"/>
          <w:lang w:val="en-US"/>
        </w:rPr>
        <w:t>HH</w:t>
      </w:r>
      <w:r w:rsidRPr="001A4A00">
        <w:rPr>
          <w:sz w:val="20"/>
          <w:lang w:val="en-US"/>
        </w:rPr>
        <w:tab/>
        <w:t>Household</w:t>
      </w:r>
    </w:p>
    <w:p w:rsidR="005C14A5" w:rsidRDefault="005C14A5" w:rsidP="006F7C01">
      <w:pPr>
        <w:spacing w:after="60"/>
        <w:ind w:left="1973" w:hanging="1525"/>
        <w:rPr>
          <w:sz w:val="20"/>
          <w:lang w:val="en-US"/>
        </w:rPr>
      </w:pPr>
      <w:r>
        <w:rPr>
          <w:sz w:val="20"/>
          <w:lang w:val="en-US"/>
        </w:rPr>
        <w:t>HNZC</w:t>
      </w:r>
      <w:r>
        <w:rPr>
          <w:sz w:val="20"/>
          <w:lang w:val="en-US"/>
        </w:rPr>
        <w:tab/>
        <w:t>Housing New Zealand Corporation</w:t>
      </w:r>
    </w:p>
    <w:p w:rsidR="00E23F25" w:rsidRDefault="00E23F25" w:rsidP="006F7C01">
      <w:pPr>
        <w:spacing w:after="60"/>
        <w:ind w:left="1973" w:hanging="1525"/>
        <w:rPr>
          <w:sz w:val="20"/>
          <w:lang w:val="en-US"/>
        </w:rPr>
      </w:pPr>
      <w:r>
        <w:rPr>
          <w:sz w:val="20"/>
          <w:lang w:val="en-US"/>
        </w:rPr>
        <w:t>IB</w:t>
      </w:r>
      <w:r>
        <w:rPr>
          <w:sz w:val="20"/>
          <w:lang w:val="en-US"/>
        </w:rPr>
        <w:tab/>
        <w:t xml:space="preserve">Invalid’s </w:t>
      </w:r>
      <w:r w:rsidR="007D0B9A">
        <w:rPr>
          <w:sz w:val="20"/>
          <w:lang w:val="en-US"/>
        </w:rPr>
        <w:t>B</w:t>
      </w:r>
      <w:r>
        <w:rPr>
          <w:sz w:val="20"/>
          <w:lang w:val="en-US"/>
        </w:rPr>
        <w:t>enefit</w:t>
      </w:r>
    </w:p>
    <w:p w:rsidR="006F7C01" w:rsidRDefault="006F7C01" w:rsidP="006F7C01">
      <w:pPr>
        <w:spacing w:after="60"/>
        <w:ind w:left="1973" w:hanging="1525"/>
        <w:rPr>
          <w:sz w:val="20"/>
          <w:lang w:val="en-US"/>
        </w:rPr>
      </w:pPr>
      <w:r>
        <w:rPr>
          <w:sz w:val="20"/>
          <w:lang w:val="en-US"/>
        </w:rPr>
        <w:t>MEDC</w:t>
      </w:r>
      <w:r>
        <w:rPr>
          <w:sz w:val="20"/>
          <w:lang w:val="en-US"/>
        </w:rPr>
        <w:tab/>
        <w:t>More economically advanced country</w:t>
      </w:r>
    </w:p>
    <w:p w:rsidR="00E23F25" w:rsidRDefault="00E23F25" w:rsidP="006F7C01">
      <w:pPr>
        <w:spacing w:after="60"/>
        <w:ind w:left="1973" w:hanging="1525"/>
        <w:rPr>
          <w:sz w:val="20"/>
          <w:lang w:val="en-US"/>
        </w:rPr>
      </w:pPr>
      <w:r>
        <w:rPr>
          <w:sz w:val="20"/>
          <w:lang w:val="en-US"/>
        </w:rPr>
        <w:t>NAOTWE</w:t>
      </w:r>
      <w:r>
        <w:rPr>
          <w:sz w:val="20"/>
          <w:lang w:val="en-US"/>
        </w:rPr>
        <w:tab/>
        <w:t>Net average ordinary time weekly earnings</w:t>
      </w:r>
    </w:p>
    <w:p w:rsidR="002D22BA" w:rsidRDefault="002D22BA" w:rsidP="006F7C01">
      <w:pPr>
        <w:spacing w:after="60"/>
        <w:ind w:left="1973" w:hanging="1525"/>
        <w:rPr>
          <w:sz w:val="20"/>
          <w:lang w:val="en-US"/>
        </w:rPr>
      </w:pPr>
      <w:r>
        <w:rPr>
          <w:sz w:val="20"/>
          <w:lang w:val="en-US"/>
        </w:rPr>
        <w:t>NMI</w:t>
      </w:r>
      <w:r>
        <w:rPr>
          <w:sz w:val="20"/>
          <w:lang w:val="en-US"/>
        </w:rPr>
        <w:tab/>
        <w:t>Non-monetary indicator</w:t>
      </w:r>
    </w:p>
    <w:p w:rsidR="00E23F25" w:rsidRDefault="00E23F25" w:rsidP="006F7C01">
      <w:pPr>
        <w:spacing w:after="60"/>
        <w:ind w:left="1973" w:hanging="1525"/>
        <w:rPr>
          <w:sz w:val="20"/>
          <w:lang w:val="en-US"/>
        </w:rPr>
      </w:pPr>
      <w:r>
        <w:rPr>
          <w:sz w:val="20"/>
          <w:lang w:val="en-US"/>
        </w:rPr>
        <w:t>NZPMP</w:t>
      </w:r>
      <w:r>
        <w:rPr>
          <w:sz w:val="20"/>
          <w:lang w:val="en-US"/>
        </w:rPr>
        <w:tab/>
      </w:r>
      <w:smartTag w:uri="urn:schemas-microsoft-com:office:smarttags" w:element="place">
        <w:smartTag w:uri="urn:schemas-microsoft-com:office:smarttags" w:element="country-region">
          <w:r>
            <w:rPr>
              <w:sz w:val="20"/>
              <w:lang w:val="en-US"/>
            </w:rPr>
            <w:t>New Zealand</w:t>
          </w:r>
        </w:smartTag>
      </w:smartTag>
      <w:r>
        <w:rPr>
          <w:sz w:val="20"/>
          <w:lang w:val="en-US"/>
        </w:rPr>
        <w:t xml:space="preserve"> Poverty Measurement Project</w:t>
      </w:r>
    </w:p>
    <w:p w:rsidR="00E23F25" w:rsidRPr="001A4A00" w:rsidRDefault="00E23F25" w:rsidP="006F7C01">
      <w:pPr>
        <w:spacing w:after="60"/>
        <w:ind w:left="1973" w:hanging="1525"/>
        <w:rPr>
          <w:sz w:val="20"/>
          <w:lang w:val="en-US"/>
        </w:rPr>
      </w:pPr>
      <w:r w:rsidRPr="001A4A00">
        <w:rPr>
          <w:sz w:val="20"/>
          <w:lang w:val="en-US"/>
        </w:rPr>
        <w:t>NZS</w:t>
      </w:r>
      <w:r w:rsidRPr="001A4A00">
        <w:rPr>
          <w:sz w:val="20"/>
          <w:lang w:val="en-US"/>
        </w:rPr>
        <w:tab/>
      </w:r>
      <w:smartTag w:uri="urn:schemas-microsoft-com:office:smarttags" w:element="place">
        <w:smartTag w:uri="urn:schemas-microsoft-com:office:smarttags" w:element="country-region">
          <w:r w:rsidRPr="001A4A00">
            <w:rPr>
              <w:sz w:val="20"/>
              <w:lang w:val="en-US"/>
            </w:rPr>
            <w:t>New Zealand</w:t>
          </w:r>
        </w:smartTag>
      </w:smartTag>
      <w:r w:rsidRPr="001A4A00">
        <w:rPr>
          <w:sz w:val="20"/>
          <w:lang w:val="en-US"/>
        </w:rPr>
        <w:t xml:space="preserve"> Superannuation</w:t>
      </w:r>
    </w:p>
    <w:p w:rsidR="00E23F25" w:rsidRPr="00D21E18" w:rsidRDefault="00E23F25" w:rsidP="006F7C01">
      <w:pPr>
        <w:spacing w:after="60"/>
        <w:ind w:left="1973" w:hanging="1525"/>
        <w:rPr>
          <w:sz w:val="20"/>
          <w:lang w:val="en-US"/>
        </w:rPr>
      </w:pPr>
      <w:r w:rsidRPr="00D21E18">
        <w:rPr>
          <w:sz w:val="20"/>
          <w:lang w:val="en-US"/>
        </w:rPr>
        <w:t>OECD</w:t>
      </w:r>
      <w:r w:rsidRPr="00D21E18">
        <w:rPr>
          <w:sz w:val="20"/>
        </w:rPr>
        <w:tab/>
        <w:t>Organisation</w:t>
      </w:r>
      <w:r w:rsidRPr="00D21E18">
        <w:rPr>
          <w:sz w:val="20"/>
          <w:lang w:val="en-US"/>
        </w:rPr>
        <w:t xml:space="preserve"> </w:t>
      </w:r>
      <w:r>
        <w:rPr>
          <w:sz w:val="20"/>
          <w:lang w:val="en-US"/>
        </w:rPr>
        <w:t>for</w:t>
      </w:r>
      <w:r w:rsidRPr="00D21E18">
        <w:rPr>
          <w:sz w:val="20"/>
          <w:lang w:val="en-US"/>
        </w:rPr>
        <w:t xml:space="preserve"> Economic Co</w:t>
      </w:r>
      <w:r>
        <w:rPr>
          <w:sz w:val="20"/>
          <w:lang w:val="en-US"/>
        </w:rPr>
        <w:t>-</w:t>
      </w:r>
      <w:r w:rsidRPr="00D21E18">
        <w:rPr>
          <w:sz w:val="20"/>
          <w:lang w:val="en-US"/>
        </w:rPr>
        <w:t>operation and Development</w:t>
      </w:r>
    </w:p>
    <w:p w:rsidR="00E23F25" w:rsidRPr="00197E87" w:rsidRDefault="00E23F25" w:rsidP="006F7C01">
      <w:pPr>
        <w:spacing w:after="60"/>
        <w:ind w:left="1973" w:hanging="1525"/>
        <w:rPr>
          <w:sz w:val="20"/>
          <w:lang w:val="en-US"/>
        </w:rPr>
      </w:pPr>
      <w:r w:rsidRPr="00197E87">
        <w:rPr>
          <w:sz w:val="20"/>
          <w:lang w:val="en-US"/>
        </w:rPr>
        <w:t>PMP</w:t>
      </w:r>
      <w:r w:rsidRPr="00197E87">
        <w:rPr>
          <w:sz w:val="20"/>
          <w:lang w:val="en-US"/>
        </w:rPr>
        <w:tab/>
        <w:t>Poverty Measurement Project</w:t>
      </w:r>
    </w:p>
    <w:p w:rsidR="00E23F25" w:rsidRDefault="00E23F25" w:rsidP="006F7C01">
      <w:pPr>
        <w:spacing w:after="60"/>
        <w:ind w:left="1973" w:hanging="1525"/>
        <w:rPr>
          <w:sz w:val="20"/>
          <w:lang w:val="en-US"/>
        </w:rPr>
      </w:pPr>
      <w:r>
        <w:rPr>
          <w:sz w:val="20"/>
          <w:lang w:val="en-US"/>
        </w:rPr>
        <w:t>PT</w:t>
      </w:r>
      <w:r>
        <w:rPr>
          <w:sz w:val="20"/>
          <w:lang w:val="en-US"/>
        </w:rPr>
        <w:tab/>
        <w:t>Part-time (less than 30 hours per week)</w:t>
      </w:r>
    </w:p>
    <w:p w:rsidR="00E23F25" w:rsidRPr="00197E87" w:rsidRDefault="00E23F25" w:rsidP="006F7C01">
      <w:pPr>
        <w:spacing w:after="60"/>
        <w:ind w:left="1973" w:hanging="1525"/>
        <w:rPr>
          <w:sz w:val="20"/>
          <w:lang w:val="en-US"/>
        </w:rPr>
      </w:pPr>
      <w:smartTag w:uri="urn:schemas-microsoft-com:office:smarttags" w:element="stockticker">
        <w:r w:rsidRPr="00197E87">
          <w:rPr>
            <w:sz w:val="20"/>
            <w:lang w:val="en-US"/>
          </w:rPr>
          <w:t>REL</w:t>
        </w:r>
      </w:smartTag>
      <w:r w:rsidRPr="00197E87">
        <w:rPr>
          <w:sz w:val="20"/>
          <w:lang w:val="en-US"/>
        </w:rPr>
        <w:tab/>
        <w:t>Relative-to-contemporary-median</w:t>
      </w:r>
      <w:r>
        <w:rPr>
          <w:sz w:val="20"/>
          <w:lang w:val="en-US"/>
        </w:rPr>
        <w:t xml:space="preserve"> </w:t>
      </w:r>
      <w:r w:rsidRPr="001A4A00">
        <w:rPr>
          <w:sz w:val="20"/>
          <w:lang w:val="en-US"/>
        </w:rPr>
        <w:t>(</w:t>
      </w:r>
      <w:r>
        <w:rPr>
          <w:sz w:val="20"/>
          <w:lang w:val="en-US"/>
        </w:rPr>
        <w:t xml:space="preserve">referring to </w:t>
      </w:r>
      <w:r w:rsidRPr="001A4A00">
        <w:rPr>
          <w:sz w:val="20"/>
          <w:lang w:val="en-US"/>
        </w:rPr>
        <w:t>low-income thresholds or ‘poverty lines’</w:t>
      </w:r>
      <w:r>
        <w:rPr>
          <w:sz w:val="20"/>
          <w:lang w:val="en-US"/>
        </w:rPr>
        <w:t xml:space="preserve"> that are calculated as a proportion of the median for the survey year in question) = ‘moving lines’</w:t>
      </w:r>
    </w:p>
    <w:p w:rsidR="00E23F25" w:rsidRDefault="00E23F25" w:rsidP="006F7C01">
      <w:pPr>
        <w:spacing w:after="60"/>
        <w:ind w:left="1973" w:hanging="1525"/>
        <w:rPr>
          <w:sz w:val="20"/>
          <w:lang w:val="en-US"/>
        </w:rPr>
      </w:pPr>
      <w:r>
        <w:rPr>
          <w:sz w:val="20"/>
          <w:lang w:val="en-US"/>
        </w:rPr>
        <w:t>SB</w:t>
      </w:r>
      <w:r>
        <w:rPr>
          <w:sz w:val="20"/>
          <w:lang w:val="en-US"/>
        </w:rPr>
        <w:tab/>
        <w:t xml:space="preserve">Sickness </w:t>
      </w:r>
      <w:r w:rsidR="007D0B9A">
        <w:rPr>
          <w:sz w:val="20"/>
          <w:lang w:val="en-US"/>
        </w:rPr>
        <w:t>B</w:t>
      </w:r>
      <w:r>
        <w:rPr>
          <w:sz w:val="20"/>
          <w:lang w:val="en-US"/>
        </w:rPr>
        <w:t>enefit</w:t>
      </w:r>
    </w:p>
    <w:p w:rsidR="00E23F25" w:rsidRPr="00D21E18" w:rsidRDefault="00E23F25" w:rsidP="006F7C01">
      <w:pPr>
        <w:spacing w:after="60"/>
        <w:ind w:left="1973" w:hanging="1525"/>
        <w:rPr>
          <w:sz w:val="20"/>
          <w:lang w:val="en-US"/>
        </w:rPr>
      </w:pPr>
      <w:r w:rsidRPr="00D21E18">
        <w:rPr>
          <w:sz w:val="20"/>
          <w:lang w:val="en-US"/>
        </w:rPr>
        <w:t>SP</w:t>
      </w:r>
      <w:r w:rsidRPr="00D21E18">
        <w:rPr>
          <w:sz w:val="20"/>
          <w:lang w:val="en-US"/>
        </w:rPr>
        <w:tab/>
        <w:t>Sole parent</w:t>
      </w:r>
    </w:p>
    <w:p w:rsidR="00E23F25" w:rsidRPr="00197E87" w:rsidRDefault="00E23F25" w:rsidP="006F7C01">
      <w:pPr>
        <w:spacing w:after="60"/>
        <w:ind w:left="1973" w:hanging="1525"/>
        <w:rPr>
          <w:sz w:val="20"/>
        </w:rPr>
      </w:pPr>
      <w:r w:rsidRPr="00197E87">
        <w:rPr>
          <w:sz w:val="20"/>
        </w:rPr>
        <w:t>2P</w:t>
      </w:r>
      <w:r w:rsidRPr="00197E87">
        <w:rPr>
          <w:sz w:val="20"/>
        </w:rPr>
        <w:tab/>
        <w:t>Two parent</w:t>
      </w:r>
    </w:p>
    <w:p w:rsidR="007D0B9A" w:rsidRDefault="007D0B9A" w:rsidP="006F7C01">
      <w:pPr>
        <w:spacing w:after="60"/>
        <w:ind w:left="1973" w:hanging="1525"/>
        <w:rPr>
          <w:sz w:val="20"/>
        </w:rPr>
      </w:pPr>
      <w:r>
        <w:rPr>
          <w:sz w:val="20"/>
        </w:rPr>
        <w:t>Taxmod</w:t>
      </w:r>
      <w:r>
        <w:rPr>
          <w:sz w:val="20"/>
        </w:rPr>
        <w:tab/>
        <w:t xml:space="preserve">The </w:t>
      </w:r>
      <w:r w:rsidR="00FF05B1">
        <w:rPr>
          <w:sz w:val="20"/>
        </w:rPr>
        <w:t>NZ</w:t>
      </w:r>
      <w:r>
        <w:rPr>
          <w:sz w:val="20"/>
        </w:rPr>
        <w:t xml:space="preserve"> Treasury’s </w:t>
      </w:r>
      <w:r w:rsidR="00DF3FCE">
        <w:rPr>
          <w:sz w:val="20"/>
        </w:rPr>
        <w:t xml:space="preserve">tax-benefit </w:t>
      </w:r>
      <w:r>
        <w:rPr>
          <w:sz w:val="20"/>
        </w:rPr>
        <w:t>microsimulation model</w:t>
      </w:r>
      <w:r w:rsidR="00FF05B1">
        <w:rPr>
          <w:sz w:val="20"/>
        </w:rPr>
        <w:t xml:space="preserve"> (up to HES 2004)</w:t>
      </w:r>
    </w:p>
    <w:p w:rsidR="00FF05B1" w:rsidRDefault="00FF05B1" w:rsidP="006F7C01">
      <w:pPr>
        <w:spacing w:after="60"/>
        <w:ind w:left="1973" w:hanging="1525"/>
        <w:rPr>
          <w:sz w:val="20"/>
        </w:rPr>
      </w:pPr>
      <w:r>
        <w:rPr>
          <w:sz w:val="20"/>
        </w:rPr>
        <w:t>Taxwell</w:t>
      </w:r>
      <w:r>
        <w:rPr>
          <w:sz w:val="20"/>
        </w:rPr>
        <w:tab/>
        <w:t>The NZ Treasury’s tax-benefit microsimulation model (starting with HES 2007)</w:t>
      </w:r>
    </w:p>
    <w:p w:rsidR="00E23F25" w:rsidRDefault="00E23F25" w:rsidP="006F7C01">
      <w:pPr>
        <w:spacing w:after="60"/>
        <w:ind w:left="1973" w:hanging="1525"/>
        <w:rPr>
          <w:sz w:val="20"/>
        </w:rPr>
      </w:pPr>
      <w:r>
        <w:rPr>
          <w:sz w:val="20"/>
        </w:rPr>
        <w:t>TPG</w:t>
      </w:r>
      <w:r>
        <w:rPr>
          <w:sz w:val="20"/>
        </w:rPr>
        <w:tab/>
        <w:t>Total poverty gap</w:t>
      </w:r>
    </w:p>
    <w:p w:rsidR="00E23F25" w:rsidRDefault="00E23F25" w:rsidP="006F7C01">
      <w:pPr>
        <w:spacing w:after="60"/>
        <w:ind w:left="1973" w:hanging="1525"/>
        <w:rPr>
          <w:sz w:val="20"/>
        </w:rPr>
      </w:pPr>
      <w:r>
        <w:rPr>
          <w:sz w:val="20"/>
        </w:rPr>
        <w:t>UB</w:t>
      </w:r>
      <w:r>
        <w:rPr>
          <w:sz w:val="20"/>
        </w:rPr>
        <w:tab/>
        <w:t xml:space="preserve">Unemployment </w:t>
      </w:r>
      <w:r w:rsidR="007D0B9A">
        <w:rPr>
          <w:sz w:val="20"/>
        </w:rPr>
        <w:t>B</w:t>
      </w:r>
      <w:r>
        <w:rPr>
          <w:sz w:val="20"/>
        </w:rPr>
        <w:t>enefit</w:t>
      </w:r>
    </w:p>
    <w:p w:rsidR="00E23F25" w:rsidRPr="00CC0A7F" w:rsidRDefault="00E23F25" w:rsidP="006F7C01">
      <w:pPr>
        <w:spacing w:after="60"/>
        <w:ind w:left="1973" w:hanging="1525"/>
        <w:rPr>
          <w:sz w:val="20"/>
        </w:rPr>
      </w:pPr>
      <w:r w:rsidRPr="00197E87">
        <w:rPr>
          <w:sz w:val="20"/>
        </w:rPr>
        <w:t>UNICEF</w:t>
      </w:r>
      <w:r w:rsidRPr="00197E87">
        <w:rPr>
          <w:sz w:val="20"/>
        </w:rPr>
        <w:tab/>
      </w:r>
      <w:r w:rsidRPr="00CC0A7F">
        <w:rPr>
          <w:bCs/>
          <w:sz w:val="20"/>
        </w:rPr>
        <w:t>United Nations Children's Fund</w:t>
      </w:r>
      <w:r w:rsidRPr="00CC0A7F">
        <w:rPr>
          <w:sz w:val="20"/>
        </w:rPr>
        <w:t xml:space="preserve"> </w:t>
      </w:r>
      <w:r>
        <w:rPr>
          <w:sz w:val="20"/>
        </w:rPr>
        <w:t xml:space="preserve">(formerly, the </w:t>
      </w:r>
      <w:r w:rsidRPr="00CC0A7F">
        <w:rPr>
          <w:bCs/>
          <w:sz w:val="20"/>
        </w:rPr>
        <w:t>United Nations International Children's Emergency Fund</w:t>
      </w:r>
      <w:r>
        <w:rPr>
          <w:sz w:val="20"/>
        </w:rPr>
        <w:t>)</w:t>
      </w:r>
    </w:p>
    <w:p w:rsidR="00E23F25" w:rsidRDefault="00E23F25" w:rsidP="006F7C01">
      <w:pPr>
        <w:spacing w:after="60"/>
        <w:ind w:left="1973" w:hanging="1525"/>
        <w:rPr>
          <w:sz w:val="20"/>
        </w:rPr>
      </w:pPr>
      <w:r w:rsidRPr="00197E87">
        <w:rPr>
          <w:sz w:val="20"/>
        </w:rPr>
        <w:t>WFF</w:t>
      </w:r>
      <w:r w:rsidRPr="00197E87">
        <w:rPr>
          <w:sz w:val="20"/>
        </w:rPr>
        <w:tab/>
        <w:t>Working for Families</w:t>
      </w:r>
    </w:p>
    <w:p w:rsidR="00E23F25" w:rsidRPr="00197E87" w:rsidRDefault="00E23F25" w:rsidP="006F7C01">
      <w:pPr>
        <w:ind w:left="1973" w:hanging="1525"/>
        <w:rPr>
          <w:sz w:val="20"/>
        </w:rPr>
      </w:pPr>
      <w:r>
        <w:rPr>
          <w:sz w:val="20"/>
        </w:rPr>
        <w:t>WL</w:t>
      </w:r>
      <w:r>
        <w:rPr>
          <w:sz w:val="20"/>
        </w:rPr>
        <w:tab/>
        <w:t>Workless (adult or HH)</w:t>
      </w:r>
    </w:p>
    <w:p w:rsidR="00E23F25" w:rsidRDefault="00E23F25" w:rsidP="00E23F25">
      <w:pPr>
        <w:rPr>
          <w:szCs w:val="22"/>
        </w:rPr>
      </w:pPr>
    </w:p>
    <w:p w:rsidR="006F7C01" w:rsidRDefault="006F7C01" w:rsidP="00E23F25">
      <w:pPr>
        <w:rPr>
          <w:szCs w:val="22"/>
        </w:rPr>
      </w:pPr>
    </w:p>
    <w:p w:rsidR="00E23F25" w:rsidRPr="00212028" w:rsidRDefault="00E23F25" w:rsidP="00290EBB">
      <w:pPr>
        <w:numPr>
          <w:ilvl w:val="0"/>
          <w:numId w:val="8"/>
        </w:numPr>
        <w:tabs>
          <w:tab w:val="clear" w:pos="720"/>
          <w:tab w:val="num" w:pos="630"/>
        </w:tabs>
        <w:spacing w:after="120" w:line="240" w:lineRule="exact"/>
        <w:ind w:left="634" w:hanging="274"/>
        <w:jc w:val="both"/>
        <w:rPr>
          <w:sz w:val="20"/>
        </w:rPr>
      </w:pPr>
      <w:r w:rsidRPr="00212028">
        <w:rPr>
          <w:sz w:val="20"/>
        </w:rPr>
        <w:t>‘Dependent children’ are all those under 18 years, except for those 16 and 17 year olds who are in receipt of a benefit in their own right or who are employed for 30 hours or more a week.</w:t>
      </w:r>
    </w:p>
    <w:p w:rsidR="00E23F25" w:rsidRPr="00212028" w:rsidRDefault="00E23F25" w:rsidP="00290EBB">
      <w:pPr>
        <w:numPr>
          <w:ilvl w:val="0"/>
          <w:numId w:val="8"/>
        </w:numPr>
        <w:tabs>
          <w:tab w:val="clear" w:pos="720"/>
          <w:tab w:val="num" w:pos="630"/>
        </w:tabs>
        <w:spacing w:after="120" w:line="240" w:lineRule="exact"/>
        <w:ind w:left="634" w:hanging="274"/>
        <w:jc w:val="both"/>
        <w:rPr>
          <w:sz w:val="20"/>
        </w:rPr>
      </w:pPr>
      <w:r w:rsidRPr="00212028">
        <w:rPr>
          <w:sz w:val="20"/>
        </w:rPr>
        <w:t>When ‘child</w:t>
      </w:r>
      <w:r w:rsidR="007D0B9A">
        <w:rPr>
          <w:sz w:val="20"/>
        </w:rPr>
        <w:t>’ is used without qualification</w:t>
      </w:r>
      <w:r w:rsidRPr="00212028">
        <w:rPr>
          <w:sz w:val="20"/>
        </w:rPr>
        <w:t>, it means ‘dependent child’.</w:t>
      </w:r>
    </w:p>
    <w:p w:rsidR="00E23F25" w:rsidRPr="00212028" w:rsidRDefault="00E23F25" w:rsidP="00290EBB">
      <w:pPr>
        <w:numPr>
          <w:ilvl w:val="0"/>
          <w:numId w:val="8"/>
        </w:numPr>
        <w:tabs>
          <w:tab w:val="clear" w:pos="720"/>
          <w:tab w:val="num" w:pos="630"/>
        </w:tabs>
        <w:spacing w:line="240" w:lineRule="exact"/>
        <w:ind w:left="630" w:hanging="270"/>
        <w:jc w:val="both"/>
        <w:rPr>
          <w:sz w:val="20"/>
        </w:rPr>
      </w:pPr>
      <w:r w:rsidRPr="00212028">
        <w:rPr>
          <w:sz w:val="20"/>
        </w:rPr>
        <w:t>A household ‘with children’ always means a household with at least one dependent child – the household may or may not have adult children or other adults who are not the parents or caregivers.</w:t>
      </w:r>
    </w:p>
    <w:p w:rsidR="00E23F25" w:rsidRPr="008543FB" w:rsidRDefault="00E23F25" w:rsidP="00E23F25">
      <w:pPr>
        <w:rPr>
          <w:lang w:val="en-NZ"/>
        </w:rPr>
        <w:sectPr w:rsidR="00E23F25" w:rsidRPr="008543FB" w:rsidSect="00953C85">
          <w:headerReference w:type="even" r:id="rId7"/>
          <w:headerReference w:type="default" r:id="rId8"/>
          <w:pgSz w:w="11909" w:h="16834" w:code="9"/>
          <w:pgMar w:top="1440" w:right="1440" w:bottom="1440" w:left="1440" w:header="706" w:footer="706" w:gutter="0"/>
          <w:pgNumType w:fmt="lowerRoman" w:start="1"/>
          <w:cols w:space="720"/>
          <w:titlePg/>
        </w:sectPr>
      </w:pPr>
    </w:p>
    <w:p w:rsidR="00AE1B40" w:rsidRPr="006854B2" w:rsidRDefault="00AE1B40" w:rsidP="00CC0302">
      <w:pPr>
        <w:pStyle w:val="Heading1"/>
        <w:rPr>
          <w:b w:val="0"/>
          <w:sz w:val="36"/>
          <w:szCs w:val="36"/>
        </w:rPr>
      </w:pPr>
      <w:bookmarkStart w:id="0" w:name="_Toc115142408"/>
      <w:r w:rsidRPr="006854B2">
        <w:rPr>
          <w:sz w:val="36"/>
          <w:szCs w:val="36"/>
        </w:rPr>
        <w:lastRenderedPageBreak/>
        <w:t>About this report</w:t>
      </w:r>
    </w:p>
    <w:p w:rsidR="00AE1B40" w:rsidRDefault="00AE1B40" w:rsidP="00DB5D5F">
      <w:pPr>
        <w:pStyle w:val="Heading1"/>
        <w:rPr>
          <w:sz w:val="22"/>
          <w:szCs w:val="22"/>
        </w:rPr>
      </w:pPr>
    </w:p>
    <w:p w:rsidR="00AE1B40" w:rsidRPr="00C3033D" w:rsidRDefault="00AE1B40" w:rsidP="00AE1B40">
      <w:pPr>
        <w:jc w:val="both"/>
        <w:rPr>
          <w:rFonts w:cs="Arial"/>
          <w:sz w:val="20"/>
        </w:rPr>
      </w:pPr>
      <w:r w:rsidRPr="00C3033D">
        <w:rPr>
          <w:rFonts w:cs="Arial"/>
          <w:sz w:val="20"/>
        </w:rPr>
        <w:t xml:space="preserve">This report provides information on the </w:t>
      </w:r>
      <w:r w:rsidR="003760A4" w:rsidRPr="00C3033D">
        <w:rPr>
          <w:rFonts w:cs="Arial"/>
          <w:sz w:val="20"/>
        </w:rPr>
        <w:t>material</w:t>
      </w:r>
      <w:r w:rsidR="00F17B9C" w:rsidRPr="00C3033D">
        <w:rPr>
          <w:rFonts w:cs="Arial"/>
          <w:sz w:val="20"/>
        </w:rPr>
        <w:t xml:space="preserve"> </w:t>
      </w:r>
      <w:r w:rsidR="00C42A24" w:rsidRPr="00C3033D">
        <w:rPr>
          <w:rFonts w:cs="Arial"/>
          <w:sz w:val="20"/>
        </w:rPr>
        <w:t>wellbeing</w:t>
      </w:r>
      <w:r w:rsidR="00997516" w:rsidRPr="00C3033D">
        <w:rPr>
          <w:rFonts w:cs="Arial"/>
          <w:sz w:val="20"/>
        </w:rPr>
        <w:t xml:space="preserve"> of New Zealanders as indicated by their household </w:t>
      </w:r>
      <w:r w:rsidRPr="00C3033D">
        <w:rPr>
          <w:rFonts w:cs="Arial"/>
          <w:sz w:val="20"/>
        </w:rPr>
        <w:t>incomes</w:t>
      </w:r>
      <w:r w:rsidR="000671A6" w:rsidRPr="00C3033D">
        <w:rPr>
          <w:rFonts w:cs="Arial"/>
          <w:sz w:val="20"/>
        </w:rPr>
        <w:t xml:space="preserve"> </w:t>
      </w:r>
      <w:r w:rsidR="008D4B76">
        <w:rPr>
          <w:rFonts w:cs="Arial"/>
          <w:sz w:val="20"/>
        </w:rPr>
        <w:t xml:space="preserve">from all sources </w:t>
      </w:r>
      <w:r w:rsidR="000671A6" w:rsidRPr="00C3033D">
        <w:rPr>
          <w:rFonts w:cs="Arial"/>
          <w:sz w:val="20"/>
        </w:rPr>
        <w:t>over the period 1982 to 20</w:t>
      </w:r>
      <w:r w:rsidR="008D4B76">
        <w:rPr>
          <w:rFonts w:cs="Arial"/>
          <w:sz w:val="20"/>
        </w:rPr>
        <w:t>1</w:t>
      </w:r>
      <w:r w:rsidR="00BE5BFD">
        <w:rPr>
          <w:rFonts w:cs="Arial"/>
          <w:sz w:val="20"/>
        </w:rPr>
        <w:t>1</w:t>
      </w:r>
      <w:r w:rsidR="00997516" w:rsidRPr="00C3033D">
        <w:rPr>
          <w:rFonts w:cs="Arial"/>
          <w:sz w:val="20"/>
        </w:rPr>
        <w:t>.</w:t>
      </w:r>
      <w:r w:rsidRPr="00C3033D">
        <w:rPr>
          <w:rFonts w:cs="Arial"/>
          <w:sz w:val="20"/>
        </w:rPr>
        <w:t xml:space="preserve">  </w:t>
      </w:r>
      <w:r w:rsidR="004E08EF" w:rsidRPr="00C3033D">
        <w:rPr>
          <w:rFonts w:cs="Arial"/>
          <w:sz w:val="20"/>
        </w:rPr>
        <w:t>It updates the last report published in 20</w:t>
      </w:r>
      <w:r w:rsidR="008D4B76">
        <w:rPr>
          <w:rFonts w:cs="Arial"/>
          <w:sz w:val="20"/>
        </w:rPr>
        <w:t>1</w:t>
      </w:r>
      <w:r w:rsidR="00BE5BFD">
        <w:rPr>
          <w:rFonts w:cs="Arial"/>
          <w:sz w:val="20"/>
        </w:rPr>
        <w:t>1</w:t>
      </w:r>
      <w:r w:rsidR="004E08EF" w:rsidRPr="00C3033D">
        <w:rPr>
          <w:rFonts w:cs="Arial"/>
          <w:sz w:val="20"/>
        </w:rPr>
        <w:t xml:space="preserve"> which covered 1982 to 20</w:t>
      </w:r>
      <w:r w:rsidR="00BE5BFD">
        <w:rPr>
          <w:rFonts w:cs="Arial"/>
          <w:sz w:val="20"/>
        </w:rPr>
        <w:t>10</w:t>
      </w:r>
      <w:r w:rsidR="004E08EF" w:rsidRPr="00C3033D">
        <w:rPr>
          <w:rFonts w:cs="Arial"/>
          <w:sz w:val="20"/>
        </w:rPr>
        <w:t>.</w:t>
      </w:r>
    </w:p>
    <w:p w:rsidR="00AE1B40" w:rsidRPr="00C3033D" w:rsidRDefault="00AE1B40" w:rsidP="00AE1B40">
      <w:pPr>
        <w:jc w:val="both"/>
        <w:rPr>
          <w:rFonts w:cs="Arial"/>
          <w:sz w:val="20"/>
        </w:rPr>
      </w:pPr>
    </w:p>
    <w:p w:rsidR="002177C0" w:rsidRPr="00C3033D" w:rsidRDefault="002177C0" w:rsidP="00AE1B40">
      <w:pPr>
        <w:jc w:val="both"/>
        <w:rPr>
          <w:rFonts w:cs="Arial"/>
          <w:sz w:val="20"/>
        </w:rPr>
      </w:pPr>
      <w:r w:rsidRPr="00C3033D">
        <w:rPr>
          <w:rFonts w:cs="Arial"/>
          <w:sz w:val="20"/>
        </w:rPr>
        <w:t>The income measure used is household after-tax cash income</w:t>
      </w:r>
      <w:r w:rsidR="0073141E" w:rsidRPr="00C3033D">
        <w:rPr>
          <w:rFonts w:cs="Arial"/>
          <w:sz w:val="20"/>
        </w:rPr>
        <w:t xml:space="preserve"> for the previous </w:t>
      </w:r>
      <w:r w:rsidR="006821E9" w:rsidRPr="00C3033D">
        <w:rPr>
          <w:rFonts w:cs="Arial"/>
          <w:sz w:val="20"/>
        </w:rPr>
        <w:t>twelve</w:t>
      </w:r>
      <w:r w:rsidR="0073141E" w:rsidRPr="00C3033D">
        <w:rPr>
          <w:rFonts w:cs="Arial"/>
          <w:sz w:val="20"/>
        </w:rPr>
        <w:t xml:space="preserve"> months</w:t>
      </w:r>
      <w:r w:rsidRPr="00C3033D">
        <w:rPr>
          <w:rFonts w:cs="Arial"/>
          <w:sz w:val="20"/>
        </w:rPr>
        <w:t>, adjusted for h</w:t>
      </w:r>
      <w:r w:rsidR="006821E9" w:rsidRPr="00C3033D">
        <w:rPr>
          <w:rFonts w:cs="Arial"/>
          <w:sz w:val="20"/>
        </w:rPr>
        <w:t xml:space="preserve">ousehold size and composition.  </w:t>
      </w:r>
      <w:r w:rsidRPr="00C3033D">
        <w:rPr>
          <w:rFonts w:cs="Arial"/>
          <w:sz w:val="20"/>
        </w:rPr>
        <w:t xml:space="preserve">This is referred to as equivalised disposable </w:t>
      </w:r>
      <w:r w:rsidR="004E316C" w:rsidRPr="00C3033D">
        <w:rPr>
          <w:rFonts w:cs="Arial"/>
          <w:sz w:val="20"/>
        </w:rPr>
        <w:t xml:space="preserve">household </w:t>
      </w:r>
      <w:r w:rsidRPr="00C3033D">
        <w:rPr>
          <w:rFonts w:cs="Arial"/>
          <w:sz w:val="20"/>
        </w:rPr>
        <w:t xml:space="preserve">income and </w:t>
      </w:r>
      <w:r w:rsidR="008B4582" w:rsidRPr="00C3033D">
        <w:rPr>
          <w:rFonts w:cs="Arial"/>
          <w:sz w:val="20"/>
        </w:rPr>
        <w:t>is</w:t>
      </w:r>
      <w:r w:rsidR="00431E9A" w:rsidRPr="00C3033D">
        <w:rPr>
          <w:rFonts w:cs="Arial"/>
          <w:sz w:val="20"/>
        </w:rPr>
        <w:t xml:space="preserve"> taken as a</w:t>
      </w:r>
      <w:r w:rsidR="00997516" w:rsidRPr="00C3033D">
        <w:rPr>
          <w:rFonts w:cs="Arial"/>
          <w:sz w:val="20"/>
        </w:rPr>
        <w:t>n</w:t>
      </w:r>
      <w:r w:rsidRPr="00C3033D">
        <w:rPr>
          <w:rFonts w:cs="Arial"/>
          <w:sz w:val="20"/>
        </w:rPr>
        <w:t xml:space="preserve"> </w:t>
      </w:r>
      <w:r w:rsidR="00BA244A" w:rsidRPr="00C3033D">
        <w:rPr>
          <w:rFonts w:cs="Arial"/>
          <w:sz w:val="20"/>
        </w:rPr>
        <w:t xml:space="preserve">indicator </w:t>
      </w:r>
      <w:r w:rsidRPr="00C3033D">
        <w:rPr>
          <w:rFonts w:cs="Arial"/>
          <w:sz w:val="20"/>
        </w:rPr>
        <w:t>of a household’s</w:t>
      </w:r>
      <w:r w:rsidR="00997516" w:rsidRPr="00C3033D">
        <w:rPr>
          <w:rFonts w:cs="Arial"/>
          <w:sz w:val="20"/>
        </w:rPr>
        <w:t xml:space="preserve"> access to economic resources and of its</w:t>
      </w:r>
      <w:r w:rsidRPr="00C3033D">
        <w:rPr>
          <w:rFonts w:cs="Arial"/>
          <w:sz w:val="20"/>
        </w:rPr>
        <w:t xml:space="preserve"> </w:t>
      </w:r>
      <w:r w:rsidR="00997516" w:rsidRPr="00C3033D">
        <w:rPr>
          <w:rFonts w:cs="Arial"/>
          <w:sz w:val="20"/>
        </w:rPr>
        <w:t>(</w:t>
      </w:r>
      <w:r w:rsidRPr="00C3033D">
        <w:rPr>
          <w:rFonts w:cs="Arial"/>
          <w:sz w:val="20"/>
        </w:rPr>
        <w:t>potential</w:t>
      </w:r>
      <w:r w:rsidR="00997516" w:rsidRPr="00C3033D">
        <w:rPr>
          <w:rFonts w:cs="Arial"/>
          <w:sz w:val="20"/>
        </w:rPr>
        <w:t>)</w:t>
      </w:r>
      <w:r w:rsidRPr="00C3033D">
        <w:rPr>
          <w:rFonts w:cs="Arial"/>
          <w:sz w:val="20"/>
        </w:rPr>
        <w:t xml:space="preserve"> living standards.</w:t>
      </w:r>
    </w:p>
    <w:p w:rsidR="002177C0" w:rsidRPr="00C3033D" w:rsidRDefault="002177C0" w:rsidP="00AE1B40">
      <w:pPr>
        <w:jc w:val="both"/>
        <w:rPr>
          <w:rFonts w:cs="Arial"/>
          <w:sz w:val="20"/>
        </w:rPr>
      </w:pPr>
    </w:p>
    <w:p w:rsidR="00AE1B40" w:rsidRPr="00C3033D" w:rsidRDefault="00D86BE8" w:rsidP="00AE1B40">
      <w:pPr>
        <w:jc w:val="both"/>
        <w:rPr>
          <w:rFonts w:cs="Arial"/>
          <w:sz w:val="20"/>
        </w:rPr>
      </w:pPr>
      <w:r w:rsidRPr="00C3033D">
        <w:rPr>
          <w:rFonts w:cs="Arial"/>
          <w:sz w:val="20"/>
        </w:rPr>
        <w:t>The</w:t>
      </w:r>
      <w:r w:rsidR="00A40FA3" w:rsidRPr="00C3033D">
        <w:rPr>
          <w:rFonts w:cs="Arial"/>
          <w:sz w:val="20"/>
        </w:rPr>
        <w:t xml:space="preserve"> major</w:t>
      </w:r>
      <w:r w:rsidR="00AE1B40" w:rsidRPr="00C3033D">
        <w:rPr>
          <w:rFonts w:cs="Arial"/>
          <w:sz w:val="20"/>
        </w:rPr>
        <w:t xml:space="preserve"> focus of the report is on trends in income-based indicators of</w:t>
      </w:r>
      <w:r w:rsidR="0016314C" w:rsidRPr="00C3033D">
        <w:rPr>
          <w:rFonts w:cs="Arial"/>
          <w:sz w:val="20"/>
        </w:rPr>
        <w:t xml:space="preserve"> </w:t>
      </w:r>
      <w:r w:rsidR="00F17B9C" w:rsidRPr="00C3033D">
        <w:rPr>
          <w:rFonts w:cs="Arial"/>
          <w:sz w:val="20"/>
        </w:rPr>
        <w:t xml:space="preserve">inequality and </w:t>
      </w:r>
      <w:r w:rsidR="0016314C" w:rsidRPr="00C3033D">
        <w:rPr>
          <w:rFonts w:cs="Arial"/>
          <w:sz w:val="20"/>
        </w:rPr>
        <w:t>hardship.  These trends are set in the context of a description of the changing overall income distribution in the period.   I</w:t>
      </w:r>
      <w:r w:rsidR="00AE1B40" w:rsidRPr="00C3033D">
        <w:rPr>
          <w:rFonts w:cs="Arial"/>
          <w:sz w:val="20"/>
        </w:rPr>
        <w:t xml:space="preserve">nternational comparisons </w:t>
      </w:r>
      <w:r w:rsidR="0016314C" w:rsidRPr="00C3033D">
        <w:rPr>
          <w:rFonts w:cs="Arial"/>
          <w:sz w:val="20"/>
        </w:rPr>
        <w:t xml:space="preserve">are made </w:t>
      </w:r>
      <w:r w:rsidR="00AE1B40" w:rsidRPr="00C3033D">
        <w:rPr>
          <w:rFonts w:cs="Arial"/>
          <w:sz w:val="20"/>
        </w:rPr>
        <w:t xml:space="preserve">where possible.    </w:t>
      </w:r>
    </w:p>
    <w:p w:rsidR="00AE1B40" w:rsidRPr="00C3033D" w:rsidRDefault="00AE1B40" w:rsidP="00AE1B40">
      <w:pPr>
        <w:jc w:val="both"/>
        <w:rPr>
          <w:rFonts w:cs="Arial"/>
          <w:sz w:val="20"/>
        </w:rPr>
      </w:pPr>
    </w:p>
    <w:p w:rsidR="00F91827" w:rsidRPr="00C3033D" w:rsidRDefault="00F91827" w:rsidP="00F91827">
      <w:pPr>
        <w:jc w:val="both"/>
        <w:rPr>
          <w:rFonts w:cs="Arial"/>
          <w:sz w:val="20"/>
        </w:rPr>
      </w:pPr>
      <w:r w:rsidRPr="00C3033D">
        <w:rPr>
          <w:rFonts w:cs="Arial"/>
          <w:sz w:val="20"/>
        </w:rPr>
        <w:t xml:space="preserve">The report </w:t>
      </w:r>
      <w:r w:rsidR="0016314C" w:rsidRPr="00C3033D">
        <w:rPr>
          <w:rFonts w:cs="Arial"/>
          <w:sz w:val="20"/>
        </w:rPr>
        <w:t xml:space="preserve">is about more than just the numbers.  It </w:t>
      </w:r>
      <w:r w:rsidRPr="00C3033D">
        <w:rPr>
          <w:rFonts w:cs="Arial"/>
          <w:sz w:val="20"/>
        </w:rPr>
        <w:t xml:space="preserve">also provides commentary, contextual information and technical notes to assist </w:t>
      </w:r>
      <w:r w:rsidR="00EF7BBD">
        <w:rPr>
          <w:rFonts w:cs="Arial"/>
          <w:sz w:val="20"/>
        </w:rPr>
        <w:t xml:space="preserve">the reader </w:t>
      </w:r>
      <w:r w:rsidRPr="00C3033D">
        <w:rPr>
          <w:rFonts w:cs="Arial"/>
          <w:sz w:val="20"/>
        </w:rPr>
        <w:t xml:space="preserve">with </w:t>
      </w:r>
      <w:r w:rsidR="008D1EDB" w:rsidRPr="00C3033D">
        <w:rPr>
          <w:rFonts w:cs="Arial"/>
          <w:sz w:val="20"/>
        </w:rPr>
        <w:t xml:space="preserve">a </w:t>
      </w:r>
      <w:r w:rsidRPr="00C3033D">
        <w:rPr>
          <w:rFonts w:cs="Arial"/>
          <w:sz w:val="20"/>
        </w:rPr>
        <w:t>better understanding</w:t>
      </w:r>
      <w:r w:rsidR="006821E9" w:rsidRPr="00C3033D">
        <w:rPr>
          <w:rFonts w:cs="Arial"/>
          <w:sz w:val="20"/>
        </w:rPr>
        <w:t xml:space="preserve"> of </w:t>
      </w:r>
      <w:r w:rsidRPr="00C3033D">
        <w:rPr>
          <w:rFonts w:cs="Arial"/>
          <w:sz w:val="20"/>
        </w:rPr>
        <w:t>the indicators and the trend figures they produce.</w:t>
      </w:r>
    </w:p>
    <w:p w:rsidR="00431E9A" w:rsidRPr="00C3033D" w:rsidRDefault="00431E9A" w:rsidP="004F1BFB">
      <w:pPr>
        <w:jc w:val="both"/>
        <w:rPr>
          <w:rFonts w:cs="Arial"/>
          <w:sz w:val="20"/>
        </w:rPr>
      </w:pPr>
    </w:p>
    <w:p w:rsidR="0033357C" w:rsidRPr="00C3033D" w:rsidRDefault="0033357C" w:rsidP="0033357C">
      <w:pPr>
        <w:jc w:val="both"/>
        <w:rPr>
          <w:rFonts w:cs="Arial"/>
          <w:sz w:val="20"/>
        </w:rPr>
      </w:pPr>
      <w:r w:rsidRPr="00C3033D">
        <w:rPr>
          <w:rFonts w:cs="Arial"/>
          <w:sz w:val="20"/>
        </w:rPr>
        <w:t xml:space="preserve">All results are estimates, based </w:t>
      </w:r>
      <w:r w:rsidR="00BD65A0">
        <w:rPr>
          <w:rFonts w:cs="Arial"/>
          <w:sz w:val="20"/>
        </w:rPr>
        <w:t xml:space="preserve">in the main </w:t>
      </w:r>
      <w:r w:rsidRPr="00C3033D">
        <w:rPr>
          <w:rFonts w:cs="Arial"/>
          <w:sz w:val="20"/>
        </w:rPr>
        <w:t>on data from Statistics New Zealand’s Household Economic Survey (HES) which is a sample survey of a</w:t>
      </w:r>
      <w:r w:rsidR="00371467">
        <w:rPr>
          <w:rFonts w:cs="Arial"/>
          <w:sz w:val="20"/>
        </w:rPr>
        <w:t>round</w:t>
      </w:r>
      <w:r w:rsidRPr="00C3033D">
        <w:rPr>
          <w:rFonts w:cs="Arial"/>
          <w:sz w:val="20"/>
        </w:rPr>
        <w:t xml:space="preserve"> </w:t>
      </w:r>
      <w:r w:rsidR="00A36EAF">
        <w:rPr>
          <w:rFonts w:cs="Arial"/>
          <w:sz w:val="20"/>
        </w:rPr>
        <w:t>280</w:t>
      </w:r>
      <w:r w:rsidRPr="00C3033D">
        <w:rPr>
          <w:rFonts w:cs="Arial"/>
          <w:sz w:val="20"/>
        </w:rPr>
        <w:t>0</w:t>
      </w:r>
      <w:r w:rsidR="00371467">
        <w:rPr>
          <w:rFonts w:cs="Arial"/>
          <w:sz w:val="20"/>
        </w:rPr>
        <w:t xml:space="preserve"> to 3</w:t>
      </w:r>
      <w:r w:rsidR="001C0BAB">
        <w:rPr>
          <w:rFonts w:cs="Arial"/>
          <w:sz w:val="20"/>
        </w:rPr>
        <w:t>5</w:t>
      </w:r>
      <w:r w:rsidR="00371467">
        <w:rPr>
          <w:rFonts w:cs="Arial"/>
          <w:sz w:val="20"/>
        </w:rPr>
        <w:t>00</w:t>
      </w:r>
      <w:r w:rsidRPr="00C3033D">
        <w:rPr>
          <w:rFonts w:cs="Arial"/>
          <w:sz w:val="20"/>
        </w:rPr>
        <w:t xml:space="preserve"> private households</w:t>
      </w:r>
      <w:r w:rsidR="00E14750" w:rsidRPr="00C3033D">
        <w:rPr>
          <w:rFonts w:cs="Arial"/>
          <w:sz w:val="20"/>
        </w:rPr>
        <w:t>.</w:t>
      </w:r>
      <w:r w:rsidRPr="00C3033D">
        <w:rPr>
          <w:rFonts w:cs="Arial"/>
          <w:sz w:val="20"/>
        </w:rPr>
        <w:t xml:space="preserve">   The latest income information is from the 20</w:t>
      </w:r>
      <w:r w:rsidR="00BE5BFD">
        <w:rPr>
          <w:rFonts w:cs="Arial"/>
          <w:sz w:val="20"/>
        </w:rPr>
        <w:t>10</w:t>
      </w:r>
      <w:r w:rsidR="008D4B76" w:rsidRPr="00B74E54">
        <w:rPr>
          <w:rFonts w:cs="Arial"/>
          <w:color w:val="000000"/>
          <w:sz w:val="18"/>
          <w:szCs w:val="18"/>
        </w:rPr>
        <w:t>–</w:t>
      </w:r>
      <w:r w:rsidR="008D4B76">
        <w:rPr>
          <w:rFonts w:cs="Arial"/>
          <w:sz w:val="20"/>
        </w:rPr>
        <w:t>201</w:t>
      </w:r>
      <w:r w:rsidR="00BE5BFD">
        <w:rPr>
          <w:rFonts w:cs="Arial"/>
          <w:sz w:val="20"/>
        </w:rPr>
        <w:t>1</w:t>
      </w:r>
      <w:r w:rsidRPr="00C3033D">
        <w:rPr>
          <w:rFonts w:cs="Arial"/>
          <w:sz w:val="20"/>
        </w:rPr>
        <w:t xml:space="preserve"> HES</w:t>
      </w:r>
      <w:r w:rsidR="00BE5BFD">
        <w:rPr>
          <w:rFonts w:cs="Arial"/>
          <w:sz w:val="20"/>
        </w:rPr>
        <w:t xml:space="preserve"> (Income)</w:t>
      </w:r>
      <w:r w:rsidR="008D4B76">
        <w:rPr>
          <w:rFonts w:cs="Arial"/>
          <w:sz w:val="20"/>
        </w:rPr>
        <w:t xml:space="preserve"> </w:t>
      </w:r>
      <w:r w:rsidR="00C5113D">
        <w:rPr>
          <w:rFonts w:cs="Arial"/>
          <w:sz w:val="20"/>
        </w:rPr>
        <w:t>which had a</w:t>
      </w:r>
      <w:r w:rsidR="00371467">
        <w:rPr>
          <w:rFonts w:cs="Arial"/>
          <w:sz w:val="20"/>
        </w:rPr>
        <w:t>n achieved</w:t>
      </w:r>
      <w:r w:rsidR="00C5113D">
        <w:rPr>
          <w:rFonts w:cs="Arial"/>
          <w:sz w:val="20"/>
        </w:rPr>
        <w:t xml:space="preserve"> sample of</w:t>
      </w:r>
      <w:r w:rsidR="00C5113D" w:rsidRPr="00454738">
        <w:rPr>
          <w:rFonts w:cs="Arial"/>
          <w:sz w:val="20"/>
        </w:rPr>
        <w:t xml:space="preserve"> </w:t>
      </w:r>
      <w:r w:rsidR="00454738" w:rsidRPr="00454738">
        <w:rPr>
          <w:rFonts w:cs="Arial"/>
          <w:sz w:val="20"/>
        </w:rPr>
        <w:t>3</w:t>
      </w:r>
      <w:r w:rsidR="00BE5BFD">
        <w:rPr>
          <w:rFonts w:cs="Arial"/>
          <w:sz w:val="20"/>
        </w:rPr>
        <w:t>5</w:t>
      </w:r>
      <w:r w:rsidR="00454738" w:rsidRPr="00454738">
        <w:rPr>
          <w:rFonts w:cs="Arial"/>
          <w:sz w:val="20"/>
        </w:rPr>
        <w:t>00</w:t>
      </w:r>
      <w:r w:rsidR="00C5113D">
        <w:rPr>
          <w:rFonts w:cs="Arial"/>
          <w:sz w:val="20"/>
        </w:rPr>
        <w:t xml:space="preserve"> private households.</w:t>
      </w:r>
      <w:r w:rsidR="00C5113D">
        <w:rPr>
          <w:rStyle w:val="FootnoteReference"/>
          <w:rFonts w:cs="Arial"/>
          <w:sz w:val="20"/>
        </w:rPr>
        <w:footnoteReference w:id="2"/>
      </w:r>
      <w:r w:rsidRPr="00C3033D">
        <w:rPr>
          <w:rFonts w:cs="Arial"/>
          <w:sz w:val="20"/>
        </w:rPr>
        <w:t xml:space="preserve">  The interviews for the survey are conducted face to face and for the 20</w:t>
      </w:r>
      <w:r w:rsidR="008D4B76">
        <w:rPr>
          <w:rFonts w:cs="Arial"/>
          <w:sz w:val="20"/>
        </w:rPr>
        <w:t>1</w:t>
      </w:r>
      <w:r w:rsidR="00BE5BFD">
        <w:rPr>
          <w:rFonts w:cs="Arial"/>
          <w:sz w:val="20"/>
        </w:rPr>
        <w:t>1</w:t>
      </w:r>
      <w:r w:rsidRPr="00C3033D">
        <w:rPr>
          <w:rFonts w:cs="Arial"/>
          <w:sz w:val="20"/>
        </w:rPr>
        <w:t xml:space="preserve"> HES were carried out from July 20</w:t>
      </w:r>
      <w:r w:rsidR="00BE5BFD">
        <w:rPr>
          <w:rFonts w:cs="Arial"/>
          <w:sz w:val="20"/>
        </w:rPr>
        <w:t>10</w:t>
      </w:r>
      <w:r w:rsidRPr="00C3033D">
        <w:rPr>
          <w:rFonts w:cs="Arial"/>
          <w:sz w:val="20"/>
        </w:rPr>
        <w:t xml:space="preserve"> to June 20</w:t>
      </w:r>
      <w:r w:rsidR="008D4B76">
        <w:rPr>
          <w:rFonts w:cs="Arial"/>
          <w:sz w:val="20"/>
        </w:rPr>
        <w:t>1</w:t>
      </w:r>
      <w:r w:rsidR="00BE5BFD">
        <w:rPr>
          <w:rFonts w:cs="Arial"/>
          <w:sz w:val="20"/>
        </w:rPr>
        <w:t>1</w:t>
      </w:r>
      <w:r w:rsidRPr="00C3033D">
        <w:rPr>
          <w:rFonts w:cs="Arial"/>
          <w:sz w:val="20"/>
        </w:rPr>
        <w:t>.  The income question</w:t>
      </w:r>
      <w:r w:rsidR="001C0BAB">
        <w:rPr>
          <w:rFonts w:cs="Arial"/>
          <w:sz w:val="20"/>
        </w:rPr>
        <w:t>s</w:t>
      </w:r>
      <w:r w:rsidRPr="00C3033D">
        <w:rPr>
          <w:rFonts w:cs="Arial"/>
          <w:sz w:val="20"/>
        </w:rPr>
        <w:t xml:space="preserve"> ask about incomes for the twelve months prior to the interview.</w:t>
      </w:r>
    </w:p>
    <w:p w:rsidR="00A17B4A" w:rsidRDefault="00A17B4A" w:rsidP="004F1BFB">
      <w:pPr>
        <w:jc w:val="both"/>
        <w:rPr>
          <w:rFonts w:cs="Arial"/>
          <w:sz w:val="20"/>
        </w:rPr>
      </w:pPr>
    </w:p>
    <w:p w:rsidR="00BD65A0" w:rsidRDefault="00BD65A0" w:rsidP="0027550C">
      <w:pPr>
        <w:spacing w:after="60"/>
        <w:jc w:val="both"/>
        <w:rPr>
          <w:rFonts w:cs="Arial"/>
          <w:sz w:val="20"/>
        </w:rPr>
      </w:pPr>
      <w:r>
        <w:rPr>
          <w:rFonts w:cs="Arial"/>
          <w:sz w:val="20"/>
        </w:rPr>
        <w:t>In addition to the updates using the latest HES data, the report also has two new sections:</w:t>
      </w:r>
    </w:p>
    <w:p w:rsidR="00BD65A0" w:rsidRDefault="00BD65A0" w:rsidP="0027550C">
      <w:pPr>
        <w:numPr>
          <w:ilvl w:val="0"/>
          <w:numId w:val="79"/>
        </w:numPr>
        <w:tabs>
          <w:tab w:val="clear" w:pos="720"/>
          <w:tab w:val="num" w:pos="567"/>
        </w:tabs>
        <w:spacing w:after="60"/>
        <w:ind w:left="567" w:hanging="283"/>
        <w:jc w:val="both"/>
        <w:rPr>
          <w:rFonts w:cs="Arial"/>
          <w:sz w:val="20"/>
        </w:rPr>
      </w:pPr>
      <w:r>
        <w:rPr>
          <w:rFonts w:cs="Arial"/>
          <w:sz w:val="20"/>
        </w:rPr>
        <w:t xml:space="preserve">one using the non-monetary indicators (NMIs) available in the HES to track material hardship from 2006-07 to 2010-11 </w:t>
      </w:r>
    </w:p>
    <w:p w:rsidR="00BD65A0" w:rsidRDefault="00BD65A0" w:rsidP="0027550C">
      <w:pPr>
        <w:numPr>
          <w:ilvl w:val="0"/>
          <w:numId w:val="79"/>
        </w:numPr>
        <w:tabs>
          <w:tab w:val="clear" w:pos="720"/>
          <w:tab w:val="num" w:pos="567"/>
        </w:tabs>
        <w:ind w:left="567" w:hanging="283"/>
        <w:jc w:val="both"/>
        <w:rPr>
          <w:rFonts w:cs="Arial"/>
          <w:sz w:val="20"/>
        </w:rPr>
      </w:pPr>
      <w:r>
        <w:rPr>
          <w:rFonts w:cs="Arial"/>
          <w:sz w:val="20"/>
        </w:rPr>
        <w:t xml:space="preserve">the other summarising recent </w:t>
      </w:r>
      <w:smartTag w:uri="urn:schemas-microsoft-com:office:smarttags" w:element="PlaceType">
        <w:r>
          <w:rPr>
            <w:rFonts w:cs="Arial"/>
            <w:sz w:val="20"/>
          </w:rPr>
          <w:t>University</w:t>
        </w:r>
      </w:smartTag>
      <w:r>
        <w:rPr>
          <w:rFonts w:cs="Arial"/>
          <w:sz w:val="20"/>
        </w:rPr>
        <w:t xml:space="preserve"> of </w:t>
      </w:r>
      <w:smartTag w:uri="urn:schemas-microsoft-com:office:smarttags" w:element="PlaceName">
        <w:r>
          <w:rPr>
            <w:rFonts w:cs="Arial"/>
            <w:sz w:val="20"/>
          </w:rPr>
          <w:t>Otago</w:t>
        </w:r>
      </w:smartTag>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 research on income mobility and poverty persistence using Statistics New Zealand’s Survey of Family, Income and employment (SoFIE).</w:t>
      </w:r>
      <w:r w:rsidR="0047610D" w:rsidRPr="0047610D">
        <w:rPr>
          <w:rStyle w:val="PageNumber"/>
          <w:rFonts w:cs="Arial"/>
          <w:sz w:val="20"/>
        </w:rPr>
        <w:t xml:space="preserve"> </w:t>
      </w:r>
      <w:r w:rsidR="0047610D" w:rsidRPr="00C3033D">
        <w:rPr>
          <w:rStyle w:val="FootnoteReference"/>
          <w:rFonts w:cs="Arial"/>
          <w:sz w:val="20"/>
        </w:rPr>
        <w:footnoteReference w:id="3"/>
      </w:r>
    </w:p>
    <w:p w:rsidR="00BD65A0" w:rsidRPr="00C3033D" w:rsidRDefault="00BD65A0" w:rsidP="004F1BFB">
      <w:pPr>
        <w:jc w:val="both"/>
        <w:rPr>
          <w:rFonts w:cs="Arial"/>
          <w:sz w:val="20"/>
        </w:rPr>
      </w:pPr>
    </w:p>
    <w:p w:rsidR="00CC4FC6" w:rsidRPr="00C3033D" w:rsidRDefault="004F1BFB" w:rsidP="004F1BFB">
      <w:pPr>
        <w:jc w:val="both"/>
        <w:rPr>
          <w:rFonts w:cs="Arial"/>
          <w:sz w:val="20"/>
        </w:rPr>
      </w:pPr>
      <w:r w:rsidRPr="00C3033D">
        <w:rPr>
          <w:rFonts w:cs="Arial"/>
          <w:sz w:val="20"/>
        </w:rPr>
        <w:t xml:space="preserve">The report </w:t>
      </w:r>
      <w:r w:rsidR="00871616" w:rsidRPr="00C3033D">
        <w:rPr>
          <w:rFonts w:cs="Arial"/>
          <w:sz w:val="20"/>
        </w:rPr>
        <w:t>is</w:t>
      </w:r>
      <w:r w:rsidRPr="00C3033D">
        <w:rPr>
          <w:rFonts w:cs="Arial"/>
          <w:sz w:val="20"/>
        </w:rPr>
        <w:t xml:space="preserve"> published as part of the Ministry</w:t>
      </w:r>
      <w:r w:rsidR="008E60B1" w:rsidRPr="00C3033D">
        <w:rPr>
          <w:rFonts w:cs="Arial"/>
          <w:sz w:val="20"/>
        </w:rPr>
        <w:t xml:space="preserve"> of </w:t>
      </w:r>
      <w:r w:rsidR="00C835EB" w:rsidRPr="00C3033D">
        <w:rPr>
          <w:rFonts w:cs="Arial"/>
          <w:sz w:val="20"/>
        </w:rPr>
        <w:t>S</w:t>
      </w:r>
      <w:r w:rsidR="008E60B1" w:rsidRPr="00C3033D">
        <w:rPr>
          <w:rFonts w:cs="Arial"/>
          <w:sz w:val="20"/>
        </w:rPr>
        <w:t>ocial Development</w:t>
      </w:r>
      <w:r w:rsidRPr="00C3033D">
        <w:rPr>
          <w:rFonts w:cs="Arial"/>
          <w:sz w:val="20"/>
        </w:rPr>
        <w:t xml:space="preserve">’s work on monitoring social and economic </w:t>
      </w:r>
      <w:r w:rsidR="00C42A24" w:rsidRPr="00C3033D">
        <w:rPr>
          <w:rFonts w:cs="Arial"/>
          <w:sz w:val="20"/>
        </w:rPr>
        <w:t>wellbeing</w:t>
      </w:r>
      <w:r w:rsidRPr="00C3033D">
        <w:rPr>
          <w:rFonts w:cs="Arial"/>
          <w:sz w:val="20"/>
        </w:rPr>
        <w:t>.</w:t>
      </w:r>
      <w:r w:rsidR="008D1EDB" w:rsidRPr="00C3033D">
        <w:rPr>
          <w:rFonts w:cs="Arial"/>
          <w:sz w:val="20"/>
        </w:rPr>
        <w:t xml:space="preserve"> </w:t>
      </w:r>
      <w:r w:rsidR="003760A4" w:rsidRPr="00C3033D">
        <w:rPr>
          <w:rFonts w:cs="Arial"/>
          <w:sz w:val="20"/>
        </w:rPr>
        <w:t>It is</w:t>
      </w:r>
      <w:r w:rsidRPr="00C3033D">
        <w:rPr>
          <w:rFonts w:cs="Arial"/>
          <w:sz w:val="20"/>
        </w:rPr>
        <w:t xml:space="preserve"> </w:t>
      </w:r>
      <w:r w:rsidR="00F17B9C" w:rsidRPr="00C3033D">
        <w:rPr>
          <w:rFonts w:cs="Arial"/>
          <w:sz w:val="20"/>
        </w:rPr>
        <w:t xml:space="preserve">designed as </w:t>
      </w:r>
      <w:r w:rsidRPr="00C3033D">
        <w:rPr>
          <w:rFonts w:cs="Arial"/>
          <w:sz w:val="20"/>
        </w:rPr>
        <w:t xml:space="preserve">a </w:t>
      </w:r>
      <w:r w:rsidR="00871616" w:rsidRPr="00C3033D">
        <w:rPr>
          <w:rFonts w:cs="Arial"/>
          <w:sz w:val="20"/>
        </w:rPr>
        <w:t>consolidated</w:t>
      </w:r>
      <w:r w:rsidR="003760A4" w:rsidRPr="00C3033D">
        <w:rPr>
          <w:rFonts w:cs="Arial"/>
          <w:sz w:val="20"/>
        </w:rPr>
        <w:t xml:space="preserve"> and</w:t>
      </w:r>
      <w:r w:rsidRPr="00C3033D">
        <w:rPr>
          <w:rFonts w:cs="Arial"/>
          <w:sz w:val="20"/>
        </w:rPr>
        <w:t xml:space="preserve"> </w:t>
      </w:r>
      <w:r w:rsidR="00A17B4A" w:rsidRPr="00C3033D">
        <w:rPr>
          <w:rFonts w:cs="Arial"/>
          <w:sz w:val="20"/>
        </w:rPr>
        <w:t xml:space="preserve">accessible </w:t>
      </w:r>
      <w:r w:rsidRPr="00C3033D">
        <w:rPr>
          <w:rFonts w:cs="Arial"/>
          <w:sz w:val="20"/>
        </w:rPr>
        <w:t xml:space="preserve">resource </w:t>
      </w:r>
      <w:r w:rsidR="0090646D" w:rsidRPr="00C3033D">
        <w:rPr>
          <w:rFonts w:cs="Arial"/>
          <w:sz w:val="20"/>
        </w:rPr>
        <w:t>for use by a wide range of individuals and groups</w:t>
      </w:r>
      <w:r w:rsidR="00466A58" w:rsidRPr="00C3033D">
        <w:rPr>
          <w:rFonts w:cs="Arial"/>
          <w:sz w:val="20"/>
        </w:rPr>
        <w:t xml:space="preserve"> (</w:t>
      </w:r>
      <w:r w:rsidR="0090646D" w:rsidRPr="00C3033D">
        <w:rPr>
          <w:rFonts w:cs="Arial"/>
          <w:sz w:val="20"/>
        </w:rPr>
        <w:t xml:space="preserve">policy advisors, researchers, </w:t>
      </w:r>
      <w:r w:rsidR="00D86BE8" w:rsidRPr="00C3033D">
        <w:rPr>
          <w:rFonts w:cs="Arial"/>
          <w:sz w:val="20"/>
        </w:rPr>
        <w:t>students, academics,</w:t>
      </w:r>
      <w:r w:rsidR="0090646D" w:rsidRPr="00C3033D">
        <w:rPr>
          <w:rFonts w:cs="Arial"/>
          <w:sz w:val="20"/>
        </w:rPr>
        <w:t xml:space="preserve"> community groups, commentators and citizens more generally</w:t>
      </w:r>
      <w:r w:rsidR="00466A58" w:rsidRPr="00C3033D">
        <w:rPr>
          <w:rFonts w:cs="Arial"/>
          <w:sz w:val="20"/>
        </w:rPr>
        <w:t>)</w:t>
      </w:r>
      <w:r w:rsidR="00F17B9C" w:rsidRPr="00C3033D">
        <w:rPr>
          <w:rFonts w:cs="Arial"/>
          <w:sz w:val="20"/>
        </w:rPr>
        <w:t>,</w:t>
      </w:r>
      <w:r w:rsidR="00466A58" w:rsidRPr="00C3033D">
        <w:rPr>
          <w:rFonts w:cs="Arial"/>
          <w:sz w:val="20"/>
        </w:rPr>
        <w:t xml:space="preserve"> to inform </w:t>
      </w:r>
      <w:r w:rsidR="00C369E0" w:rsidRPr="00C3033D">
        <w:rPr>
          <w:rFonts w:cs="Arial"/>
          <w:sz w:val="20"/>
        </w:rPr>
        <w:t xml:space="preserve">policy development and public </w:t>
      </w:r>
      <w:r w:rsidR="00466A58" w:rsidRPr="00C3033D">
        <w:rPr>
          <w:rFonts w:cs="Arial"/>
          <w:sz w:val="20"/>
        </w:rPr>
        <w:t>debate around poverty alleviation and redistribution policies.</w:t>
      </w:r>
      <w:r w:rsidR="003C2790" w:rsidRPr="003C2790">
        <w:rPr>
          <w:rStyle w:val="FootnoteReference"/>
          <w:rFonts w:cs="Arial"/>
          <w:sz w:val="20"/>
        </w:rPr>
        <w:t xml:space="preserve"> </w:t>
      </w:r>
      <w:r w:rsidR="003C2790" w:rsidRPr="00C3033D">
        <w:rPr>
          <w:rStyle w:val="FootnoteReference"/>
          <w:rFonts w:cs="Arial"/>
          <w:sz w:val="20"/>
        </w:rPr>
        <w:footnoteReference w:id="4"/>
      </w:r>
      <w:r w:rsidR="0090646D" w:rsidRPr="00C3033D">
        <w:rPr>
          <w:rFonts w:cs="Arial"/>
          <w:sz w:val="20"/>
        </w:rPr>
        <w:t xml:space="preserve">  </w:t>
      </w:r>
    </w:p>
    <w:p w:rsidR="00CC4FC6" w:rsidRPr="00C3033D" w:rsidRDefault="00CC4FC6" w:rsidP="004F1BFB">
      <w:pPr>
        <w:jc w:val="both"/>
        <w:rPr>
          <w:rFonts w:cs="Arial"/>
          <w:sz w:val="20"/>
        </w:rPr>
      </w:pPr>
    </w:p>
    <w:p w:rsidR="00671A4E" w:rsidRPr="00C3033D" w:rsidRDefault="008A70EF" w:rsidP="00671A4E">
      <w:pPr>
        <w:jc w:val="both"/>
        <w:rPr>
          <w:rFonts w:cs="Arial"/>
          <w:sz w:val="20"/>
        </w:rPr>
      </w:pPr>
      <w:r w:rsidRPr="00C3033D">
        <w:rPr>
          <w:rFonts w:cs="Arial"/>
          <w:sz w:val="20"/>
        </w:rPr>
        <w:t xml:space="preserve">This is the </w:t>
      </w:r>
      <w:r w:rsidR="00BE5BFD">
        <w:rPr>
          <w:rFonts w:cs="Arial"/>
          <w:sz w:val="20"/>
        </w:rPr>
        <w:t>sixth</w:t>
      </w:r>
      <w:r w:rsidRPr="00C3033D">
        <w:rPr>
          <w:rFonts w:cs="Arial"/>
          <w:sz w:val="20"/>
        </w:rPr>
        <w:t xml:space="preserve"> issue </w:t>
      </w:r>
      <w:r w:rsidR="00A62F58" w:rsidRPr="00C3033D">
        <w:rPr>
          <w:rFonts w:cs="Arial"/>
          <w:sz w:val="20"/>
        </w:rPr>
        <w:t xml:space="preserve">in </w:t>
      </w:r>
      <w:r w:rsidR="004A01D6" w:rsidRPr="00C3033D">
        <w:rPr>
          <w:rFonts w:cs="Arial"/>
          <w:sz w:val="20"/>
        </w:rPr>
        <w:t>the</w:t>
      </w:r>
      <w:r w:rsidR="00671A4E" w:rsidRPr="00C3033D">
        <w:rPr>
          <w:rFonts w:cs="Arial"/>
          <w:sz w:val="20"/>
        </w:rPr>
        <w:t xml:space="preserve"> series of income reports which will be updated in similar format as new HES data</w:t>
      </w:r>
      <w:r w:rsidR="00A84641" w:rsidRPr="00C3033D">
        <w:rPr>
          <w:rFonts w:cs="Arial"/>
          <w:sz w:val="20"/>
        </w:rPr>
        <w:t>sets</w:t>
      </w:r>
      <w:r w:rsidR="00671A4E" w:rsidRPr="00C3033D">
        <w:rPr>
          <w:rFonts w:cs="Arial"/>
          <w:sz w:val="20"/>
        </w:rPr>
        <w:t xml:space="preserve"> become available.  The </w:t>
      </w:r>
      <w:r w:rsidRPr="00C3033D">
        <w:rPr>
          <w:rFonts w:cs="Arial"/>
          <w:sz w:val="20"/>
        </w:rPr>
        <w:t>next</w:t>
      </w:r>
      <w:r w:rsidR="00671A4E" w:rsidRPr="00C3033D">
        <w:rPr>
          <w:rFonts w:cs="Arial"/>
          <w:sz w:val="20"/>
        </w:rPr>
        <w:t xml:space="preserve"> update with new findings is expected in mid 20</w:t>
      </w:r>
      <w:r w:rsidR="004A01D6" w:rsidRPr="00C3033D">
        <w:rPr>
          <w:rFonts w:cs="Arial"/>
          <w:sz w:val="20"/>
        </w:rPr>
        <w:t>1</w:t>
      </w:r>
      <w:r w:rsidR="00BE5BFD">
        <w:rPr>
          <w:rFonts w:cs="Arial"/>
          <w:sz w:val="20"/>
        </w:rPr>
        <w:t>3</w:t>
      </w:r>
      <w:r w:rsidR="00671A4E" w:rsidRPr="00C3033D">
        <w:rPr>
          <w:rFonts w:cs="Arial"/>
          <w:sz w:val="20"/>
        </w:rPr>
        <w:t xml:space="preserve"> based on the data from the 20</w:t>
      </w:r>
      <w:r w:rsidR="00371467">
        <w:rPr>
          <w:rFonts w:cs="Arial"/>
          <w:sz w:val="20"/>
        </w:rPr>
        <w:t>1</w:t>
      </w:r>
      <w:r w:rsidR="00BE5BFD">
        <w:rPr>
          <w:rFonts w:cs="Arial"/>
          <w:sz w:val="20"/>
        </w:rPr>
        <w:t>2</w:t>
      </w:r>
      <w:r w:rsidR="00671A4E" w:rsidRPr="00C3033D">
        <w:rPr>
          <w:rFonts w:cs="Arial"/>
          <w:sz w:val="20"/>
        </w:rPr>
        <w:t xml:space="preserve"> HES</w:t>
      </w:r>
      <w:r w:rsidR="008D4B76">
        <w:rPr>
          <w:rFonts w:cs="Arial"/>
          <w:sz w:val="20"/>
        </w:rPr>
        <w:t xml:space="preserve"> (Income)</w:t>
      </w:r>
      <w:r w:rsidR="00671A4E" w:rsidRPr="00C3033D">
        <w:rPr>
          <w:rFonts w:cs="Arial"/>
          <w:sz w:val="20"/>
        </w:rPr>
        <w:t>.</w:t>
      </w:r>
      <w:r w:rsidR="00671A4E" w:rsidRPr="00C3033D">
        <w:rPr>
          <w:rStyle w:val="FootnoteReference"/>
          <w:rFonts w:cs="Arial"/>
          <w:sz w:val="20"/>
        </w:rPr>
        <w:t xml:space="preserve"> </w:t>
      </w:r>
    </w:p>
    <w:p w:rsidR="00D86BE8" w:rsidRPr="00C3033D" w:rsidRDefault="00D86BE8" w:rsidP="004F1BFB">
      <w:pPr>
        <w:jc w:val="both"/>
        <w:rPr>
          <w:rFonts w:cs="Arial"/>
          <w:sz w:val="20"/>
        </w:rPr>
      </w:pPr>
    </w:p>
    <w:p w:rsidR="00D86BE8" w:rsidRPr="00C3033D" w:rsidRDefault="00D86BE8" w:rsidP="004F1BFB">
      <w:pPr>
        <w:jc w:val="both"/>
        <w:rPr>
          <w:rFonts w:cs="Arial"/>
          <w:sz w:val="20"/>
        </w:rPr>
      </w:pPr>
      <w:r w:rsidRPr="00C3033D">
        <w:rPr>
          <w:rFonts w:cs="Arial"/>
          <w:sz w:val="20"/>
        </w:rPr>
        <w:t xml:space="preserve">The scope of the report is relatively narrow.  </w:t>
      </w:r>
      <w:r w:rsidR="00BF2AD4" w:rsidRPr="00C3033D">
        <w:rPr>
          <w:rFonts w:cs="Arial"/>
          <w:sz w:val="20"/>
        </w:rPr>
        <w:t xml:space="preserve">Its focus is on the economic </w:t>
      </w:r>
      <w:r w:rsidR="00C42A24" w:rsidRPr="00C3033D">
        <w:rPr>
          <w:rFonts w:cs="Arial"/>
          <w:sz w:val="20"/>
        </w:rPr>
        <w:t>wellbeing</w:t>
      </w:r>
      <w:r w:rsidR="00BF2AD4" w:rsidRPr="00C3033D">
        <w:rPr>
          <w:rFonts w:cs="Arial"/>
          <w:sz w:val="20"/>
        </w:rPr>
        <w:t xml:space="preserve"> of New Zealanders as indicated by</w:t>
      </w:r>
      <w:r w:rsidR="008E60B1" w:rsidRPr="00C3033D">
        <w:rPr>
          <w:rFonts w:cs="Arial"/>
          <w:sz w:val="20"/>
        </w:rPr>
        <w:t xml:space="preserve"> the </w:t>
      </w:r>
      <w:r w:rsidR="00BF2AD4" w:rsidRPr="00C3033D">
        <w:rPr>
          <w:rFonts w:cs="Arial"/>
          <w:sz w:val="20"/>
        </w:rPr>
        <w:t>equivalised disposable income of their households.  A</w:t>
      </w:r>
      <w:r w:rsidRPr="00C3033D">
        <w:rPr>
          <w:rFonts w:cs="Arial"/>
          <w:sz w:val="20"/>
        </w:rPr>
        <w:t>lthough it has a short section on the extent of re-distribution of households’ market income through taxation and government spending, it does not seek to give an account of how household income comes together from individual market incomes, social assistance paid to benefit units, and New Zealand Superannuation paid to older New Zealanders.  Nor does the report seek to</w:t>
      </w:r>
      <w:r w:rsidR="008E60B1" w:rsidRPr="00C3033D">
        <w:rPr>
          <w:rFonts w:cs="Arial"/>
          <w:sz w:val="20"/>
        </w:rPr>
        <w:t xml:space="preserve"> give a comprehensive </w:t>
      </w:r>
      <w:r w:rsidR="008E60B1" w:rsidRPr="00C3033D">
        <w:rPr>
          <w:rFonts w:cs="Arial"/>
          <w:sz w:val="20"/>
        </w:rPr>
        <w:lastRenderedPageBreak/>
        <w:t>explanation of</w:t>
      </w:r>
      <w:r w:rsidRPr="00C3033D">
        <w:rPr>
          <w:rFonts w:cs="Arial"/>
          <w:sz w:val="20"/>
        </w:rPr>
        <w:t xml:space="preserve"> the </w:t>
      </w:r>
      <w:r w:rsidR="00BF2AD4" w:rsidRPr="00C3033D">
        <w:rPr>
          <w:rFonts w:cs="Arial"/>
          <w:sz w:val="20"/>
        </w:rPr>
        <w:t>reported</w:t>
      </w:r>
      <w:r w:rsidRPr="00C3033D">
        <w:rPr>
          <w:rFonts w:cs="Arial"/>
          <w:sz w:val="20"/>
        </w:rPr>
        <w:t xml:space="preserve"> trends by drawing on the usual mix of labour market, demographic and macro</w:t>
      </w:r>
      <w:r w:rsidR="008D1EDB" w:rsidRPr="00C3033D">
        <w:rPr>
          <w:rFonts w:cs="Arial"/>
          <w:sz w:val="20"/>
        </w:rPr>
        <w:t>-</w:t>
      </w:r>
      <w:r w:rsidRPr="00C3033D">
        <w:rPr>
          <w:rFonts w:cs="Arial"/>
          <w:sz w:val="20"/>
        </w:rPr>
        <w:t xml:space="preserve">economic </w:t>
      </w:r>
      <w:r w:rsidR="008D1EDB" w:rsidRPr="00C3033D">
        <w:rPr>
          <w:rFonts w:cs="Arial"/>
          <w:sz w:val="20"/>
        </w:rPr>
        <w:t xml:space="preserve">and geo-political </w:t>
      </w:r>
      <w:r w:rsidRPr="00C3033D">
        <w:rPr>
          <w:rFonts w:cs="Arial"/>
          <w:sz w:val="20"/>
        </w:rPr>
        <w:t xml:space="preserve">factors, and </w:t>
      </w:r>
      <w:r w:rsidR="008E60B1" w:rsidRPr="00C3033D">
        <w:rPr>
          <w:rFonts w:cs="Arial"/>
          <w:sz w:val="20"/>
        </w:rPr>
        <w:t xml:space="preserve">on </w:t>
      </w:r>
      <w:r w:rsidRPr="00C3033D">
        <w:rPr>
          <w:rFonts w:cs="Arial"/>
          <w:sz w:val="20"/>
        </w:rPr>
        <w:t xml:space="preserve">changes in tax and social assistance policy settings.  Some </w:t>
      </w:r>
      <w:r w:rsidR="00BF2AD4" w:rsidRPr="00C3033D">
        <w:rPr>
          <w:rFonts w:cs="Arial"/>
          <w:sz w:val="20"/>
        </w:rPr>
        <w:t xml:space="preserve">limited </w:t>
      </w:r>
      <w:r w:rsidRPr="00C3033D">
        <w:rPr>
          <w:rFonts w:cs="Arial"/>
          <w:sz w:val="20"/>
        </w:rPr>
        <w:t xml:space="preserve">context is </w:t>
      </w:r>
      <w:r w:rsidR="00BF2AD4" w:rsidRPr="00C3033D">
        <w:rPr>
          <w:rFonts w:cs="Arial"/>
          <w:sz w:val="20"/>
        </w:rPr>
        <w:t>given to point to macro-level changes that impact on household income</w:t>
      </w:r>
      <w:r w:rsidRPr="00C3033D">
        <w:rPr>
          <w:rFonts w:cs="Arial"/>
          <w:sz w:val="20"/>
        </w:rPr>
        <w:t>, but the report is essentially descriptive.</w:t>
      </w:r>
    </w:p>
    <w:p w:rsidR="00027BE3" w:rsidRPr="00C3033D" w:rsidRDefault="00027BE3" w:rsidP="003B690B">
      <w:pPr>
        <w:jc w:val="both"/>
        <w:rPr>
          <w:rFonts w:cs="Arial"/>
          <w:sz w:val="20"/>
        </w:rPr>
      </w:pPr>
    </w:p>
    <w:p w:rsidR="00027BE3" w:rsidRPr="00C3033D" w:rsidRDefault="00027BE3" w:rsidP="003B690B">
      <w:pPr>
        <w:jc w:val="both"/>
        <w:rPr>
          <w:sz w:val="20"/>
          <w:lang w:val="en-NZ"/>
        </w:rPr>
      </w:pPr>
    </w:p>
    <w:p w:rsidR="00A40FA3" w:rsidRPr="00C3033D" w:rsidRDefault="00EF7BBD" w:rsidP="003B690B">
      <w:pPr>
        <w:jc w:val="both"/>
        <w:rPr>
          <w:sz w:val="20"/>
          <w:lang w:val="en-NZ"/>
        </w:rPr>
      </w:pPr>
      <w:r>
        <w:rPr>
          <w:sz w:val="20"/>
          <w:lang w:val="en-NZ"/>
        </w:rPr>
        <w:t>There are</w:t>
      </w:r>
      <w:r w:rsidR="0036521B" w:rsidRPr="00C3033D">
        <w:rPr>
          <w:sz w:val="20"/>
          <w:lang w:val="en-NZ"/>
        </w:rPr>
        <w:t xml:space="preserve"> several</w:t>
      </w:r>
      <w:r w:rsidR="00CC4FC6" w:rsidRPr="00C3033D">
        <w:rPr>
          <w:sz w:val="20"/>
          <w:lang w:val="en-NZ"/>
        </w:rPr>
        <w:t xml:space="preserve"> </w:t>
      </w:r>
      <w:r w:rsidR="003D4366" w:rsidRPr="00C3033D">
        <w:rPr>
          <w:sz w:val="20"/>
          <w:u w:val="single"/>
          <w:lang w:val="en-NZ"/>
        </w:rPr>
        <w:t>A</w:t>
      </w:r>
      <w:r w:rsidR="00A40FA3" w:rsidRPr="00C3033D">
        <w:rPr>
          <w:sz w:val="20"/>
          <w:u w:val="single"/>
          <w:lang w:val="en-NZ"/>
        </w:rPr>
        <w:t>ppendices</w:t>
      </w:r>
      <w:r w:rsidR="00CC4FC6" w:rsidRPr="00C3033D">
        <w:rPr>
          <w:sz w:val="20"/>
          <w:lang w:val="en-NZ"/>
        </w:rPr>
        <w:t xml:space="preserve"> </w:t>
      </w:r>
      <w:r w:rsidR="0036521B" w:rsidRPr="00C3033D">
        <w:rPr>
          <w:sz w:val="20"/>
          <w:lang w:val="en-NZ"/>
        </w:rPr>
        <w:t>which</w:t>
      </w:r>
      <w:r w:rsidR="00EE02C2" w:rsidRPr="00C3033D">
        <w:rPr>
          <w:sz w:val="20"/>
          <w:lang w:val="en-NZ"/>
        </w:rPr>
        <w:t xml:space="preserve"> </w:t>
      </w:r>
      <w:r w:rsidR="0036521B" w:rsidRPr="00C3033D">
        <w:rPr>
          <w:sz w:val="20"/>
          <w:lang w:val="en-NZ"/>
        </w:rPr>
        <w:t xml:space="preserve">provide more detail on </w:t>
      </w:r>
      <w:r w:rsidR="00EE02C2" w:rsidRPr="00C3033D">
        <w:rPr>
          <w:sz w:val="20"/>
          <w:lang w:val="en-NZ"/>
        </w:rPr>
        <w:t xml:space="preserve">some of the concepts, definitions and assumptions </w:t>
      </w:r>
      <w:r w:rsidR="0036521B" w:rsidRPr="00C3033D">
        <w:rPr>
          <w:sz w:val="20"/>
          <w:lang w:val="en-NZ"/>
        </w:rPr>
        <w:t xml:space="preserve">used </w:t>
      </w:r>
      <w:r w:rsidR="00EE02C2" w:rsidRPr="00C3033D">
        <w:rPr>
          <w:sz w:val="20"/>
          <w:lang w:val="en-NZ"/>
        </w:rPr>
        <w:t xml:space="preserve">in the report, and how these impact on </w:t>
      </w:r>
      <w:r w:rsidR="0036521B" w:rsidRPr="00C3033D">
        <w:rPr>
          <w:sz w:val="20"/>
          <w:lang w:val="en-NZ"/>
        </w:rPr>
        <w:t xml:space="preserve">the reported </w:t>
      </w:r>
      <w:r w:rsidR="00EE02C2" w:rsidRPr="00C3033D">
        <w:rPr>
          <w:sz w:val="20"/>
          <w:lang w:val="en-NZ"/>
        </w:rPr>
        <w:t>levels and trends in inequality and poverty</w:t>
      </w:r>
      <w:r w:rsidR="0036521B" w:rsidRPr="00C3033D">
        <w:rPr>
          <w:sz w:val="20"/>
          <w:lang w:val="en-NZ"/>
        </w:rPr>
        <w:t>.</w:t>
      </w:r>
      <w:r w:rsidR="00EE02C2" w:rsidRPr="00C3033D">
        <w:rPr>
          <w:sz w:val="20"/>
          <w:lang w:val="en-NZ"/>
        </w:rPr>
        <w:t xml:space="preserve"> </w:t>
      </w:r>
    </w:p>
    <w:p w:rsidR="00CC4FC6" w:rsidRPr="00C3033D" w:rsidRDefault="00CC4FC6" w:rsidP="00F109F5">
      <w:pPr>
        <w:jc w:val="both"/>
        <w:rPr>
          <w:rFonts w:cs="Arial"/>
          <w:sz w:val="20"/>
        </w:rPr>
      </w:pPr>
    </w:p>
    <w:p w:rsidR="0090774B" w:rsidRPr="00C3033D" w:rsidRDefault="00111142" w:rsidP="00F109F5">
      <w:pPr>
        <w:jc w:val="both"/>
        <w:rPr>
          <w:rFonts w:cs="Arial"/>
          <w:sz w:val="20"/>
        </w:rPr>
      </w:pPr>
      <w:r w:rsidRPr="00C3033D">
        <w:rPr>
          <w:rFonts w:cs="Arial"/>
          <w:sz w:val="20"/>
        </w:rPr>
        <w:t xml:space="preserve">The Table of Contents and the List of Figures and Tables </w:t>
      </w:r>
      <w:r w:rsidR="00E14750" w:rsidRPr="00C3033D">
        <w:rPr>
          <w:rFonts w:cs="Arial"/>
          <w:sz w:val="20"/>
        </w:rPr>
        <w:t>give</w:t>
      </w:r>
      <w:r w:rsidRPr="00C3033D">
        <w:rPr>
          <w:rFonts w:cs="Arial"/>
          <w:sz w:val="20"/>
        </w:rPr>
        <w:t xml:space="preserve"> comprehensive navigational assistance.</w:t>
      </w:r>
      <w:r w:rsidR="001C0BAB">
        <w:rPr>
          <w:rFonts w:cs="Arial"/>
          <w:sz w:val="20"/>
        </w:rPr>
        <w:t xml:space="preserve">  A </w:t>
      </w:r>
      <w:r w:rsidR="00E14750" w:rsidRPr="00C3033D">
        <w:rPr>
          <w:rFonts w:cs="Arial"/>
          <w:sz w:val="20"/>
        </w:rPr>
        <w:t>Summary of Findings is provided in the next section.</w:t>
      </w:r>
    </w:p>
    <w:p w:rsidR="00111142" w:rsidRPr="00C3033D" w:rsidRDefault="00111142" w:rsidP="00F109F5">
      <w:pPr>
        <w:jc w:val="both"/>
        <w:rPr>
          <w:rFonts w:cs="Arial"/>
          <w:sz w:val="20"/>
        </w:rPr>
      </w:pPr>
    </w:p>
    <w:p w:rsidR="00111142" w:rsidRPr="001C0BAB" w:rsidRDefault="001C0BAB" w:rsidP="00F109F5">
      <w:pPr>
        <w:jc w:val="both"/>
        <w:rPr>
          <w:rFonts w:cs="Arial"/>
          <w:color w:val="000000"/>
          <w:sz w:val="20"/>
        </w:rPr>
      </w:pPr>
      <w:r>
        <w:rPr>
          <w:rFonts w:cs="Arial"/>
          <w:color w:val="000000"/>
          <w:sz w:val="20"/>
        </w:rPr>
        <w:t>Summary</w:t>
      </w:r>
      <w:r w:rsidR="00111142" w:rsidRPr="001C0BAB">
        <w:rPr>
          <w:rFonts w:cs="Arial"/>
          <w:color w:val="000000"/>
          <w:sz w:val="20"/>
        </w:rPr>
        <w:t xml:space="preserve"> inequality figures are available on </w:t>
      </w:r>
      <w:r w:rsidR="00373DDA" w:rsidRPr="001C0BAB">
        <w:rPr>
          <w:rFonts w:cs="Arial"/>
          <w:color w:val="000000"/>
          <w:sz w:val="20"/>
        </w:rPr>
        <w:t xml:space="preserve">pp </w:t>
      </w:r>
      <w:r w:rsidRPr="001C0BAB">
        <w:rPr>
          <w:rFonts w:cs="Arial"/>
          <w:color w:val="000000"/>
          <w:sz w:val="20"/>
        </w:rPr>
        <w:t>7</w:t>
      </w:r>
      <w:r w:rsidR="0027550C">
        <w:rPr>
          <w:rFonts w:cs="Arial"/>
          <w:color w:val="000000"/>
          <w:sz w:val="20"/>
        </w:rPr>
        <w:t>6</w:t>
      </w:r>
      <w:r w:rsidR="00EB1322" w:rsidRPr="001C0BAB">
        <w:rPr>
          <w:rFonts w:cs="Arial"/>
          <w:color w:val="000000"/>
          <w:sz w:val="20"/>
        </w:rPr>
        <w:t>-</w:t>
      </w:r>
      <w:r w:rsidR="0027550C">
        <w:rPr>
          <w:rFonts w:cs="Arial"/>
          <w:color w:val="000000"/>
          <w:sz w:val="20"/>
        </w:rPr>
        <w:t>80</w:t>
      </w:r>
      <w:r w:rsidR="00111142" w:rsidRPr="001C0BAB">
        <w:rPr>
          <w:rFonts w:cs="Arial"/>
          <w:color w:val="000000"/>
          <w:sz w:val="20"/>
        </w:rPr>
        <w:t xml:space="preserve">, and trends in income poverty for the whole population and dependent children are on </w:t>
      </w:r>
      <w:r w:rsidR="003C2790" w:rsidRPr="001C0BAB">
        <w:rPr>
          <w:rFonts w:cs="Arial"/>
          <w:color w:val="000000"/>
          <w:sz w:val="20"/>
        </w:rPr>
        <w:t>pp</w:t>
      </w:r>
      <w:r w:rsidR="00373DDA" w:rsidRPr="001C0BAB">
        <w:rPr>
          <w:rFonts w:cs="Arial"/>
          <w:color w:val="000000"/>
          <w:sz w:val="20"/>
        </w:rPr>
        <w:t xml:space="preserve"> </w:t>
      </w:r>
      <w:r w:rsidRPr="001C0BAB">
        <w:rPr>
          <w:rFonts w:cs="Arial"/>
          <w:color w:val="000000"/>
          <w:sz w:val="20"/>
        </w:rPr>
        <w:t>9</w:t>
      </w:r>
      <w:r w:rsidR="0027550C">
        <w:rPr>
          <w:rFonts w:cs="Arial"/>
          <w:color w:val="000000"/>
          <w:sz w:val="20"/>
        </w:rPr>
        <w:t>7</w:t>
      </w:r>
      <w:r w:rsidR="00EB1322" w:rsidRPr="001C0BAB">
        <w:rPr>
          <w:rFonts w:cs="Arial"/>
          <w:color w:val="000000"/>
          <w:sz w:val="20"/>
        </w:rPr>
        <w:t>-</w:t>
      </w:r>
      <w:r w:rsidRPr="001C0BAB">
        <w:rPr>
          <w:rFonts w:cs="Arial"/>
          <w:color w:val="000000"/>
          <w:sz w:val="20"/>
        </w:rPr>
        <w:t>10</w:t>
      </w:r>
      <w:r w:rsidR="0027550C">
        <w:rPr>
          <w:rFonts w:cs="Arial"/>
          <w:color w:val="000000"/>
          <w:sz w:val="20"/>
        </w:rPr>
        <w:t>5</w:t>
      </w:r>
      <w:r w:rsidRPr="001C0BAB">
        <w:rPr>
          <w:rFonts w:cs="Arial"/>
          <w:color w:val="000000"/>
          <w:sz w:val="20"/>
        </w:rPr>
        <w:t>.</w:t>
      </w:r>
    </w:p>
    <w:p w:rsidR="00F109F5" w:rsidRDefault="00F109F5" w:rsidP="00F109F5">
      <w:pPr>
        <w:jc w:val="both"/>
        <w:rPr>
          <w:rFonts w:cs="Arial"/>
          <w:sz w:val="20"/>
        </w:rPr>
      </w:pPr>
    </w:p>
    <w:p w:rsidR="00BE5BFD" w:rsidRDefault="00BE5BFD" w:rsidP="00F109F5">
      <w:pPr>
        <w:jc w:val="both"/>
        <w:rPr>
          <w:rFonts w:cs="Arial"/>
          <w:sz w:val="20"/>
        </w:rPr>
      </w:pPr>
    </w:p>
    <w:p w:rsidR="00A827F1" w:rsidRPr="00C3033D" w:rsidRDefault="00A827F1" w:rsidP="00F109F5">
      <w:pPr>
        <w:jc w:val="both"/>
        <w:rPr>
          <w:rFonts w:cs="Arial"/>
          <w:sz w:val="20"/>
        </w:rPr>
      </w:pPr>
    </w:p>
    <w:p w:rsidR="00A827F1" w:rsidRPr="00C3033D" w:rsidRDefault="00A827F1" w:rsidP="00F109F5">
      <w:pPr>
        <w:jc w:val="both"/>
        <w:rPr>
          <w:rFonts w:cs="Arial"/>
          <w:sz w:val="20"/>
        </w:rPr>
      </w:pPr>
    </w:p>
    <w:p w:rsidR="00A827F1" w:rsidRPr="00C3033D" w:rsidRDefault="00A827F1" w:rsidP="00A827F1">
      <w:pPr>
        <w:jc w:val="center"/>
        <w:rPr>
          <w:rFonts w:cs="Arial"/>
          <w:sz w:val="20"/>
        </w:rPr>
      </w:pPr>
      <w:r w:rsidRPr="00C3033D">
        <w:rPr>
          <w:rFonts w:cs="Arial"/>
          <w:sz w:val="20"/>
        </w:rPr>
        <w:t>* * * * * * * * * * * * * * *</w:t>
      </w:r>
    </w:p>
    <w:p w:rsidR="0090774B" w:rsidRPr="00C3033D" w:rsidRDefault="0090774B" w:rsidP="00F109F5">
      <w:pPr>
        <w:jc w:val="both"/>
        <w:rPr>
          <w:rFonts w:cs="Arial"/>
          <w:sz w:val="20"/>
        </w:rPr>
      </w:pPr>
    </w:p>
    <w:p w:rsidR="00A827F1" w:rsidRPr="00C3033D" w:rsidRDefault="00A827F1" w:rsidP="00F109F5">
      <w:pPr>
        <w:jc w:val="both"/>
        <w:rPr>
          <w:rFonts w:cs="Arial"/>
          <w:sz w:val="20"/>
        </w:rPr>
      </w:pPr>
    </w:p>
    <w:p w:rsidR="00A522B3" w:rsidRPr="00C3033D" w:rsidRDefault="00A522B3" w:rsidP="00F109F5">
      <w:pPr>
        <w:jc w:val="both"/>
        <w:rPr>
          <w:rFonts w:cs="Arial"/>
          <w:sz w:val="20"/>
        </w:rPr>
      </w:pPr>
      <w:r w:rsidRPr="00C3033D">
        <w:rPr>
          <w:rFonts w:cs="Arial"/>
          <w:sz w:val="20"/>
        </w:rPr>
        <w:t>Copies of the report are available on the Ministry of Social Development’s website at:</w:t>
      </w:r>
    </w:p>
    <w:p w:rsidR="00A522B3" w:rsidRPr="00C3033D" w:rsidRDefault="00A522B3" w:rsidP="00A522B3">
      <w:pPr>
        <w:jc w:val="both"/>
        <w:rPr>
          <w:rFonts w:cs="Arial"/>
          <w:sz w:val="20"/>
        </w:rPr>
      </w:pPr>
      <w:hyperlink r:id="rId9" w:history="1">
        <w:r w:rsidRPr="00C3033D">
          <w:rPr>
            <w:rStyle w:val="Hyperlink"/>
            <w:rFonts w:cs="Arial"/>
            <w:sz w:val="20"/>
          </w:rPr>
          <w:t>www.msd.govt.nz</w:t>
        </w:r>
      </w:hyperlink>
    </w:p>
    <w:p w:rsidR="00A522B3" w:rsidRPr="00C3033D" w:rsidRDefault="00A522B3" w:rsidP="00F109F5">
      <w:pPr>
        <w:jc w:val="both"/>
        <w:rPr>
          <w:rFonts w:cs="Arial"/>
          <w:sz w:val="20"/>
        </w:rPr>
      </w:pPr>
    </w:p>
    <w:p w:rsidR="00175BDC" w:rsidRPr="00C3033D" w:rsidRDefault="00175BDC" w:rsidP="00F109F5">
      <w:pPr>
        <w:jc w:val="both"/>
        <w:rPr>
          <w:rFonts w:cs="Arial"/>
          <w:sz w:val="20"/>
        </w:rPr>
      </w:pPr>
      <w:r w:rsidRPr="00C3033D">
        <w:rPr>
          <w:rFonts w:cs="Arial"/>
          <w:sz w:val="20"/>
        </w:rPr>
        <w:t>Feedback on the report is welcomed, especially any suggestions for possible additional information or for the clarification or better presentation of what is already included.</w:t>
      </w:r>
    </w:p>
    <w:p w:rsidR="00007F84" w:rsidRPr="00C3033D" w:rsidRDefault="00007F84" w:rsidP="00F109F5">
      <w:pPr>
        <w:jc w:val="both"/>
        <w:rPr>
          <w:rFonts w:cs="Arial"/>
          <w:sz w:val="20"/>
        </w:rPr>
      </w:pPr>
    </w:p>
    <w:p w:rsidR="00007F84" w:rsidRPr="00C3033D" w:rsidRDefault="00007F84" w:rsidP="00007F84">
      <w:pPr>
        <w:jc w:val="both"/>
        <w:rPr>
          <w:rFonts w:cs="Arial"/>
          <w:sz w:val="20"/>
        </w:rPr>
      </w:pPr>
      <w:r w:rsidRPr="00C3033D">
        <w:rPr>
          <w:rFonts w:cs="Arial"/>
          <w:sz w:val="20"/>
        </w:rPr>
        <w:t xml:space="preserve">For feedback and enquiries, contact </w:t>
      </w:r>
      <w:smartTag w:uri="urn:schemas-microsoft-com:office:smarttags" w:element="PersonName">
        <w:r w:rsidRPr="00C3033D">
          <w:rPr>
            <w:rFonts w:cs="Arial"/>
            <w:sz w:val="20"/>
          </w:rPr>
          <w:t>Bryan Perry</w:t>
        </w:r>
      </w:smartTag>
      <w:r w:rsidRPr="00C3033D">
        <w:rPr>
          <w:rFonts w:cs="Arial"/>
          <w:sz w:val="20"/>
        </w:rPr>
        <w:t xml:space="preserve"> at</w:t>
      </w:r>
      <w:r w:rsidR="0087611E" w:rsidRPr="00C3033D">
        <w:rPr>
          <w:rFonts w:cs="Arial"/>
          <w:sz w:val="20"/>
        </w:rPr>
        <w:t>:</w:t>
      </w:r>
      <w:r w:rsidR="00A522B3" w:rsidRPr="00C3033D">
        <w:rPr>
          <w:rFonts w:cs="Arial"/>
          <w:sz w:val="20"/>
        </w:rPr>
        <w:t xml:space="preserve">   </w:t>
      </w:r>
      <w:hyperlink r:id="rId10" w:history="1">
        <w:r w:rsidRPr="00C3033D">
          <w:rPr>
            <w:rStyle w:val="Hyperlink"/>
            <w:rFonts w:cs="Arial"/>
            <w:sz w:val="20"/>
          </w:rPr>
          <w:t>bryan.perry001@msd.govt.nz</w:t>
        </w:r>
      </w:hyperlink>
    </w:p>
    <w:p w:rsidR="00086ED8" w:rsidRPr="00C3033D" w:rsidRDefault="00086ED8" w:rsidP="00007F84">
      <w:pPr>
        <w:jc w:val="both"/>
        <w:rPr>
          <w:rFonts w:cs="Arial"/>
          <w:sz w:val="20"/>
        </w:rPr>
      </w:pPr>
    </w:p>
    <w:p w:rsidR="008A70EF" w:rsidRDefault="008A70EF" w:rsidP="00007F84">
      <w:pPr>
        <w:jc w:val="both"/>
        <w:rPr>
          <w:rFonts w:cs="Arial"/>
          <w:szCs w:val="22"/>
        </w:rPr>
      </w:pPr>
    </w:p>
    <w:bookmarkEnd w:id="0"/>
    <w:p w:rsidR="007B3E55" w:rsidRDefault="007B3E55" w:rsidP="00007F84">
      <w:pPr>
        <w:jc w:val="both"/>
        <w:rPr>
          <w:rFonts w:cs="Arial"/>
          <w:szCs w:val="22"/>
        </w:rPr>
        <w:sectPr w:rsidR="007B3E55" w:rsidSect="00A07712">
          <w:headerReference w:type="default" r:id="rId11"/>
          <w:pgSz w:w="11909" w:h="16834" w:code="9"/>
          <w:pgMar w:top="1440" w:right="1584" w:bottom="1440" w:left="1584" w:header="706" w:footer="706" w:gutter="0"/>
          <w:pgNumType w:start="1"/>
          <w:cols w:space="720"/>
        </w:sectPr>
      </w:pPr>
    </w:p>
    <w:p w:rsidR="007B3E55" w:rsidRPr="007B3E55" w:rsidRDefault="007B3E55" w:rsidP="007B3E55">
      <w:pPr>
        <w:rPr>
          <w:rFonts w:cs="Arial"/>
          <w:sz w:val="32"/>
          <w:szCs w:val="32"/>
        </w:rPr>
      </w:pPr>
      <w:r w:rsidRPr="007B3E55">
        <w:rPr>
          <w:rFonts w:cs="Arial"/>
          <w:b/>
          <w:sz w:val="32"/>
          <w:szCs w:val="32"/>
        </w:rPr>
        <w:lastRenderedPageBreak/>
        <w:t>Summary</w:t>
      </w:r>
      <w:r w:rsidR="0027550C">
        <w:rPr>
          <w:rFonts w:cs="Arial"/>
          <w:b/>
          <w:sz w:val="32"/>
          <w:szCs w:val="32"/>
        </w:rPr>
        <w:t xml:space="preserve">  </w:t>
      </w:r>
      <w:r w:rsidR="002249A8">
        <w:rPr>
          <w:rFonts w:cs="Arial"/>
          <w:b/>
          <w:sz w:val="32"/>
          <w:szCs w:val="32"/>
        </w:rPr>
        <w:t>and Overview</w:t>
      </w:r>
      <w:r w:rsidR="00DB045A">
        <w:rPr>
          <w:rFonts w:cs="Arial"/>
          <w:sz w:val="20"/>
        </w:rPr>
        <w:tab/>
      </w:r>
      <w:r w:rsidR="00DB045A">
        <w:rPr>
          <w:rFonts w:cs="Arial"/>
          <w:sz w:val="20"/>
        </w:rPr>
        <w:tab/>
      </w:r>
      <w:r w:rsidRPr="00DB045A">
        <w:rPr>
          <w:rFonts w:cs="Arial"/>
          <w:b/>
          <w:color w:val="0000FF"/>
          <w:sz w:val="24"/>
          <w:szCs w:val="24"/>
        </w:rPr>
        <w:tab/>
      </w:r>
      <w:r w:rsidRPr="007B3E55">
        <w:rPr>
          <w:rFonts w:cs="Arial"/>
          <w:sz w:val="32"/>
          <w:szCs w:val="32"/>
        </w:rPr>
        <w:tab/>
      </w:r>
    </w:p>
    <w:p w:rsidR="007B3E55" w:rsidRDefault="007B3E55" w:rsidP="007B3E55">
      <w:pPr>
        <w:rPr>
          <w:rFonts w:cs="Arial"/>
          <w:b/>
          <w:color w:val="000000"/>
        </w:rPr>
      </w:pPr>
    </w:p>
    <w:p w:rsidR="007B3E55" w:rsidRPr="00770BCA" w:rsidRDefault="007B3E55" w:rsidP="007B3E55">
      <w:pPr>
        <w:rPr>
          <w:rFonts w:cs="Arial"/>
          <w:b/>
          <w:color w:val="000000"/>
          <w:sz w:val="24"/>
          <w:szCs w:val="24"/>
        </w:rPr>
      </w:pPr>
      <w:r w:rsidRPr="00770BCA">
        <w:rPr>
          <w:rFonts w:cs="Arial"/>
          <w:b/>
          <w:color w:val="000000"/>
          <w:sz w:val="24"/>
          <w:szCs w:val="24"/>
        </w:rPr>
        <w:t>Background</w:t>
      </w:r>
      <w:r w:rsidRPr="00770BCA">
        <w:rPr>
          <w:rFonts w:cs="Arial"/>
          <w:b/>
          <w:color w:val="000000"/>
          <w:sz w:val="24"/>
          <w:szCs w:val="24"/>
        </w:rPr>
        <w:tab/>
      </w:r>
      <w:r w:rsidRPr="00770BCA">
        <w:rPr>
          <w:rFonts w:cs="Arial"/>
          <w:b/>
          <w:color w:val="000000"/>
          <w:sz w:val="24"/>
          <w:szCs w:val="24"/>
        </w:rPr>
        <w:tab/>
      </w:r>
      <w:r w:rsidRPr="00770BCA">
        <w:rPr>
          <w:rFonts w:cs="Arial"/>
          <w:b/>
          <w:color w:val="000000"/>
          <w:sz w:val="24"/>
          <w:szCs w:val="24"/>
        </w:rPr>
        <w:tab/>
      </w:r>
      <w:r w:rsidRPr="00770BCA">
        <w:rPr>
          <w:rFonts w:cs="Arial"/>
          <w:b/>
          <w:color w:val="000000"/>
          <w:sz w:val="24"/>
          <w:szCs w:val="24"/>
        </w:rPr>
        <w:tab/>
      </w:r>
      <w:r w:rsidRPr="00770BCA">
        <w:rPr>
          <w:rFonts w:cs="Arial"/>
          <w:b/>
          <w:color w:val="0000FF"/>
          <w:sz w:val="24"/>
          <w:szCs w:val="24"/>
        </w:rPr>
        <w:tab/>
      </w:r>
    </w:p>
    <w:p w:rsidR="007B3E55" w:rsidRDefault="007B3E55" w:rsidP="007B3E55">
      <w:pPr>
        <w:rPr>
          <w:rFonts w:cs="Arial"/>
          <w:b/>
          <w:color w:val="000000"/>
          <w:sz w:val="20"/>
          <w:szCs w:val="22"/>
        </w:rPr>
      </w:pPr>
    </w:p>
    <w:p w:rsidR="007B3E55" w:rsidRPr="000370BC" w:rsidRDefault="007B3E55" w:rsidP="007B3E55">
      <w:pPr>
        <w:rPr>
          <w:rFonts w:cs="Arial"/>
          <w:b/>
          <w:color w:val="000000"/>
          <w:sz w:val="20"/>
          <w:szCs w:val="22"/>
        </w:rPr>
      </w:pPr>
      <w:r w:rsidRPr="000370BC">
        <w:rPr>
          <w:rFonts w:cs="Arial"/>
          <w:b/>
          <w:color w:val="000000"/>
          <w:sz w:val="20"/>
          <w:szCs w:val="22"/>
        </w:rPr>
        <w:t>What is the Household Incomes Report and what period does it cover?</w:t>
      </w:r>
    </w:p>
    <w:p w:rsidR="007B3E55" w:rsidRPr="000370BC" w:rsidRDefault="007B3E55" w:rsidP="007B3E55">
      <w:pPr>
        <w:rPr>
          <w:rFonts w:cs="Arial"/>
          <w:b/>
          <w:color w:val="000000"/>
          <w:sz w:val="20"/>
        </w:rPr>
      </w:pPr>
    </w:p>
    <w:p w:rsidR="007B3E55" w:rsidRPr="006B4E60" w:rsidRDefault="007B3E55" w:rsidP="007B3E55">
      <w:pPr>
        <w:numPr>
          <w:ilvl w:val="0"/>
          <w:numId w:val="27"/>
        </w:numPr>
        <w:spacing w:after="120"/>
        <w:jc w:val="both"/>
        <w:rPr>
          <w:rFonts w:cs="Arial"/>
          <w:sz w:val="20"/>
        </w:rPr>
      </w:pPr>
      <w:r w:rsidRPr="006B4E60">
        <w:rPr>
          <w:rFonts w:cs="Arial"/>
          <w:sz w:val="20"/>
        </w:rPr>
        <w:t>The Household Incomes Report</w:t>
      </w:r>
      <w:r>
        <w:rPr>
          <w:rFonts w:cs="Arial"/>
          <w:sz w:val="20"/>
        </w:rPr>
        <w:t xml:space="preserve"> (the ‘Incomes Report’)</w:t>
      </w:r>
      <w:r w:rsidRPr="006B4E60">
        <w:rPr>
          <w:rFonts w:cs="Arial"/>
          <w:sz w:val="20"/>
        </w:rPr>
        <w:t xml:space="preserve"> provides information on trends in the material wellbeing of New Zealanders as indicated by their after-tax household incomes from all sources, 1982 to 201</w:t>
      </w:r>
      <w:r>
        <w:rPr>
          <w:rFonts w:cs="Arial"/>
          <w:sz w:val="20"/>
        </w:rPr>
        <w:t>1</w:t>
      </w:r>
      <w:r w:rsidRPr="006B4E60">
        <w:rPr>
          <w:rFonts w:cs="Arial"/>
          <w:sz w:val="20"/>
        </w:rPr>
        <w:t xml:space="preserve">.  </w:t>
      </w:r>
    </w:p>
    <w:p w:rsidR="007B3E55" w:rsidRPr="006B4E60" w:rsidRDefault="007B3E55" w:rsidP="007B3E55">
      <w:pPr>
        <w:numPr>
          <w:ilvl w:val="0"/>
          <w:numId w:val="27"/>
        </w:numPr>
        <w:spacing w:after="120"/>
        <w:jc w:val="both"/>
        <w:rPr>
          <w:rFonts w:cs="Arial"/>
          <w:sz w:val="20"/>
        </w:rPr>
      </w:pPr>
      <w:r w:rsidRPr="006B4E60">
        <w:rPr>
          <w:rFonts w:cs="Arial"/>
          <w:color w:val="000000"/>
          <w:sz w:val="20"/>
        </w:rPr>
        <w:t>The Incomes Report is an annual Ministry publication, prepared as part of its work on monitoring and understanding social and economic wellbeing.</w:t>
      </w:r>
    </w:p>
    <w:p w:rsidR="007B3E55" w:rsidRPr="006B4E60" w:rsidRDefault="007B3E55" w:rsidP="007B3E55">
      <w:pPr>
        <w:numPr>
          <w:ilvl w:val="0"/>
          <w:numId w:val="27"/>
        </w:numPr>
        <w:spacing w:after="120"/>
        <w:jc w:val="both"/>
        <w:rPr>
          <w:rFonts w:cs="Arial"/>
          <w:sz w:val="20"/>
        </w:rPr>
      </w:pPr>
      <w:r w:rsidRPr="006B4E60">
        <w:rPr>
          <w:rFonts w:cs="Arial"/>
          <w:color w:val="000000"/>
          <w:sz w:val="20"/>
        </w:rPr>
        <w:t xml:space="preserve">It is based </w:t>
      </w:r>
      <w:r>
        <w:rPr>
          <w:rFonts w:cs="Arial"/>
          <w:color w:val="000000"/>
          <w:sz w:val="20"/>
        </w:rPr>
        <w:t xml:space="preserve">in the main </w:t>
      </w:r>
      <w:r w:rsidRPr="006B4E60">
        <w:rPr>
          <w:rFonts w:cs="Arial"/>
          <w:color w:val="000000"/>
          <w:sz w:val="20"/>
        </w:rPr>
        <w:t>on data from Statistics New Zealand’s Household Economic Survey (HES).</w:t>
      </w:r>
    </w:p>
    <w:p w:rsidR="007B3E55" w:rsidRPr="006B4E60" w:rsidRDefault="007B3E55" w:rsidP="007B3E55">
      <w:pPr>
        <w:numPr>
          <w:ilvl w:val="0"/>
          <w:numId w:val="27"/>
        </w:numPr>
        <w:spacing w:after="120"/>
        <w:jc w:val="both"/>
        <w:rPr>
          <w:rFonts w:cs="Arial"/>
          <w:sz w:val="20"/>
        </w:rPr>
      </w:pPr>
      <w:r w:rsidRPr="006B4E60">
        <w:rPr>
          <w:rFonts w:cs="Arial"/>
          <w:color w:val="000000"/>
          <w:sz w:val="20"/>
        </w:rPr>
        <w:t>The interviews for the latest ‘201</w:t>
      </w:r>
      <w:r>
        <w:rPr>
          <w:rFonts w:cs="Arial"/>
          <w:color w:val="000000"/>
          <w:sz w:val="20"/>
        </w:rPr>
        <w:t>1</w:t>
      </w:r>
      <w:r w:rsidRPr="006B4E60">
        <w:rPr>
          <w:rFonts w:cs="Arial"/>
          <w:color w:val="000000"/>
          <w:sz w:val="20"/>
        </w:rPr>
        <w:t>’ figures were carried out by Statistics New Zealand from July 20</w:t>
      </w:r>
      <w:r>
        <w:rPr>
          <w:rFonts w:cs="Arial"/>
          <w:color w:val="000000"/>
          <w:sz w:val="20"/>
        </w:rPr>
        <w:t>10</w:t>
      </w:r>
      <w:r w:rsidRPr="006B4E60">
        <w:rPr>
          <w:rFonts w:cs="Arial"/>
          <w:color w:val="000000"/>
          <w:sz w:val="20"/>
        </w:rPr>
        <w:t xml:space="preserve"> to June 201</w:t>
      </w:r>
      <w:r>
        <w:rPr>
          <w:rFonts w:cs="Arial"/>
          <w:color w:val="000000"/>
          <w:sz w:val="20"/>
        </w:rPr>
        <w:t>1</w:t>
      </w:r>
      <w:r w:rsidRPr="006B4E60">
        <w:rPr>
          <w:rFonts w:cs="Arial"/>
          <w:color w:val="000000"/>
          <w:sz w:val="20"/>
        </w:rPr>
        <w:t xml:space="preserve"> (the ‘201</w:t>
      </w:r>
      <w:r>
        <w:rPr>
          <w:rFonts w:cs="Arial"/>
          <w:color w:val="000000"/>
          <w:sz w:val="20"/>
        </w:rPr>
        <w:t>1</w:t>
      </w:r>
      <w:r w:rsidRPr="006B4E60">
        <w:rPr>
          <w:rFonts w:cs="Arial"/>
          <w:color w:val="000000"/>
          <w:sz w:val="20"/>
        </w:rPr>
        <w:t xml:space="preserve"> HES’).  The income question</w:t>
      </w:r>
      <w:r>
        <w:rPr>
          <w:rFonts w:cs="Arial"/>
          <w:color w:val="000000"/>
          <w:sz w:val="20"/>
        </w:rPr>
        <w:t>s</w:t>
      </w:r>
      <w:r w:rsidRPr="006B4E60">
        <w:rPr>
          <w:rFonts w:cs="Arial"/>
          <w:color w:val="000000"/>
          <w:sz w:val="20"/>
        </w:rPr>
        <w:t xml:space="preserve"> ask about incomes in the twelve months prior to interview.  This means that the income informa</w:t>
      </w:r>
      <w:r>
        <w:rPr>
          <w:rFonts w:cs="Arial"/>
          <w:color w:val="000000"/>
          <w:sz w:val="20"/>
        </w:rPr>
        <w:t>tion comes from the two-</w:t>
      </w:r>
      <w:r w:rsidRPr="006B4E60">
        <w:rPr>
          <w:rFonts w:cs="Arial"/>
          <w:color w:val="000000"/>
          <w:sz w:val="20"/>
        </w:rPr>
        <w:t>year period from July 200</w:t>
      </w:r>
      <w:r>
        <w:rPr>
          <w:rFonts w:cs="Arial"/>
          <w:color w:val="000000"/>
          <w:sz w:val="20"/>
        </w:rPr>
        <w:t>9</w:t>
      </w:r>
      <w:r w:rsidRPr="006B4E60">
        <w:rPr>
          <w:rFonts w:cs="Arial"/>
          <w:color w:val="000000"/>
          <w:sz w:val="20"/>
        </w:rPr>
        <w:t xml:space="preserve"> to June 201</w:t>
      </w:r>
      <w:r>
        <w:rPr>
          <w:rFonts w:cs="Arial"/>
          <w:color w:val="000000"/>
          <w:sz w:val="20"/>
        </w:rPr>
        <w:t>1</w:t>
      </w:r>
      <w:r w:rsidRPr="006B4E60">
        <w:rPr>
          <w:rFonts w:cs="Arial"/>
          <w:color w:val="000000"/>
          <w:sz w:val="20"/>
        </w:rPr>
        <w:t xml:space="preserve"> – on average from mid 20</w:t>
      </w:r>
      <w:r>
        <w:rPr>
          <w:rFonts w:cs="Arial"/>
          <w:color w:val="000000"/>
          <w:sz w:val="20"/>
        </w:rPr>
        <w:t>10</w:t>
      </w:r>
      <w:r w:rsidRPr="006B4E60">
        <w:rPr>
          <w:rFonts w:cs="Arial"/>
          <w:color w:val="000000"/>
          <w:sz w:val="20"/>
        </w:rPr>
        <w:t>.</w:t>
      </w:r>
    </w:p>
    <w:p w:rsidR="007B3E55" w:rsidRPr="006B4E60" w:rsidRDefault="007B3E55" w:rsidP="007B3E55">
      <w:pPr>
        <w:numPr>
          <w:ilvl w:val="0"/>
          <w:numId w:val="26"/>
        </w:numPr>
        <w:spacing w:after="120"/>
        <w:jc w:val="both"/>
        <w:rPr>
          <w:rFonts w:cs="Arial"/>
          <w:sz w:val="20"/>
        </w:rPr>
      </w:pPr>
      <w:r w:rsidRPr="006B4E60">
        <w:rPr>
          <w:rFonts w:cs="Arial"/>
          <w:color w:val="000000"/>
          <w:sz w:val="20"/>
        </w:rPr>
        <w:t>The 201</w:t>
      </w:r>
      <w:r>
        <w:rPr>
          <w:rFonts w:cs="Arial"/>
          <w:color w:val="000000"/>
          <w:sz w:val="20"/>
        </w:rPr>
        <w:t>1</w:t>
      </w:r>
      <w:r w:rsidRPr="006B4E60">
        <w:rPr>
          <w:rFonts w:cs="Arial"/>
          <w:color w:val="000000"/>
          <w:sz w:val="20"/>
        </w:rPr>
        <w:t xml:space="preserve"> survey </w:t>
      </w:r>
      <w:r>
        <w:rPr>
          <w:rFonts w:cs="Arial"/>
          <w:color w:val="000000"/>
          <w:sz w:val="20"/>
        </w:rPr>
        <w:t xml:space="preserve">is the first HES that fully </w:t>
      </w:r>
      <w:r w:rsidRPr="006B4E60">
        <w:rPr>
          <w:rFonts w:cs="Arial"/>
          <w:color w:val="000000"/>
          <w:sz w:val="20"/>
        </w:rPr>
        <w:t>capture</w:t>
      </w:r>
      <w:r>
        <w:rPr>
          <w:rFonts w:cs="Arial"/>
          <w:color w:val="000000"/>
          <w:sz w:val="20"/>
        </w:rPr>
        <w:t>s</w:t>
      </w:r>
      <w:r w:rsidRPr="006B4E60">
        <w:rPr>
          <w:rFonts w:cs="Arial"/>
          <w:color w:val="000000"/>
          <w:sz w:val="20"/>
        </w:rPr>
        <w:t xml:space="preserve"> the impact on incomes of the global financial crisis and related economic slowdown in 2008 and 2009.</w:t>
      </w:r>
      <w:r>
        <w:rPr>
          <w:rFonts w:cs="Arial"/>
          <w:color w:val="000000"/>
          <w:sz w:val="20"/>
        </w:rPr>
        <w:t xml:space="preserve">  The 2010 survey captured the early impact on</w:t>
      </w:r>
      <w:r w:rsidR="002249A8">
        <w:rPr>
          <w:rFonts w:cs="Arial"/>
          <w:color w:val="000000"/>
          <w:sz w:val="20"/>
        </w:rPr>
        <w:t xml:space="preserve">ly. </w:t>
      </w:r>
      <w:r w:rsidRPr="006B4E60">
        <w:rPr>
          <w:rFonts w:cs="Arial"/>
          <w:color w:val="000000"/>
          <w:sz w:val="20"/>
        </w:rPr>
        <w:t xml:space="preserve">The delay in registering </w:t>
      </w:r>
      <w:r>
        <w:rPr>
          <w:rFonts w:cs="Arial"/>
          <w:color w:val="000000"/>
          <w:sz w:val="20"/>
        </w:rPr>
        <w:t>the full</w:t>
      </w:r>
      <w:r w:rsidRPr="006B4E60">
        <w:rPr>
          <w:rFonts w:cs="Arial"/>
          <w:color w:val="000000"/>
          <w:sz w:val="20"/>
        </w:rPr>
        <w:t xml:space="preserve"> impact arises because (a) the incomes of the bulk of </w:t>
      </w:r>
      <w:smartTag w:uri="urn:schemas-microsoft-com:office:smarttags" w:element="country-region">
        <w:smartTag w:uri="urn:schemas-microsoft-com:office:smarttags" w:element="place">
          <w:r w:rsidRPr="006B4E60">
            <w:rPr>
              <w:rFonts w:cs="Arial"/>
              <w:color w:val="000000"/>
              <w:sz w:val="20"/>
            </w:rPr>
            <w:t>New Zealand</w:t>
          </w:r>
        </w:smartTag>
      </w:smartTag>
      <w:r w:rsidRPr="006B4E60">
        <w:rPr>
          <w:rFonts w:cs="Arial"/>
          <w:color w:val="000000"/>
          <w:sz w:val="20"/>
        </w:rPr>
        <w:t xml:space="preserve"> households were not affected immediately by the recession – there is a lagged impact,</w:t>
      </w:r>
      <w:r w:rsidR="002249A8">
        <w:rPr>
          <w:rFonts w:cs="Arial"/>
          <w:color w:val="000000"/>
          <w:sz w:val="20"/>
        </w:rPr>
        <w:t xml:space="preserve"> especially for employment income</w:t>
      </w:r>
      <w:r w:rsidRPr="006B4E60">
        <w:rPr>
          <w:rFonts w:cs="Arial"/>
          <w:color w:val="000000"/>
          <w:sz w:val="20"/>
        </w:rPr>
        <w:t xml:space="preserve"> and (b)</w:t>
      </w:r>
      <w:r>
        <w:rPr>
          <w:rFonts w:cs="Arial"/>
          <w:color w:val="000000"/>
          <w:sz w:val="20"/>
        </w:rPr>
        <w:t xml:space="preserve"> even if there were no lag,</w:t>
      </w:r>
      <w:r w:rsidRPr="006B4E60">
        <w:rPr>
          <w:rFonts w:cs="Arial"/>
          <w:color w:val="000000"/>
          <w:sz w:val="20"/>
        </w:rPr>
        <w:t xml:space="preserve"> m</w:t>
      </w:r>
      <w:r w:rsidR="002249A8">
        <w:rPr>
          <w:rFonts w:cs="Arial"/>
          <w:color w:val="000000"/>
          <w:sz w:val="20"/>
        </w:rPr>
        <w:t>any</w:t>
      </w:r>
      <w:r w:rsidRPr="006B4E60">
        <w:rPr>
          <w:rFonts w:cs="Arial"/>
          <w:color w:val="000000"/>
          <w:sz w:val="20"/>
        </w:rPr>
        <w:t xml:space="preserve"> of those interviewed in the 20</w:t>
      </w:r>
      <w:r w:rsidR="002249A8">
        <w:rPr>
          <w:rFonts w:cs="Arial"/>
          <w:color w:val="000000"/>
          <w:sz w:val="20"/>
        </w:rPr>
        <w:t>10</w:t>
      </w:r>
      <w:r w:rsidRPr="006B4E60">
        <w:rPr>
          <w:rFonts w:cs="Arial"/>
          <w:color w:val="000000"/>
          <w:sz w:val="20"/>
        </w:rPr>
        <w:t xml:space="preserve"> HES were reporting their incomes mainly for the pre-recession period</w:t>
      </w:r>
      <w:r>
        <w:rPr>
          <w:rFonts w:cs="Arial"/>
          <w:color w:val="000000"/>
          <w:sz w:val="20"/>
        </w:rPr>
        <w:t>.</w:t>
      </w:r>
    </w:p>
    <w:p w:rsidR="007B3E55" w:rsidRPr="000370BC" w:rsidRDefault="007B3E55" w:rsidP="007B3E55">
      <w:pPr>
        <w:rPr>
          <w:rFonts w:cs="Arial"/>
          <w:b/>
          <w:color w:val="000000"/>
          <w:sz w:val="20"/>
          <w:szCs w:val="22"/>
        </w:rPr>
      </w:pPr>
    </w:p>
    <w:p w:rsidR="007B3E55" w:rsidRPr="000370BC" w:rsidRDefault="007B3E55" w:rsidP="007B3E55">
      <w:pPr>
        <w:rPr>
          <w:rFonts w:cs="Arial"/>
          <w:b/>
          <w:color w:val="000000"/>
          <w:sz w:val="20"/>
          <w:szCs w:val="22"/>
        </w:rPr>
      </w:pPr>
      <w:r w:rsidRPr="000370BC">
        <w:rPr>
          <w:rFonts w:cs="Arial"/>
          <w:b/>
          <w:color w:val="000000"/>
          <w:sz w:val="20"/>
          <w:szCs w:val="22"/>
        </w:rPr>
        <w:t xml:space="preserve">What types of information does the </w:t>
      </w:r>
      <w:r>
        <w:rPr>
          <w:rFonts w:cs="Arial"/>
          <w:b/>
          <w:color w:val="000000"/>
          <w:sz w:val="20"/>
          <w:szCs w:val="22"/>
        </w:rPr>
        <w:t xml:space="preserve">Incomes Report </w:t>
      </w:r>
      <w:r w:rsidRPr="000370BC">
        <w:rPr>
          <w:rFonts w:cs="Arial"/>
          <w:b/>
          <w:color w:val="000000"/>
          <w:sz w:val="20"/>
          <w:szCs w:val="22"/>
        </w:rPr>
        <w:t>provide?</w:t>
      </w:r>
    </w:p>
    <w:p w:rsidR="007B3E55" w:rsidRPr="003F212A" w:rsidRDefault="007B3E55" w:rsidP="007B3E55">
      <w:pPr>
        <w:rPr>
          <w:rFonts w:cs="Arial"/>
          <w:b/>
          <w:color w:val="000000"/>
          <w:sz w:val="20"/>
        </w:rPr>
      </w:pPr>
    </w:p>
    <w:p w:rsidR="007B3E55" w:rsidRPr="000370BC" w:rsidRDefault="007B3E55" w:rsidP="007B3E55">
      <w:pPr>
        <w:numPr>
          <w:ilvl w:val="0"/>
          <w:numId w:val="14"/>
        </w:numPr>
        <w:jc w:val="both"/>
        <w:rPr>
          <w:rFonts w:cs="Arial"/>
          <w:sz w:val="20"/>
        </w:rPr>
      </w:pPr>
      <w:r w:rsidRPr="000370BC">
        <w:rPr>
          <w:rFonts w:cs="Arial"/>
          <w:sz w:val="20"/>
        </w:rPr>
        <w:t>Long-run trends (usually 1982 to 20</w:t>
      </w:r>
      <w:r>
        <w:rPr>
          <w:rFonts w:cs="Arial"/>
          <w:sz w:val="20"/>
        </w:rPr>
        <w:t>11</w:t>
      </w:r>
      <w:r w:rsidRPr="000370BC">
        <w:rPr>
          <w:rFonts w:cs="Arial"/>
          <w:sz w:val="20"/>
        </w:rPr>
        <w:t>) for:</w:t>
      </w:r>
    </w:p>
    <w:p w:rsidR="007B3E55" w:rsidRPr="000370BC" w:rsidRDefault="007B3E55" w:rsidP="007B3E55">
      <w:pPr>
        <w:numPr>
          <w:ilvl w:val="0"/>
          <w:numId w:val="20"/>
        </w:numPr>
        <w:tabs>
          <w:tab w:val="clear" w:pos="720"/>
          <w:tab w:val="num" w:pos="1080"/>
        </w:tabs>
        <w:ind w:left="1080" w:hanging="270"/>
        <w:jc w:val="both"/>
        <w:rPr>
          <w:rFonts w:cs="Arial"/>
          <w:sz w:val="20"/>
        </w:rPr>
      </w:pPr>
      <w:r w:rsidRPr="000370BC">
        <w:rPr>
          <w:rFonts w:cs="Arial"/>
          <w:sz w:val="20"/>
        </w:rPr>
        <w:t>household incomes</w:t>
      </w:r>
    </w:p>
    <w:p w:rsidR="007B3E55" w:rsidRPr="000370BC" w:rsidRDefault="007B3E55" w:rsidP="007B3E55">
      <w:pPr>
        <w:numPr>
          <w:ilvl w:val="0"/>
          <w:numId w:val="20"/>
        </w:numPr>
        <w:tabs>
          <w:tab w:val="clear" w:pos="720"/>
          <w:tab w:val="num" w:pos="1080"/>
        </w:tabs>
        <w:ind w:left="1080" w:hanging="270"/>
        <w:jc w:val="both"/>
        <w:rPr>
          <w:rFonts w:cs="Arial"/>
          <w:sz w:val="20"/>
        </w:rPr>
      </w:pPr>
      <w:r w:rsidRPr="000370BC">
        <w:rPr>
          <w:rFonts w:cs="Arial"/>
          <w:sz w:val="20"/>
        </w:rPr>
        <w:t>income inequality</w:t>
      </w:r>
    </w:p>
    <w:p w:rsidR="007B3E55" w:rsidRPr="000370BC" w:rsidRDefault="007B3E55" w:rsidP="007B3E55">
      <w:pPr>
        <w:numPr>
          <w:ilvl w:val="0"/>
          <w:numId w:val="20"/>
        </w:numPr>
        <w:tabs>
          <w:tab w:val="clear" w:pos="720"/>
          <w:tab w:val="num" w:pos="1080"/>
        </w:tabs>
        <w:ind w:left="1080" w:hanging="270"/>
        <w:jc w:val="both"/>
        <w:rPr>
          <w:rFonts w:cs="Arial"/>
          <w:sz w:val="20"/>
        </w:rPr>
      </w:pPr>
      <w:r w:rsidRPr="000370BC">
        <w:rPr>
          <w:rFonts w:cs="Arial"/>
          <w:sz w:val="20"/>
        </w:rPr>
        <w:t>income poverty rates (proportions below various low-income thresholds)</w:t>
      </w:r>
    </w:p>
    <w:p w:rsidR="007B3E55" w:rsidRPr="000370BC" w:rsidRDefault="007B3E55" w:rsidP="007B3E55">
      <w:pPr>
        <w:numPr>
          <w:ilvl w:val="0"/>
          <w:numId w:val="20"/>
        </w:numPr>
        <w:tabs>
          <w:tab w:val="clear" w:pos="720"/>
          <w:tab w:val="num" w:pos="1080"/>
        </w:tabs>
        <w:ind w:left="1080" w:hanging="270"/>
        <w:jc w:val="both"/>
        <w:rPr>
          <w:rFonts w:cs="Arial"/>
          <w:sz w:val="20"/>
        </w:rPr>
      </w:pPr>
      <w:r w:rsidRPr="000370BC">
        <w:rPr>
          <w:rFonts w:cs="Arial"/>
          <w:sz w:val="20"/>
        </w:rPr>
        <w:t>housing costs relative to incomes</w:t>
      </w:r>
    </w:p>
    <w:p w:rsidR="007B3E55" w:rsidRPr="000370BC" w:rsidRDefault="007B3E55" w:rsidP="007B3E55">
      <w:pPr>
        <w:numPr>
          <w:ilvl w:val="0"/>
          <w:numId w:val="20"/>
        </w:numPr>
        <w:tabs>
          <w:tab w:val="clear" w:pos="720"/>
          <w:tab w:val="num" w:pos="1080"/>
        </w:tabs>
        <w:ind w:left="1080" w:hanging="270"/>
        <w:jc w:val="both"/>
        <w:rPr>
          <w:rFonts w:cs="Arial"/>
          <w:sz w:val="20"/>
        </w:rPr>
      </w:pPr>
      <w:r w:rsidRPr="000370BC">
        <w:rPr>
          <w:rFonts w:cs="Arial"/>
          <w:sz w:val="20"/>
        </w:rPr>
        <w:t>sources of income for older New Zealanders</w:t>
      </w:r>
      <w:r>
        <w:rPr>
          <w:rFonts w:cs="Arial"/>
          <w:sz w:val="20"/>
        </w:rPr>
        <w:t>.</w:t>
      </w:r>
    </w:p>
    <w:p w:rsidR="007B3E55" w:rsidRPr="000370BC" w:rsidRDefault="007B3E55" w:rsidP="007B3E55">
      <w:pPr>
        <w:ind w:left="360"/>
        <w:jc w:val="both"/>
        <w:rPr>
          <w:rFonts w:cs="Arial"/>
          <w:color w:val="000000"/>
          <w:sz w:val="20"/>
        </w:rPr>
      </w:pPr>
    </w:p>
    <w:p w:rsidR="007B3E55" w:rsidRPr="000370BC" w:rsidRDefault="007B3E55" w:rsidP="007B3E55">
      <w:pPr>
        <w:numPr>
          <w:ilvl w:val="0"/>
          <w:numId w:val="22"/>
        </w:numPr>
        <w:jc w:val="both"/>
        <w:rPr>
          <w:rFonts w:cs="Arial"/>
          <w:color w:val="000000"/>
          <w:sz w:val="20"/>
        </w:rPr>
      </w:pPr>
      <w:r w:rsidRPr="000370BC">
        <w:rPr>
          <w:rFonts w:cs="Arial"/>
          <w:sz w:val="20"/>
        </w:rPr>
        <w:t>Relativities between various population groups (eg by age, household type, hours worked)</w:t>
      </w:r>
    </w:p>
    <w:p w:rsidR="007B3E55" w:rsidRPr="000370BC" w:rsidRDefault="007B3E55" w:rsidP="007B3E55">
      <w:pPr>
        <w:numPr>
          <w:ilvl w:val="0"/>
          <w:numId w:val="21"/>
        </w:numPr>
        <w:tabs>
          <w:tab w:val="clear" w:pos="720"/>
          <w:tab w:val="num" w:pos="1080"/>
        </w:tabs>
        <w:ind w:left="1083" w:hanging="272"/>
        <w:jc w:val="both"/>
        <w:rPr>
          <w:rFonts w:cs="Arial"/>
          <w:color w:val="000000"/>
          <w:sz w:val="20"/>
        </w:rPr>
      </w:pPr>
      <w:r w:rsidRPr="000370BC">
        <w:rPr>
          <w:rFonts w:cs="Arial"/>
          <w:sz w:val="20"/>
        </w:rPr>
        <w:t>which groups are most at risk</w:t>
      </w:r>
      <w:r w:rsidR="00553C68">
        <w:rPr>
          <w:rFonts w:cs="Arial"/>
          <w:sz w:val="20"/>
        </w:rPr>
        <w:t xml:space="preserve"> of being in poverty or hardship</w:t>
      </w:r>
      <w:r w:rsidRPr="000370BC">
        <w:rPr>
          <w:rFonts w:cs="Arial"/>
          <w:sz w:val="20"/>
        </w:rPr>
        <w:t xml:space="preserve">? </w:t>
      </w:r>
    </w:p>
    <w:p w:rsidR="007B3E55" w:rsidRPr="000370BC" w:rsidRDefault="007B3E55" w:rsidP="007B3E55">
      <w:pPr>
        <w:numPr>
          <w:ilvl w:val="0"/>
          <w:numId w:val="21"/>
        </w:numPr>
        <w:tabs>
          <w:tab w:val="clear" w:pos="720"/>
          <w:tab w:val="num" w:pos="1080"/>
        </w:tabs>
        <w:ind w:left="1083" w:hanging="272"/>
        <w:jc w:val="both"/>
        <w:rPr>
          <w:rFonts w:cs="Arial"/>
          <w:color w:val="000000"/>
          <w:sz w:val="20"/>
        </w:rPr>
      </w:pPr>
      <w:r w:rsidRPr="000370BC">
        <w:rPr>
          <w:rFonts w:cs="Arial"/>
          <w:sz w:val="20"/>
        </w:rPr>
        <w:t>which groups make up the largest proportion</w:t>
      </w:r>
      <w:r>
        <w:rPr>
          <w:rFonts w:cs="Arial"/>
          <w:sz w:val="20"/>
        </w:rPr>
        <w:t>s</w:t>
      </w:r>
      <w:r w:rsidRPr="000370BC">
        <w:rPr>
          <w:rFonts w:cs="Arial"/>
          <w:sz w:val="20"/>
        </w:rPr>
        <w:t xml:space="preserve"> of those identified as ‘in poverty’?</w:t>
      </w:r>
    </w:p>
    <w:p w:rsidR="007B3E55" w:rsidRPr="000370BC" w:rsidRDefault="007B3E55" w:rsidP="007B3E55">
      <w:pPr>
        <w:ind w:left="360"/>
        <w:jc w:val="both"/>
        <w:rPr>
          <w:rFonts w:cs="Arial"/>
          <w:color w:val="000000"/>
          <w:sz w:val="20"/>
        </w:rPr>
      </w:pPr>
    </w:p>
    <w:p w:rsidR="007B3E55" w:rsidRPr="000370BC" w:rsidRDefault="007B3E55" w:rsidP="007B3E55">
      <w:pPr>
        <w:numPr>
          <w:ilvl w:val="0"/>
          <w:numId w:val="14"/>
        </w:numPr>
        <w:jc w:val="both"/>
        <w:rPr>
          <w:rFonts w:cs="Arial"/>
          <w:color w:val="000000"/>
          <w:sz w:val="20"/>
        </w:rPr>
      </w:pPr>
      <w:r w:rsidRPr="000370BC">
        <w:rPr>
          <w:rFonts w:cs="Arial"/>
          <w:sz w:val="20"/>
        </w:rPr>
        <w:t>Short-run changes in income poverty and inequality</w:t>
      </w:r>
    </w:p>
    <w:p w:rsidR="007B3E55" w:rsidRPr="000370BC" w:rsidRDefault="007B3E55" w:rsidP="007B3E55">
      <w:pPr>
        <w:numPr>
          <w:ilvl w:val="0"/>
          <w:numId w:val="23"/>
        </w:numPr>
        <w:tabs>
          <w:tab w:val="clear" w:pos="720"/>
          <w:tab w:val="num" w:pos="1080"/>
        </w:tabs>
        <w:ind w:left="1080" w:hanging="270"/>
        <w:jc w:val="both"/>
        <w:rPr>
          <w:rFonts w:cs="Arial"/>
          <w:color w:val="000000"/>
          <w:sz w:val="20"/>
        </w:rPr>
      </w:pPr>
      <w:r w:rsidRPr="000370BC">
        <w:rPr>
          <w:rFonts w:cs="Arial"/>
          <w:sz w:val="20"/>
        </w:rPr>
        <w:t>some care is needed in drawing definitive conclusions from relatively small changes from one survey to the next, especially for smaller subgroups</w:t>
      </w:r>
    </w:p>
    <w:p w:rsidR="007B3E55" w:rsidRPr="000370BC" w:rsidRDefault="007B3E55" w:rsidP="007B3E55">
      <w:pPr>
        <w:numPr>
          <w:ilvl w:val="0"/>
          <w:numId w:val="23"/>
        </w:numPr>
        <w:tabs>
          <w:tab w:val="clear" w:pos="720"/>
          <w:tab w:val="num" w:pos="1080"/>
        </w:tabs>
        <w:ind w:left="1080" w:hanging="270"/>
        <w:jc w:val="both"/>
        <w:rPr>
          <w:rFonts w:cs="Arial"/>
          <w:color w:val="000000"/>
          <w:sz w:val="20"/>
        </w:rPr>
      </w:pPr>
      <w:r w:rsidRPr="000370BC">
        <w:rPr>
          <w:rFonts w:cs="Arial"/>
          <w:sz w:val="20"/>
        </w:rPr>
        <w:t xml:space="preserve">the findings are more robust for longer-run trends and </w:t>
      </w:r>
      <w:r>
        <w:rPr>
          <w:rFonts w:cs="Arial"/>
          <w:sz w:val="20"/>
        </w:rPr>
        <w:t xml:space="preserve">for </w:t>
      </w:r>
      <w:r w:rsidRPr="000370BC">
        <w:rPr>
          <w:rFonts w:cs="Arial"/>
          <w:sz w:val="20"/>
        </w:rPr>
        <w:t>subgroup relativities</w:t>
      </w:r>
      <w:r>
        <w:rPr>
          <w:rFonts w:cs="Arial"/>
          <w:sz w:val="20"/>
        </w:rPr>
        <w:t>.</w:t>
      </w:r>
    </w:p>
    <w:p w:rsidR="007B3E55" w:rsidRPr="000370BC" w:rsidRDefault="007B3E55" w:rsidP="007B3E55">
      <w:pPr>
        <w:ind w:left="360"/>
        <w:jc w:val="both"/>
        <w:rPr>
          <w:rFonts w:cs="Arial"/>
          <w:color w:val="000000"/>
          <w:sz w:val="20"/>
        </w:rPr>
      </w:pPr>
    </w:p>
    <w:p w:rsidR="007B3E55" w:rsidRDefault="007B3E55" w:rsidP="007B3E55">
      <w:pPr>
        <w:numPr>
          <w:ilvl w:val="0"/>
          <w:numId w:val="14"/>
        </w:numPr>
        <w:jc w:val="both"/>
        <w:rPr>
          <w:rFonts w:cs="Arial"/>
          <w:color w:val="000000"/>
          <w:sz w:val="20"/>
        </w:rPr>
      </w:pPr>
      <w:r w:rsidRPr="000370BC">
        <w:rPr>
          <w:rFonts w:cs="Arial"/>
          <w:color w:val="000000"/>
          <w:sz w:val="20"/>
        </w:rPr>
        <w:t xml:space="preserve">International comparisons which locate </w:t>
      </w:r>
      <w:smartTag w:uri="urn:schemas-microsoft-com:office:smarttags" w:element="place">
        <w:smartTag w:uri="urn:schemas-microsoft-com:office:smarttags" w:element="country-region">
          <w:r w:rsidRPr="000370BC">
            <w:rPr>
              <w:rFonts w:cs="Arial"/>
              <w:color w:val="000000"/>
              <w:sz w:val="20"/>
            </w:rPr>
            <w:t>New Zealand</w:t>
          </w:r>
        </w:smartTag>
      </w:smartTag>
      <w:r w:rsidRPr="000370BC">
        <w:rPr>
          <w:rFonts w:cs="Arial"/>
          <w:color w:val="000000"/>
          <w:sz w:val="20"/>
        </w:rPr>
        <w:t xml:space="preserve"> relative to EU nations and other OECD nations on income-based poverty and inequality measures</w:t>
      </w:r>
      <w:r>
        <w:rPr>
          <w:rFonts w:cs="Arial"/>
          <w:color w:val="000000"/>
          <w:sz w:val="20"/>
        </w:rPr>
        <w:t>.</w:t>
      </w:r>
    </w:p>
    <w:p w:rsidR="007B3E55" w:rsidRDefault="007B3E55" w:rsidP="007B3E55">
      <w:pPr>
        <w:ind w:left="360"/>
        <w:jc w:val="both"/>
        <w:rPr>
          <w:rFonts w:cs="Arial"/>
          <w:color w:val="000000"/>
          <w:sz w:val="20"/>
        </w:rPr>
      </w:pPr>
    </w:p>
    <w:p w:rsidR="007B3E55" w:rsidRDefault="007B3E55" w:rsidP="007B3E55">
      <w:pPr>
        <w:numPr>
          <w:ilvl w:val="0"/>
          <w:numId w:val="14"/>
        </w:numPr>
        <w:jc w:val="both"/>
        <w:rPr>
          <w:rFonts w:cs="Arial"/>
          <w:color w:val="000000"/>
          <w:sz w:val="20"/>
        </w:rPr>
      </w:pPr>
      <w:r>
        <w:rPr>
          <w:rFonts w:cs="Arial"/>
          <w:color w:val="000000"/>
          <w:sz w:val="20"/>
        </w:rPr>
        <w:t>The 2012 Incomes report has two new sections:</w:t>
      </w:r>
    </w:p>
    <w:p w:rsidR="007B3E55" w:rsidRDefault="007B3E55" w:rsidP="00614C04">
      <w:pPr>
        <w:numPr>
          <w:ilvl w:val="0"/>
          <w:numId w:val="95"/>
        </w:numPr>
        <w:tabs>
          <w:tab w:val="clear" w:pos="720"/>
          <w:tab w:val="num" w:pos="1134"/>
        </w:tabs>
        <w:ind w:left="1134" w:hanging="357"/>
        <w:jc w:val="both"/>
        <w:rPr>
          <w:rFonts w:cs="Arial"/>
          <w:color w:val="000000"/>
          <w:sz w:val="20"/>
        </w:rPr>
      </w:pPr>
      <w:r>
        <w:rPr>
          <w:rFonts w:cs="Arial"/>
          <w:color w:val="000000"/>
          <w:sz w:val="20"/>
        </w:rPr>
        <w:t>using non-monetary indicators (HES data) to track material hardship from 2007 to 2011</w:t>
      </w:r>
    </w:p>
    <w:p w:rsidR="007B3E55" w:rsidRPr="000370BC" w:rsidRDefault="007B3E55" w:rsidP="00614C04">
      <w:pPr>
        <w:numPr>
          <w:ilvl w:val="0"/>
          <w:numId w:val="95"/>
        </w:numPr>
        <w:tabs>
          <w:tab w:val="clear" w:pos="720"/>
          <w:tab w:val="num" w:pos="1134"/>
        </w:tabs>
        <w:ind w:left="1134" w:hanging="357"/>
        <w:jc w:val="both"/>
        <w:rPr>
          <w:rFonts w:cs="Arial"/>
          <w:color w:val="000000"/>
          <w:sz w:val="20"/>
        </w:rPr>
      </w:pPr>
      <w:r>
        <w:rPr>
          <w:rFonts w:cs="Arial"/>
          <w:color w:val="000000"/>
          <w:sz w:val="20"/>
        </w:rPr>
        <w:t>key findings on income mobility and poverty persistence based on recently released data from Statistics New Zealand’s Survey of Families, Incomes and Employment (SoFIE).</w:t>
      </w:r>
    </w:p>
    <w:p w:rsidR="007B3E55" w:rsidRPr="000370BC" w:rsidRDefault="007B3E55" w:rsidP="007B3E55">
      <w:pPr>
        <w:ind w:left="360"/>
        <w:jc w:val="both"/>
        <w:rPr>
          <w:rFonts w:cs="Arial"/>
          <w:color w:val="000000"/>
        </w:rPr>
      </w:pPr>
    </w:p>
    <w:p w:rsidR="007B3E55" w:rsidRPr="000370BC" w:rsidRDefault="002249A8" w:rsidP="007B3E55">
      <w:pPr>
        <w:ind w:left="360"/>
        <w:jc w:val="both"/>
        <w:rPr>
          <w:rFonts w:cs="Arial"/>
          <w:color w:val="000000"/>
        </w:rPr>
      </w:pPr>
      <w:r w:rsidRPr="000370BC">
        <w:rPr>
          <w:rFonts w:cs="Arial"/>
          <w:b/>
          <w:noProof/>
          <w:color w:val="000000"/>
          <w:szCs w:val="22"/>
          <w:lang w:val="en-US"/>
        </w:rPr>
        <w:pict>
          <v:shapetype id="_x0000_t202" coordsize="21600,21600" o:spt="202" path="m,l,21600r21600,l21600,xe">
            <v:stroke joinstyle="miter"/>
            <v:path gradientshapeok="t" o:connecttype="rect"/>
          </v:shapetype>
          <v:shape id="_x0000_s1205" type="#_x0000_t202" style="position:absolute;left:0;text-align:left;margin-left:27pt;margin-top:5.1pt;width:414.7pt;height:69pt;z-index:251654656">
            <v:textbox style="mso-next-textbox:#_x0000_s1205">
              <w:txbxContent>
                <w:p w:rsidR="00DE4A2A" w:rsidRPr="00C70171" w:rsidRDefault="00DE4A2A" w:rsidP="007B3E55">
                  <w:pPr>
                    <w:spacing w:after="60" w:line="220" w:lineRule="exact"/>
                    <w:jc w:val="center"/>
                    <w:rPr>
                      <w:rFonts w:cs="Arial"/>
                      <w:b/>
                      <w:sz w:val="18"/>
                      <w:szCs w:val="18"/>
                    </w:rPr>
                  </w:pPr>
                  <w:r w:rsidRPr="00C70171">
                    <w:rPr>
                      <w:rFonts w:cs="Arial"/>
                      <w:b/>
                      <w:sz w:val="18"/>
                      <w:szCs w:val="18"/>
                    </w:rPr>
                    <w:t>Poverty and hardship are multi-dimensional</w:t>
                  </w:r>
                  <w:r>
                    <w:rPr>
                      <w:rFonts w:cs="Arial"/>
                      <w:b/>
                      <w:sz w:val="18"/>
                      <w:szCs w:val="18"/>
                    </w:rPr>
                    <w:t xml:space="preserve">: </w:t>
                  </w:r>
                  <w:r w:rsidRPr="00C70171">
                    <w:rPr>
                      <w:rFonts w:cs="Arial"/>
                      <w:b/>
                      <w:sz w:val="18"/>
                      <w:szCs w:val="18"/>
                    </w:rPr>
                    <w:t>this report f</w:t>
                  </w:r>
                  <w:r>
                    <w:rPr>
                      <w:rFonts w:cs="Arial"/>
                      <w:b/>
                      <w:sz w:val="18"/>
                      <w:szCs w:val="18"/>
                    </w:rPr>
                    <w:t>ocuses on the incomes dimension</w:t>
                  </w:r>
                </w:p>
                <w:p w:rsidR="00DE4A2A" w:rsidRPr="00494184" w:rsidRDefault="00DE4A2A" w:rsidP="007B3E55">
                  <w:pPr>
                    <w:spacing w:line="220" w:lineRule="exact"/>
                    <w:jc w:val="both"/>
                    <w:rPr>
                      <w:rFonts w:cs="Arial"/>
                      <w:color w:val="000000"/>
                      <w:sz w:val="18"/>
                      <w:szCs w:val="18"/>
                    </w:rPr>
                  </w:pPr>
                  <w:r w:rsidRPr="00494184">
                    <w:rPr>
                      <w:rFonts w:cs="Arial"/>
                      <w:sz w:val="18"/>
                      <w:szCs w:val="18"/>
                    </w:rPr>
                    <w:t>Inequality, poverty and hardship are multi-fa</w:t>
                  </w:r>
                  <w:r>
                    <w:rPr>
                      <w:rFonts w:cs="Arial"/>
                      <w:sz w:val="18"/>
                      <w:szCs w:val="18"/>
                    </w:rPr>
                    <w:t xml:space="preserve">ceted and multi-dimensional. </w:t>
                  </w:r>
                  <w:r w:rsidRPr="00494184">
                    <w:rPr>
                      <w:rFonts w:cs="Arial"/>
                      <w:sz w:val="18"/>
                      <w:szCs w:val="18"/>
                    </w:rPr>
                    <w:t xml:space="preserve">The focus for the Household Incomes Report is </w:t>
                  </w:r>
                  <w:r w:rsidR="002249A8">
                    <w:rPr>
                      <w:rFonts w:cs="Arial"/>
                      <w:sz w:val="18"/>
                      <w:szCs w:val="18"/>
                    </w:rPr>
                    <w:t xml:space="preserve">primarily </w:t>
                  </w:r>
                  <w:r w:rsidRPr="00494184">
                    <w:rPr>
                      <w:rFonts w:cs="Arial"/>
                      <w:sz w:val="18"/>
                      <w:szCs w:val="18"/>
                    </w:rPr>
                    <w:t xml:space="preserve">on the incomes dimension.  Income matters, but it is the cumulative impact of multiple disadvantage across different domains that has the </w:t>
                  </w:r>
                  <w:r>
                    <w:rPr>
                      <w:rFonts w:cs="Arial"/>
                      <w:sz w:val="18"/>
                      <w:szCs w:val="18"/>
                    </w:rPr>
                    <w:t xml:space="preserve">most </w:t>
                  </w:r>
                  <w:r w:rsidRPr="00494184">
                    <w:rPr>
                      <w:rFonts w:cs="Arial"/>
                      <w:sz w:val="18"/>
                      <w:szCs w:val="18"/>
                    </w:rPr>
                    <w:t>significant negative impact on life chances and outcomes, especially for children.</w:t>
                  </w:r>
                </w:p>
                <w:p w:rsidR="00DE4A2A" w:rsidRDefault="00DE4A2A" w:rsidP="007B3E55">
                  <w:pPr>
                    <w:jc w:val="both"/>
                  </w:pPr>
                </w:p>
              </w:txbxContent>
            </v:textbox>
          </v:shape>
        </w:pict>
      </w:r>
    </w:p>
    <w:p w:rsidR="007B3E55" w:rsidRPr="000370BC" w:rsidRDefault="007B3E55" w:rsidP="007B3E55">
      <w:pPr>
        <w:rPr>
          <w:rFonts w:cs="Arial"/>
          <w:b/>
          <w:color w:val="000000"/>
          <w:szCs w:val="22"/>
        </w:rPr>
      </w:pPr>
    </w:p>
    <w:p w:rsidR="007B3E55" w:rsidRPr="000370BC" w:rsidRDefault="007B3E55" w:rsidP="007B3E55">
      <w:pPr>
        <w:ind w:left="360" w:hanging="360"/>
        <w:jc w:val="both"/>
        <w:rPr>
          <w:rFonts w:cs="Arial"/>
          <w:b/>
          <w:color w:val="000000"/>
          <w:sz w:val="20"/>
          <w:szCs w:val="22"/>
        </w:rPr>
      </w:pPr>
      <w:r w:rsidRPr="000370BC">
        <w:rPr>
          <w:rFonts w:cs="Arial"/>
          <w:b/>
          <w:szCs w:val="22"/>
        </w:rPr>
        <w:br w:type="page"/>
      </w:r>
      <w:r>
        <w:rPr>
          <w:rFonts w:cs="Arial"/>
          <w:b/>
          <w:color w:val="000000"/>
          <w:sz w:val="20"/>
          <w:szCs w:val="22"/>
        </w:rPr>
        <w:lastRenderedPageBreak/>
        <w:t>The income measure</w:t>
      </w:r>
      <w:r w:rsidRPr="000370BC">
        <w:rPr>
          <w:rFonts w:cs="Arial"/>
          <w:b/>
          <w:color w:val="000000"/>
          <w:sz w:val="20"/>
          <w:szCs w:val="22"/>
        </w:rPr>
        <w:t xml:space="preserve"> used in the report</w:t>
      </w:r>
    </w:p>
    <w:p w:rsidR="007B3E55" w:rsidRPr="000370BC" w:rsidRDefault="007B3E55" w:rsidP="007B3E55">
      <w:pPr>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 xml:space="preserve">The income measure used is household after-tax cash income </w:t>
      </w:r>
      <w:r>
        <w:rPr>
          <w:rFonts w:cs="Arial"/>
          <w:color w:val="000000"/>
          <w:sz w:val="20"/>
          <w:szCs w:val="22"/>
        </w:rPr>
        <w:t xml:space="preserve">from all sources </w:t>
      </w:r>
      <w:r w:rsidRPr="000370BC">
        <w:rPr>
          <w:rFonts w:cs="Arial"/>
          <w:color w:val="000000"/>
          <w:sz w:val="20"/>
          <w:szCs w:val="22"/>
        </w:rPr>
        <w:t>for the previous twelve months, adjusted for household size and composition.  This is referred to as equivalised disposable household income.</w:t>
      </w:r>
    </w:p>
    <w:p w:rsidR="007B3E55" w:rsidRPr="000370BC" w:rsidRDefault="007B3E55" w:rsidP="007B3E55">
      <w:pPr>
        <w:ind w:left="360"/>
        <w:jc w:val="both"/>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 xml:space="preserve">A household’s after-tax income is affected by a range of factors: wage rates, </w:t>
      </w:r>
      <w:r>
        <w:rPr>
          <w:rFonts w:cs="Arial"/>
          <w:color w:val="000000"/>
          <w:sz w:val="20"/>
          <w:szCs w:val="22"/>
        </w:rPr>
        <w:t xml:space="preserve">total </w:t>
      </w:r>
      <w:r w:rsidRPr="000370BC">
        <w:rPr>
          <w:rFonts w:cs="Arial"/>
          <w:color w:val="000000"/>
          <w:sz w:val="20"/>
          <w:szCs w:val="22"/>
        </w:rPr>
        <w:t>hours worked by the adults in the household, rates of social assistance, returns on investment, personal income tax rates and tax credits for families with children.</w:t>
      </w:r>
    </w:p>
    <w:p w:rsidR="007B3E55" w:rsidRDefault="007B3E55" w:rsidP="007B3E55">
      <w:pPr>
        <w:ind w:left="360"/>
        <w:jc w:val="both"/>
        <w:rPr>
          <w:rFonts w:cs="Arial"/>
          <w:color w:val="000000"/>
          <w:sz w:val="20"/>
          <w:szCs w:val="22"/>
        </w:rPr>
      </w:pPr>
    </w:p>
    <w:p w:rsidR="007B3E55" w:rsidRDefault="007B3E55" w:rsidP="007B3E55">
      <w:pPr>
        <w:numPr>
          <w:ilvl w:val="0"/>
          <w:numId w:val="14"/>
        </w:numPr>
        <w:jc w:val="both"/>
        <w:rPr>
          <w:rFonts w:cs="Arial"/>
          <w:color w:val="000000"/>
          <w:sz w:val="20"/>
          <w:szCs w:val="22"/>
        </w:rPr>
      </w:pPr>
      <w:r w:rsidRPr="000370BC">
        <w:rPr>
          <w:rFonts w:cs="Arial"/>
          <w:color w:val="000000"/>
          <w:sz w:val="20"/>
          <w:szCs w:val="22"/>
        </w:rPr>
        <w:t>Household income is used as a</w:t>
      </w:r>
      <w:r>
        <w:rPr>
          <w:rFonts w:cs="Arial"/>
          <w:color w:val="000000"/>
          <w:sz w:val="20"/>
          <w:szCs w:val="22"/>
        </w:rPr>
        <w:t>n indicator</w:t>
      </w:r>
      <w:r w:rsidRPr="000370BC">
        <w:rPr>
          <w:rFonts w:cs="Arial"/>
          <w:color w:val="000000"/>
          <w:sz w:val="20"/>
          <w:szCs w:val="22"/>
        </w:rPr>
        <w:t xml:space="preserve"> of a household’s material wellbeing or living </w:t>
      </w:r>
      <w:r>
        <w:rPr>
          <w:rFonts w:cs="Arial"/>
          <w:color w:val="000000"/>
          <w:sz w:val="20"/>
          <w:szCs w:val="22"/>
        </w:rPr>
        <w:t>standards. The approach is well-</w:t>
      </w:r>
      <w:r w:rsidRPr="000370BC">
        <w:rPr>
          <w:rFonts w:cs="Arial"/>
          <w:color w:val="000000"/>
          <w:sz w:val="20"/>
          <w:szCs w:val="22"/>
        </w:rPr>
        <w:t>established internationally and produces useful findings on trends in relative material wellbeing over time and between different subgroups.</w:t>
      </w:r>
    </w:p>
    <w:p w:rsidR="007B3E55" w:rsidRDefault="007B3E55" w:rsidP="007B3E55">
      <w:pPr>
        <w:jc w:val="both"/>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Pr>
          <w:rFonts w:cs="Arial"/>
          <w:color w:val="000000"/>
          <w:sz w:val="20"/>
          <w:szCs w:val="22"/>
        </w:rPr>
        <w:t>It is important to distinguish between the incomes of individuals, and the household incomes for individuals in those households.  When there is more than one person in a household, individual income does not give a reliable indication of access to resources.  Trends for individual incomes also follow different paths than</w:t>
      </w:r>
      <w:r w:rsidR="0047610D">
        <w:rPr>
          <w:rFonts w:cs="Arial"/>
          <w:color w:val="000000"/>
          <w:sz w:val="20"/>
          <w:szCs w:val="22"/>
        </w:rPr>
        <w:t xml:space="preserve"> those for</w:t>
      </w:r>
      <w:r>
        <w:rPr>
          <w:rFonts w:cs="Arial"/>
          <w:color w:val="000000"/>
          <w:sz w:val="20"/>
          <w:szCs w:val="22"/>
        </w:rPr>
        <w:t xml:space="preserve"> household incomes.</w:t>
      </w:r>
    </w:p>
    <w:p w:rsidR="007B3E55" w:rsidRPr="000370BC" w:rsidRDefault="007B3E55" w:rsidP="007B3E55">
      <w:pPr>
        <w:jc w:val="both"/>
        <w:rPr>
          <w:rFonts w:cs="Arial"/>
          <w:color w:val="000000"/>
          <w:sz w:val="20"/>
          <w:szCs w:val="22"/>
        </w:rPr>
      </w:pPr>
    </w:p>
    <w:p w:rsidR="007B3E55" w:rsidRPr="000370BC" w:rsidRDefault="007B3E55" w:rsidP="007B3E55">
      <w:pPr>
        <w:spacing w:after="240"/>
        <w:ind w:left="360"/>
        <w:jc w:val="both"/>
        <w:rPr>
          <w:rFonts w:cs="Arial"/>
          <w:color w:val="000000"/>
          <w:sz w:val="20"/>
          <w:szCs w:val="22"/>
          <w:u w:val="single"/>
        </w:rPr>
      </w:pPr>
      <w:r w:rsidRPr="000370BC">
        <w:rPr>
          <w:rFonts w:cs="Arial"/>
          <w:color w:val="000000"/>
          <w:sz w:val="20"/>
          <w:szCs w:val="22"/>
          <w:u w:val="single"/>
        </w:rPr>
        <w:t>Incomes before and after deducting housing costs (</w:t>
      </w:r>
      <w:smartTag w:uri="urn:schemas-microsoft-com:office:smarttags" w:element="stockticker">
        <w:r w:rsidRPr="000370BC">
          <w:rPr>
            <w:rFonts w:cs="Arial"/>
            <w:color w:val="000000"/>
            <w:sz w:val="20"/>
            <w:szCs w:val="22"/>
            <w:u w:val="single"/>
          </w:rPr>
          <w:t>BHC</w:t>
        </w:r>
      </w:smartTag>
      <w:r w:rsidRPr="000370BC">
        <w:rPr>
          <w:rFonts w:cs="Arial"/>
          <w:color w:val="000000"/>
          <w:sz w:val="20"/>
          <w:szCs w:val="22"/>
          <w:u w:val="single"/>
        </w:rPr>
        <w:t xml:space="preserve"> and </w:t>
      </w:r>
      <w:smartTag w:uri="urn:schemas-microsoft-com:office:smarttags" w:element="stockticker">
        <w:r w:rsidRPr="000370BC">
          <w:rPr>
            <w:rFonts w:cs="Arial"/>
            <w:color w:val="000000"/>
            <w:sz w:val="20"/>
            <w:szCs w:val="22"/>
            <w:u w:val="single"/>
          </w:rPr>
          <w:t>AHC</w:t>
        </w:r>
      </w:smartTag>
      <w:r w:rsidRPr="000370BC">
        <w:rPr>
          <w:rFonts w:cs="Arial"/>
          <w:color w:val="000000"/>
          <w:sz w:val="20"/>
          <w:szCs w:val="22"/>
          <w:u w:val="single"/>
        </w:rPr>
        <w:t>)</w:t>
      </w: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The report uses household incomes both before and after deducting housing costs (</w:t>
      </w:r>
      <w:smartTag w:uri="urn:schemas-microsoft-com:office:smarttags" w:element="stockticker">
        <w:r w:rsidRPr="000370BC">
          <w:rPr>
            <w:rFonts w:cs="Arial"/>
            <w:color w:val="000000"/>
            <w:sz w:val="20"/>
            <w:szCs w:val="22"/>
          </w:rPr>
          <w:t>BHC</w:t>
        </w:r>
      </w:smartTag>
      <w:r w:rsidRPr="000370BC">
        <w:rPr>
          <w:rFonts w:cs="Arial"/>
          <w:color w:val="000000"/>
          <w:sz w:val="20"/>
          <w:szCs w:val="22"/>
        </w:rPr>
        <w:t xml:space="preserve"> and </w:t>
      </w:r>
      <w:smartTag w:uri="urn:schemas-microsoft-com:office:smarttags" w:element="stockticker">
        <w:r w:rsidRPr="000370BC">
          <w:rPr>
            <w:rFonts w:cs="Arial"/>
            <w:color w:val="000000"/>
            <w:sz w:val="20"/>
            <w:szCs w:val="22"/>
          </w:rPr>
          <w:t>AHC</w:t>
        </w:r>
      </w:smartTag>
      <w:r w:rsidRPr="000370BC">
        <w:rPr>
          <w:rFonts w:cs="Arial"/>
          <w:color w:val="000000"/>
          <w:sz w:val="20"/>
          <w:szCs w:val="22"/>
        </w:rPr>
        <w:t xml:space="preserve"> respectively), especially for poverty measurement.  </w:t>
      </w:r>
      <w:r>
        <w:rPr>
          <w:rFonts w:cs="Arial"/>
          <w:color w:val="000000"/>
          <w:sz w:val="20"/>
          <w:szCs w:val="22"/>
        </w:rPr>
        <w:t>All else equal, t</w:t>
      </w:r>
      <w:r w:rsidRPr="000370BC">
        <w:rPr>
          <w:rFonts w:cs="Arial"/>
          <w:color w:val="000000"/>
          <w:sz w:val="20"/>
          <w:szCs w:val="22"/>
        </w:rPr>
        <w:t>hose with higher housing costs have less ‘residual income’ (</w:t>
      </w:r>
      <w:smartTag w:uri="urn:schemas-microsoft-com:office:smarttags" w:element="stockticker">
        <w:r w:rsidRPr="000370BC">
          <w:rPr>
            <w:rFonts w:cs="Arial"/>
            <w:color w:val="000000"/>
            <w:sz w:val="20"/>
            <w:szCs w:val="22"/>
          </w:rPr>
          <w:t>AHC</w:t>
        </w:r>
      </w:smartTag>
      <w:r w:rsidRPr="000370BC">
        <w:rPr>
          <w:rFonts w:cs="Arial"/>
          <w:color w:val="000000"/>
          <w:sz w:val="20"/>
          <w:szCs w:val="22"/>
        </w:rPr>
        <w:t>) for other necessities (food, clothing, transport, heating and health care)</w:t>
      </w:r>
      <w:r>
        <w:rPr>
          <w:rFonts w:cs="Arial"/>
          <w:color w:val="000000"/>
          <w:sz w:val="20"/>
          <w:szCs w:val="22"/>
        </w:rPr>
        <w:t>.  For households with</w:t>
      </w:r>
      <w:r w:rsidRPr="000370BC">
        <w:rPr>
          <w:rFonts w:cs="Arial"/>
          <w:color w:val="000000"/>
          <w:sz w:val="20"/>
          <w:szCs w:val="22"/>
        </w:rPr>
        <w:t xml:space="preserve"> lower incomes</w:t>
      </w:r>
      <w:r>
        <w:rPr>
          <w:rFonts w:cs="Arial"/>
          <w:color w:val="000000"/>
          <w:sz w:val="20"/>
          <w:szCs w:val="22"/>
        </w:rPr>
        <w:t xml:space="preserve"> to start with</w:t>
      </w:r>
      <w:r w:rsidRPr="000370BC">
        <w:rPr>
          <w:rFonts w:cs="Arial"/>
          <w:color w:val="000000"/>
          <w:sz w:val="20"/>
          <w:szCs w:val="22"/>
        </w:rPr>
        <w:t xml:space="preserve">, </w:t>
      </w:r>
      <w:r>
        <w:rPr>
          <w:rFonts w:cs="Arial"/>
          <w:color w:val="000000"/>
          <w:sz w:val="20"/>
          <w:szCs w:val="22"/>
        </w:rPr>
        <w:t>high housing costs place considerable</w:t>
      </w:r>
      <w:r w:rsidRPr="000370BC">
        <w:rPr>
          <w:rFonts w:cs="Arial"/>
          <w:color w:val="000000"/>
          <w:sz w:val="20"/>
          <w:szCs w:val="22"/>
        </w:rPr>
        <w:t xml:space="preserve"> constraints on their living standards.  </w:t>
      </w:r>
    </w:p>
    <w:p w:rsidR="007B3E55" w:rsidRPr="000370BC" w:rsidRDefault="007B3E55" w:rsidP="007B3E55">
      <w:pPr>
        <w:ind w:left="360"/>
        <w:jc w:val="both"/>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 xml:space="preserve">Housing costs are, in the short term at least, a fixed cost that households have to meet.  The </w:t>
      </w:r>
      <w:smartTag w:uri="urn:schemas-microsoft-com:office:smarttags" w:element="stockticker">
        <w:r w:rsidRPr="000370BC">
          <w:rPr>
            <w:rFonts w:cs="Arial"/>
            <w:color w:val="000000"/>
            <w:sz w:val="20"/>
            <w:szCs w:val="22"/>
          </w:rPr>
          <w:t>AHC</w:t>
        </w:r>
      </w:smartTag>
      <w:r w:rsidRPr="000370BC">
        <w:rPr>
          <w:rFonts w:cs="Arial"/>
          <w:color w:val="000000"/>
          <w:sz w:val="20"/>
          <w:szCs w:val="22"/>
        </w:rPr>
        <w:t xml:space="preserve"> income measure is therefore important for a central goal of the report, which is to assess and report on differences in material wellbeing across different groups, using household income as the indicator.  The </w:t>
      </w:r>
      <w:smartTag w:uri="urn:schemas-microsoft-com:office:smarttags" w:element="stockticker">
        <w:r w:rsidRPr="000370BC">
          <w:rPr>
            <w:rFonts w:cs="Arial"/>
            <w:color w:val="000000"/>
            <w:sz w:val="20"/>
            <w:szCs w:val="22"/>
          </w:rPr>
          <w:t>AHC</w:t>
        </w:r>
      </w:smartTag>
      <w:r w:rsidRPr="000370BC">
        <w:rPr>
          <w:rFonts w:cs="Arial"/>
          <w:color w:val="000000"/>
          <w:sz w:val="20"/>
          <w:szCs w:val="22"/>
        </w:rPr>
        <w:t xml:space="preserve"> measures allow more sensible comparisons between groups with quite different housing costs but similar </w:t>
      </w:r>
      <w:smartTag w:uri="urn:schemas-microsoft-com:office:smarttags" w:element="stockticker">
        <w:r w:rsidRPr="000370BC">
          <w:rPr>
            <w:rFonts w:cs="Arial"/>
            <w:color w:val="000000"/>
            <w:sz w:val="20"/>
            <w:szCs w:val="22"/>
          </w:rPr>
          <w:t>BHC</w:t>
        </w:r>
      </w:smartTag>
      <w:r w:rsidRPr="000370BC">
        <w:rPr>
          <w:rFonts w:cs="Arial"/>
          <w:color w:val="000000"/>
          <w:sz w:val="20"/>
          <w:szCs w:val="22"/>
        </w:rPr>
        <w:t xml:space="preserve"> incomes.  </w:t>
      </w:r>
    </w:p>
    <w:p w:rsidR="007B3E55" w:rsidRDefault="007B3E55" w:rsidP="007B3E55">
      <w:pPr>
        <w:rPr>
          <w:rFonts w:cs="Arial"/>
          <w:b/>
          <w:color w:val="000000"/>
          <w:sz w:val="20"/>
          <w:szCs w:val="22"/>
        </w:rPr>
      </w:pPr>
    </w:p>
    <w:p w:rsidR="007B3E55" w:rsidRPr="000370BC" w:rsidRDefault="007B3E55" w:rsidP="007B3E55">
      <w:pPr>
        <w:rPr>
          <w:rFonts w:cs="Arial"/>
          <w:b/>
          <w:color w:val="000000"/>
          <w:sz w:val="20"/>
          <w:szCs w:val="22"/>
        </w:rPr>
      </w:pPr>
      <w:r>
        <w:rPr>
          <w:rFonts w:cs="Arial"/>
          <w:b/>
          <w:color w:val="000000"/>
          <w:sz w:val="20"/>
          <w:szCs w:val="22"/>
        </w:rPr>
        <w:t>Income p</w:t>
      </w:r>
      <w:r w:rsidRPr="000370BC">
        <w:rPr>
          <w:rFonts w:cs="Arial"/>
          <w:b/>
          <w:color w:val="000000"/>
          <w:sz w:val="20"/>
          <w:szCs w:val="22"/>
        </w:rPr>
        <w:t>overty measures used in the report</w:t>
      </w:r>
    </w:p>
    <w:p w:rsidR="007B3E55" w:rsidRPr="000370BC" w:rsidRDefault="007B3E55" w:rsidP="007B3E55">
      <w:pPr>
        <w:ind w:left="360"/>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 xml:space="preserve">Poverty in </w:t>
      </w:r>
      <w:r>
        <w:rPr>
          <w:rFonts w:cs="Arial"/>
          <w:color w:val="000000"/>
          <w:sz w:val="20"/>
          <w:szCs w:val="22"/>
        </w:rPr>
        <w:t>the more economically developed</w:t>
      </w:r>
      <w:r w:rsidRPr="000370BC">
        <w:rPr>
          <w:rFonts w:cs="Arial"/>
          <w:color w:val="000000"/>
          <w:sz w:val="20"/>
          <w:szCs w:val="22"/>
        </w:rPr>
        <w:t xml:space="preserve"> nations is about relative disadvantage – it is about households and individuals who have a day-to-day standard of living o</w:t>
      </w:r>
      <w:r>
        <w:rPr>
          <w:rFonts w:cs="Arial"/>
          <w:color w:val="000000"/>
          <w:sz w:val="20"/>
          <w:szCs w:val="22"/>
        </w:rPr>
        <w:t xml:space="preserve">r access to resources that fall </w:t>
      </w:r>
      <w:r w:rsidRPr="000370BC">
        <w:rPr>
          <w:rFonts w:cs="Arial"/>
          <w:color w:val="000000"/>
          <w:sz w:val="20"/>
          <w:szCs w:val="22"/>
        </w:rPr>
        <w:t>below a minimum</w:t>
      </w:r>
      <w:r w:rsidR="00C959B7">
        <w:rPr>
          <w:rFonts w:cs="Arial"/>
          <w:color w:val="000000"/>
          <w:sz w:val="20"/>
          <w:szCs w:val="22"/>
        </w:rPr>
        <w:t xml:space="preserve"> acceptable community standard, a definition officially used by the EU and adopted more widely.</w:t>
      </w:r>
    </w:p>
    <w:p w:rsidR="007B3E55" w:rsidRPr="000370BC" w:rsidRDefault="007B3E55" w:rsidP="007B3E55">
      <w:pPr>
        <w:ind w:left="360"/>
        <w:jc w:val="both"/>
        <w:rPr>
          <w:rFonts w:cs="Arial"/>
          <w:color w:val="000000"/>
          <w:sz w:val="20"/>
          <w:szCs w:val="22"/>
        </w:rPr>
      </w:pPr>
    </w:p>
    <w:p w:rsidR="007B3E55" w:rsidRDefault="007B3E55" w:rsidP="007B3E55">
      <w:pPr>
        <w:numPr>
          <w:ilvl w:val="0"/>
          <w:numId w:val="14"/>
        </w:numPr>
        <w:jc w:val="both"/>
        <w:rPr>
          <w:rFonts w:cs="Arial"/>
          <w:color w:val="000000"/>
          <w:sz w:val="20"/>
          <w:szCs w:val="22"/>
        </w:rPr>
      </w:pPr>
      <w:r w:rsidRPr="000370BC">
        <w:rPr>
          <w:rFonts w:cs="Arial"/>
          <w:color w:val="000000"/>
          <w:sz w:val="20"/>
          <w:szCs w:val="22"/>
        </w:rPr>
        <w:t xml:space="preserve">This report uses household income as an indicator of resources available to households.  </w:t>
      </w:r>
    </w:p>
    <w:p w:rsidR="007B3E55" w:rsidRDefault="007B3E55" w:rsidP="007B3E55">
      <w:pPr>
        <w:ind w:left="360"/>
        <w:jc w:val="both"/>
        <w:rPr>
          <w:rFonts w:cs="Arial"/>
          <w:color w:val="000000"/>
          <w:sz w:val="20"/>
          <w:szCs w:val="22"/>
        </w:rPr>
      </w:pPr>
    </w:p>
    <w:p w:rsidR="007B3E55" w:rsidRDefault="007B3E55" w:rsidP="007B3E55">
      <w:pPr>
        <w:numPr>
          <w:ilvl w:val="0"/>
          <w:numId w:val="14"/>
        </w:numPr>
        <w:jc w:val="both"/>
        <w:rPr>
          <w:rFonts w:cs="Arial"/>
          <w:color w:val="000000"/>
          <w:sz w:val="20"/>
          <w:szCs w:val="22"/>
        </w:rPr>
      </w:pPr>
      <w:smartTag w:uri="urn:schemas-microsoft-com:office:smarttags" w:element="country-region">
        <w:smartTag w:uri="urn:schemas-microsoft-com:office:smarttags" w:element="place">
          <w:r>
            <w:rPr>
              <w:rFonts w:cs="Arial"/>
              <w:color w:val="000000"/>
              <w:sz w:val="20"/>
              <w:szCs w:val="22"/>
            </w:rPr>
            <w:t>New Zealand</w:t>
          </w:r>
        </w:smartTag>
      </w:smartTag>
      <w:r>
        <w:rPr>
          <w:rFonts w:cs="Arial"/>
          <w:color w:val="000000"/>
          <w:sz w:val="20"/>
          <w:szCs w:val="22"/>
        </w:rPr>
        <w:t xml:space="preserve"> does not hav</w:t>
      </w:r>
      <w:r w:rsidR="002249A8">
        <w:rPr>
          <w:rFonts w:cs="Arial"/>
          <w:color w:val="000000"/>
          <w:sz w:val="20"/>
          <w:szCs w:val="22"/>
        </w:rPr>
        <w:t xml:space="preserve">e an official poverty measure. </w:t>
      </w:r>
      <w:r w:rsidRPr="000370BC">
        <w:rPr>
          <w:rFonts w:cs="Arial"/>
          <w:color w:val="000000"/>
          <w:sz w:val="20"/>
          <w:szCs w:val="22"/>
        </w:rPr>
        <w:t>The low-income thresholds or poverty lines used</w:t>
      </w:r>
      <w:r>
        <w:rPr>
          <w:rFonts w:cs="Arial"/>
          <w:color w:val="000000"/>
          <w:sz w:val="20"/>
          <w:szCs w:val="22"/>
        </w:rPr>
        <w:t xml:space="preserve"> in the report</w:t>
      </w:r>
      <w:r w:rsidRPr="000370BC">
        <w:rPr>
          <w:rFonts w:cs="Arial"/>
          <w:color w:val="000000"/>
          <w:sz w:val="20"/>
          <w:szCs w:val="22"/>
        </w:rPr>
        <w:t xml:space="preserve"> (50% and 60% of median household income) are </w:t>
      </w:r>
      <w:r w:rsidR="002249A8">
        <w:rPr>
          <w:rFonts w:cs="Arial"/>
          <w:color w:val="000000"/>
          <w:sz w:val="20"/>
          <w:szCs w:val="22"/>
        </w:rPr>
        <w:t xml:space="preserve">however </w:t>
      </w:r>
      <w:r w:rsidRPr="000370BC">
        <w:rPr>
          <w:rFonts w:cs="Arial"/>
          <w:color w:val="000000"/>
          <w:sz w:val="20"/>
          <w:szCs w:val="22"/>
        </w:rPr>
        <w:t>widely used in the EU and OECD nations.</w:t>
      </w:r>
    </w:p>
    <w:p w:rsidR="007B3E55" w:rsidRDefault="007B3E55" w:rsidP="007B3E55">
      <w:pPr>
        <w:ind w:left="360"/>
        <w:jc w:val="both"/>
        <w:rPr>
          <w:rFonts w:cs="Arial"/>
          <w:color w:val="000000"/>
          <w:sz w:val="20"/>
          <w:szCs w:val="22"/>
        </w:rPr>
      </w:pPr>
    </w:p>
    <w:p w:rsidR="007B3E55" w:rsidRPr="000370BC" w:rsidRDefault="007B3E55" w:rsidP="007B3E55">
      <w:pPr>
        <w:numPr>
          <w:ilvl w:val="0"/>
          <w:numId w:val="14"/>
        </w:numPr>
        <w:spacing w:after="60"/>
        <w:jc w:val="both"/>
        <w:rPr>
          <w:rFonts w:cs="Arial"/>
          <w:color w:val="000000"/>
          <w:sz w:val="20"/>
          <w:szCs w:val="22"/>
        </w:rPr>
      </w:pPr>
      <w:r w:rsidRPr="000370BC">
        <w:rPr>
          <w:rFonts w:cs="Arial"/>
          <w:color w:val="000000"/>
          <w:sz w:val="20"/>
          <w:szCs w:val="22"/>
        </w:rPr>
        <w:t xml:space="preserve">The report uses two quite different ways of updating the low-income thresholds or ‘poverty lines’ over time and reports trends using both approaches.  </w:t>
      </w:r>
    </w:p>
    <w:p w:rsidR="007B3E55" w:rsidRPr="000370BC" w:rsidRDefault="007B3E55" w:rsidP="007B3E55">
      <w:pPr>
        <w:numPr>
          <w:ilvl w:val="0"/>
          <w:numId w:val="19"/>
        </w:numPr>
        <w:tabs>
          <w:tab w:val="clear" w:pos="720"/>
          <w:tab w:val="num" w:pos="1080"/>
        </w:tabs>
        <w:spacing w:after="60"/>
        <w:ind w:left="1080" w:hanging="274"/>
        <w:jc w:val="both"/>
        <w:rPr>
          <w:rFonts w:cs="Arial"/>
          <w:color w:val="000000"/>
          <w:sz w:val="20"/>
          <w:szCs w:val="22"/>
        </w:rPr>
      </w:pPr>
      <w:r w:rsidRPr="000370BC">
        <w:rPr>
          <w:rFonts w:cs="Arial"/>
          <w:color w:val="000000"/>
          <w:sz w:val="20"/>
          <w:szCs w:val="22"/>
        </w:rPr>
        <w:t xml:space="preserve">The </w:t>
      </w:r>
      <w:r w:rsidRPr="000370BC">
        <w:rPr>
          <w:rFonts w:cs="Arial"/>
          <w:color w:val="000000"/>
          <w:sz w:val="20"/>
          <w:szCs w:val="22"/>
          <w:u w:val="single"/>
        </w:rPr>
        <w:t>‘fixed line’ approach</w:t>
      </w:r>
      <w:r w:rsidRPr="000370BC">
        <w:rPr>
          <w:rFonts w:cs="Arial"/>
          <w:color w:val="000000"/>
          <w:sz w:val="20"/>
          <w:szCs w:val="22"/>
        </w:rPr>
        <w:t xml:space="preserve"> </w:t>
      </w:r>
      <w:r>
        <w:rPr>
          <w:rFonts w:cs="Arial"/>
          <w:color w:val="000000"/>
          <w:sz w:val="20"/>
          <w:szCs w:val="22"/>
        </w:rPr>
        <w:t xml:space="preserve">anchors the poverty line in a reference year, then adjusts </w:t>
      </w:r>
      <w:r w:rsidRPr="000370BC">
        <w:rPr>
          <w:rFonts w:cs="Arial"/>
          <w:color w:val="000000"/>
          <w:sz w:val="20"/>
          <w:szCs w:val="22"/>
        </w:rPr>
        <w:t xml:space="preserve">it each survey with the </w:t>
      </w:r>
      <w:smartTag w:uri="urn:schemas-microsoft-com:office:smarttags" w:element="stockticker">
        <w:r w:rsidRPr="000370BC">
          <w:rPr>
            <w:rFonts w:cs="Arial"/>
            <w:color w:val="000000"/>
            <w:sz w:val="20"/>
            <w:szCs w:val="22"/>
          </w:rPr>
          <w:t>CPI</w:t>
        </w:r>
      </w:smartTag>
      <w:r w:rsidRPr="000370BC">
        <w:rPr>
          <w:rFonts w:cs="Arial"/>
          <w:color w:val="000000"/>
          <w:sz w:val="20"/>
          <w:szCs w:val="22"/>
        </w:rPr>
        <w:t xml:space="preserve">.  </w:t>
      </w:r>
      <w:r w:rsidR="0047610D">
        <w:rPr>
          <w:rFonts w:cs="Arial"/>
          <w:color w:val="000000"/>
          <w:sz w:val="20"/>
          <w:szCs w:val="22"/>
        </w:rPr>
        <w:t>This gives a measure of change in relation to a benchmark</w:t>
      </w:r>
      <w:r w:rsidR="006F67DE">
        <w:rPr>
          <w:rFonts w:cs="Arial"/>
          <w:color w:val="000000"/>
          <w:sz w:val="20"/>
          <w:szCs w:val="22"/>
        </w:rPr>
        <w:t xml:space="preserve"> held fixed in real terms. </w:t>
      </w:r>
      <w:r w:rsidRPr="000370BC">
        <w:rPr>
          <w:rFonts w:cs="Arial"/>
          <w:color w:val="000000"/>
          <w:sz w:val="20"/>
          <w:szCs w:val="22"/>
        </w:rPr>
        <w:t>On this approach a household’s situation is considered to have improved if its income rises in real terms, irrespective of whether its rising income makes it any closer or further away from the middle or average househol</w:t>
      </w:r>
      <w:r>
        <w:rPr>
          <w:rFonts w:cs="Arial"/>
          <w:color w:val="000000"/>
          <w:sz w:val="20"/>
          <w:szCs w:val="22"/>
        </w:rPr>
        <w:t>d. The reference year has to be updated from time to time to reflect changing middle incomes and the associated changing notions of a minimum acceptable standard (currently 2007).</w:t>
      </w:r>
    </w:p>
    <w:p w:rsidR="007B3E55" w:rsidRDefault="007B3E55" w:rsidP="007B3E55">
      <w:pPr>
        <w:numPr>
          <w:ilvl w:val="0"/>
          <w:numId w:val="19"/>
        </w:numPr>
        <w:tabs>
          <w:tab w:val="clear" w:pos="720"/>
          <w:tab w:val="num" w:pos="1080"/>
        </w:tabs>
        <w:ind w:left="1080" w:hanging="274"/>
        <w:jc w:val="both"/>
        <w:rPr>
          <w:rFonts w:cs="Arial"/>
          <w:color w:val="000000"/>
          <w:sz w:val="20"/>
          <w:szCs w:val="22"/>
        </w:rPr>
      </w:pPr>
      <w:r w:rsidRPr="000370BC">
        <w:rPr>
          <w:rFonts w:cs="Arial"/>
          <w:color w:val="000000"/>
          <w:sz w:val="20"/>
          <w:szCs w:val="22"/>
        </w:rPr>
        <w:t xml:space="preserve">The </w:t>
      </w:r>
      <w:r w:rsidRPr="000370BC">
        <w:rPr>
          <w:rFonts w:cs="Arial"/>
          <w:color w:val="000000"/>
          <w:sz w:val="20"/>
          <w:szCs w:val="22"/>
          <w:u w:val="single"/>
        </w:rPr>
        <w:t>‘moving line’ or ‘relative’ approach</w:t>
      </w:r>
      <w:r w:rsidRPr="000370BC">
        <w:rPr>
          <w:rFonts w:cs="Arial"/>
          <w:color w:val="000000"/>
          <w:sz w:val="20"/>
          <w:szCs w:val="22"/>
        </w:rPr>
        <w:t xml:space="preserve"> sets the poverty line as a proportion of the median income from each survey so that the threshold changes in step with the incomes of those in the middle of the income distribution.  </w:t>
      </w:r>
      <w:r w:rsidR="006F67DE">
        <w:rPr>
          <w:rFonts w:cs="Arial"/>
          <w:color w:val="000000"/>
          <w:sz w:val="20"/>
          <w:szCs w:val="22"/>
        </w:rPr>
        <w:t xml:space="preserve">This gives a measure of change in relation to how other households are faring. </w:t>
      </w:r>
      <w:r w:rsidRPr="000370BC">
        <w:rPr>
          <w:rFonts w:cs="Arial"/>
          <w:color w:val="000000"/>
          <w:sz w:val="20"/>
          <w:szCs w:val="22"/>
        </w:rPr>
        <w:t xml:space="preserve">On this approach the situation of a low-income </w:t>
      </w:r>
      <w:r w:rsidRPr="000370BC">
        <w:rPr>
          <w:rFonts w:cs="Arial"/>
          <w:color w:val="000000"/>
          <w:sz w:val="20"/>
          <w:szCs w:val="22"/>
        </w:rPr>
        <w:lastRenderedPageBreak/>
        <w:t>household is considered to have improved if its income gets closer to that of the median household, irrespective of whether it is better or worse off in real terms.</w:t>
      </w:r>
    </w:p>
    <w:p w:rsidR="006F67DE" w:rsidRPr="000370BC" w:rsidRDefault="006F67DE" w:rsidP="006F67DE">
      <w:pPr>
        <w:ind w:left="806"/>
        <w:jc w:val="both"/>
        <w:rPr>
          <w:rFonts w:cs="Arial"/>
          <w:color w:val="000000"/>
          <w:sz w:val="20"/>
          <w:szCs w:val="22"/>
        </w:rPr>
      </w:pPr>
    </w:p>
    <w:p w:rsidR="007B3E55" w:rsidRPr="000370BC" w:rsidRDefault="007B3E55" w:rsidP="007B3E55">
      <w:pPr>
        <w:numPr>
          <w:ilvl w:val="0"/>
          <w:numId w:val="14"/>
        </w:numPr>
        <w:jc w:val="both"/>
        <w:rPr>
          <w:rFonts w:cs="Arial"/>
          <w:color w:val="000000"/>
          <w:sz w:val="20"/>
          <w:szCs w:val="22"/>
        </w:rPr>
      </w:pPr>
      <w:r w:rsidRPr="000370BC">
        <w:rPr>
          <w:rFonts w:cs="Arial"/>
          <w:color w:val="000000"/>
          <w:sz w:val="20"/>
          <w:szCs w:val="22"/>
        </w:rPr>
        <w:t>T</w:t>
      </w:r>
      <w:r>
        <w:rPr>
          <w:rFonts w:cs="Arial"/>
          <w:color w:val="000000"/>
          <w:sz w:val="20"/>
          <w:szCs w:val="22"/>
        </w:rPr>
        <w:t>he report takes fixed line</w:t>
      </w:r>
      <w:r w:rsidRPr="000370BC">
        <w:rPr>
          <w:rFonts w:cs="Arial"/>
          <w:color w:val="000000"/>
          <w:sz w:val="20"/>
          <w:szCs w:val="22"/>
        </w:rPr>
        <w:t xml:space="preserve"> measures as the more fundamental in the sense that they reveal whether the incomes of low-income households are rising or falling in real terms.  Whatever is happening to the incomes of the ‘non-poor’, if more and more</w:t>
      </w:r>
      <w:r>
        <w:rPr>
          <w:rFonts w:cs="Arial"/>
          <w:color w:val="000000"/>
          <w:sz w:val="20"/>
          <w:szCs w:val="22"/>
        </w:rPr>
        <w:t xml:space="preserve"> people end up falling below a fixed line</w:t>
      </w:r>
      <w:r w:rsidRPr="000370BC">
        <w:rPr>
          <w:rFonts w:cs="Arial"/>
          <w:color w:val="000000"/>
          <w:sz w:val="20"/>
          <w:szCs w:val="22"/>
        </w:rPr>
        <w:t xml:space="preserve"> threshold, then in the population at large there is likely to be wide concern about increasing poverty</w:t>
      </w:r>
      <w:r>
        <w:rPr>
          <w:rFonts w:cs="Arial"/>
          <w:color w:val="000000"/>
          <w:sz w:val="20"/>
          <w:szCs w:val="22"/>
        </w:rPr>
        <w:t xml:space="preserve"> and hardship</w:t>
      </w:r>
      <w:r w:rsidRPr="000370BC">
        <w:rPr>
          <w:rFonts w:cs="Arial"/>
          <w:color w:val="000000"/>
          <w:sz w:val="20"/>
          <w:szCs w:val="22"/>
        </w:rPr>
        <w:t>.</w:t>
      </w:r>
    </w:p>
    <w:p w:rsidR="007B3E55" w:rsidRPr="000370BC" w:rsidRDefault="007B3E55" w:rsidP="007B3E55">
      <w:pPr>
        <w:ind w:left="360"/>
        <w:jc w:val="both"/>
        <w:rPr>
          <w:rFonts w:cs="Arial"/>
          <w:color w:val="000000"/>
          <w:sz w:val="20"/>
          <w:szCs w:val="22"/>
        </w:rPr>
      </w:pPr>
      <w:r w:rsidRPr="000370BC">
        <w:rPr>
          <w:rFonts w:cs="Arial"/>
          <w:color w:val="000000"/>
          <w:sz w:val="20"/>
          <w:szCs w:val="22"/>
        </w:rPr>
        <w:t xml:space="preserve">  </w:t>
      </w:r>
    </w:p>
    <w:p w:rsidR="007B3E55" w:rsidRPr="000370BC" w:rsidRDefault="007B3E55" w:rsidP="007B3E55">
      <w:pPr>
        <w:numPr>
          <w:ilvl w:val="0"/>
          <w:numId w:val="14"/>
        </w:numPr>
        <w:jc w:val="both"/>
        <w:rPr>
          <w:rFonts w:cs="Arial"/>
          <w:color w:val="000000"/>
          <w:sz w:val="20"/>
          <w:szCs w:val="22"/>
        </w:rPr>
      </w:pPr>
      <w:r>
        <w:rPr>
          <w:rFonts w:cs="Arial"/>
          <w:color w:val="000000"/>
          <w:sz w:val="20"/>
          <w:szCs w:val="22"/>
        </w:rPr>
        <w:t>Moving line</w:t>
      </w:r>
      <w:r w:rsidRPr="000370BC">
        <w:rPr>
          <w:rFonts w:cs="Arial"/>
          <w:color w:val="000000"/>
          <w:sz w:val="20"/>
          <w:szCs w:val="22"/>
        </w:rPr>
        <w:t xml:space="preserve"> measures are also important as they provide an indication of trends showing the distance between low-income and middle-income households.  This focus gives information relevant for better understanding social cohesion and inequality in the lower half of the income distribution.</w:t>
      </w:r>
    </w:p>
    <w:p w:rsidR="008739AC" w:rsidRDefault="008739AC" w:rsidP="008739AC">
      <w:pPr>
        <w:jc w:val="both"/>
        <w:rPr>
          <w:rFonts w:cs="Arial"/>
          <w:b/>
          <w:sz w:val="20"/>
        </w:rPr>
      </w:pPr>
    </w:p>
    <w:p w:rsidR="007B3E55" w:rsidRDefault="007B3E55" w:rsidP="008739AC">
      <w:pPr>
        <w:spacing w:before="120"/>
        <w:jc w:val="both"/>
        <w:rPr>
          <w:rFonts w:cs="Arial"/>
          <w:b/>
          <w:sz w:val="20"/>
        </w:rPr>
      </w:pPr>
      <w:r>
        <w:rPr>
          <w:rFonts w:cs="Arial"/>
          <w:b/>
          <w:sz w:val="20"/>
        </w:rPr>
        <w:t>Using non-monetary indicators to measure material wellbeing and hardship (deprivation)</w:t>
      </w:r>
    </w:p>
    <w:p w:rsidR="007B3E55" w:rsidRDefault="007B3E55" w:rsidP="007B3E55">
      <w:pPr>
        <w:jc w:val="both"/>
        <w:rPr>
          <w:rFonts w:cs="Arial"/>
          <w:b/>
          <w:sz w:val="20"/>
        </w:rPr>
      </w:pPr>
    </w:p>
    <w:p w:rsidR="000B0B12" w:rsidRDefault="007B3E55" w:rsidP="009521DA">
      <w:pPr>
        <w:numPr>
          <w:ilvl w:val="0"/>
          <w:numId w:val="98"/>
        </w:numPr>
        <w:jc w:val="both"/>
        <w:rPr>
          <w:rFonts w:cs="Arial"/>
          <w:color w:val="000000"/>
          <w:sz w:val="20"/>
        </w:rPr>
      </w:pPr>
      <w:r>
        <w:rPr>
          <w:rFonts w:cs="Arial"/>
          <w:color w:val="000000"/>
          <w:sz w:val="20"/>
        </w:rPr>
        <w:t xml:space="preserve">Non-monetary indicators (NMIs) are now widely used in EU and OECD nations to more directly </w:t>
      </w:r>
      <w:r w:rsidR="00E63FDE">
        <w:rPr>
          <w:rFonts w:cs="Arial"/>
          <w:color w:val="000000"/>
          <w:sz w:val="20"/>
        </w:rPr>
        <w:t>measure</w:t>
      </w:r>
      <w:r>
        <w:rPr>
          <w:rFonts w:cs="Arial"/>
          <w:color w:val="000000"/>
          <w:sz w:val="20"/>
        </w:rPr>
        <w:t xml:space="preserve"> the material wellbeing of households</w:t>
      </w:r>
      <w:r w:rsidR="000B0B12">
        <w:rPr>
          <w:rFonts w:cs="Arial"/>
          <w:color w:val="000000"/>
          <w:sz w:val="20"/>
        </w:rPr>
        <w:t>, especially at the low living standards or ‘hardship’ end of the spectrum.</w:t>
      </w:r>
    </w:p>
    <w:p w:rsidR="000B0B12" w:rsidRDefault="000B0B12" w:rsidP="009521DA">
      <w:pPr>
        <w:ind w:left="360"/>
        <w:jc w:val="both"/>
        <w:rPr>
          <w:rFonts w:cs="Arial"/>
          <w:color w:val="000000"/>
          <w:sz w:val="20"/>
        </w:rPr>
      </w:pPr>
    </w:p>
    <w:p w:rsidR="009365B8" w:rsidRDefault="00F56C34" w:rsidP="009521DA">
      <w:pPr>
        <w:numPr>
          <w:ilvl w:val="0"/>
          <w:numId w:val="98"/>
        </w:numPr>
        <w:jc w:val="both"/>
        <w:rPr>
          <w:rFonts w:cs="Arial"/>
          <w:color w:val="000000"/>
          <w:sz w:val="20"/>
        </w:rPr>
      </w:pPr>
      <w:r>
        <w:rPr>
          <w:rFonts w:cs="Arial"/>
          <w:color w:val="000000"/>
          <w:sz w:val="20"/>
        </w:rPr>
        <w:t xml:space="preserve">While current household income is a very important and influential factor in determining the </w:t>
      </w:r>
      <w:r w:rsidR="000B2681">
        <w:rPr>
          <w:rFonts w:cs="Arial"/>
          <w:color w:val="000000"/>
          <w:sz w:val="20"/>
        </w:rPr>
        <w:t>material well-being</w:t>
      </w:r>
      <w:r>
        <w:rPr>
          <w:rFonts w:cs="Arial"/>
          <w:color w:val="000000"/>
          <w:sz w:val="20"/>
        </w:rPr>
        <w:t xml:space="preserve"> of a</w:t>
      </w:r>
      <w:r w:rsidR="00BE4F70">
        <w:rPr>
          <w:rFonts w:cs="Arial"/>
          <w:color w:val="000000"/>
          <w:sz w:val="20"/>
        </w:rPr>
        <w:t xml:space="preserve"> household there are many other factors</w:t>
      </w:r>
      <w:r w:rsidR="008545E0">
        <w:rPr>
          <w:rFonts w:cs="Arial"/>
          <w:color w:val="000000"/>
          <w:sz w:val="20"/>
        </w:rPr>
        <w:t xml:space="preserve"> that also have an impact</w:t>
      </w:r>
      <w:r>
        <w:rPr>
          <w:rFonts w:cs="Arial"/>
          <w:color w:val="000000"/>
          <w:sz w:val="20"/>
        </w:rPr>
        <w:t>: examples are the level and quality of financial and physical assets, assistance from support networks</w:t>
      </w:r>
      <w:r w:rsidR="008545E0">
        <w:rPr>
          <w:rFonts w:cs="Arial"/>
          <w:color w:val="000000"/>
          <w:sz w:val="20"/>
        </w:rPr>
        <w:t xml:space="preserve"> outside the household</w:t>
      </w:r>
      <w:r>
        <w:rPr>
          <w:rFonts w:cs="Arial"/>
          <w:color w:val="000000"/>
          <w:sz w:val="20"/>
        </w:rPr>
        <w:t xml:space="preserve"> and </w:t>
      </w:r>
      <w:r w:rsidR="008545E0">
        <w:rPr>
          <w:rFonts w:cs="Arial"/>
          <w:color w:val="000000"/>
          <w:sz w:val="20"/>
        </w:rPr>
        <w:t xml:space="preserve">from </w:t>
      </w:r>
      <w:r>
        <w:rPr>
          <w:rFonts w:cs="Arial"/>
          <w:color w:val="000000"/>
          <w:sz w:val="20"/>
        </w:rPr>
        <w:t>government services, and specia</w:t>
      </w:r>
      <w:r w:rsidR="007B3E55">
        <w:rPr>
          <w:rFonts w:cs="Arial"/>
          <w:color w:val="000000"/>
          <w:sz w:val="20"/>
        </w:rPr>
        <w:t xml:space="preserve">l demands on the budget from health costs and </w:t>
      </w:r>
      <w:r w:rsidR="000B0B12">
        <w:rPr>
          <w:rFonts w:cs="Arial"/>
          <w:color w:val="000000"/>
          <w:sz w:val="20"/>
        </w:rPr>
        <w:t xml:space="preserve">high </w:t>
      </w:r>
      <w:r w:rsidR="007B3E55">
        <w:rPr>
          <w:rFonts w:cs="Arial"/>
          <w:color w:val="000000"/>
          <w:sz w:val="20"/>
        </w:rPr>
        <w:t>debt servicing</w:t>
      </w:r>
      <w:r>
        <w:rPr>
          <w:rFonts w:cs="Arial"/>
          <w:color w:val="000000"/>
          <w:sz w:val="20"/>
        </w:rPr>
        <w:t>.</w:t>
      </w:r>
      <w:r w:rsidR="00DE4A2A">
        <w:rPr>
          <w:rFonts w:cs="Arial"/>
          <w:color w:val="000000"/>
          <w:sz w:val="20"/>
        </w:rPr>
        <w:t xml:space="preserve"> </w:t>
      </w:r>
      <w:r>
        <w:rPr>
          <w:rFonts w:cs="Arial"/>
          <w:color w:val="000000"/>
          <w:sz w:val="20"/>
        </w:rPr>
        <w:t xml:space="preserve"> </w:t>
      </w:r>
    </w:p>
    <w:p w:rsidR="009365B8" w:rsidRDefault="009365B8" w:rsidP="009521DA">
      <w:pPr>
        <w:jc w:val="both"/>
        <w:rPr>
          <w:rFonts w:cs="Arial"/>
          <w:color w:val="000000"/>
          <w:sz w:val="20"/>
        </w:rPr>
      </w:pPr>
    </w:p>
    <w:p w:rsidR="007B3E55" w:rsidRDefault="003177EC" w:rsidP="009521DA">
      <w:pPr>
        <w:numPr>
          <w:ilvl w:val="0"/>
          <w:numId w:val="98"/>
        </w:numPr>
        <w:jc w:val="both"/>
        <w:rPr>
          <w:rFonts w:cs="Arial"/>
          <w:color w:val="000000"/>
          <w:sz w:val="20"/>
        </w:rPr>
      </w:pPr>
      <w:r>
        <w:rPr>
          <w:rFonts w:cs="Arial"/>
          <w:color w:val="000000"/>
          <w:sz w:val="20"/>
        </w:rPr>
        <w:t xml:space="preserve">Household income can be viewed as one input into material wellbeing.  </w:t>
      </w:r>
      <w:r w:rsidR="009E4110">
        <w:rPr>
          <w:rFonts w:cs="Arial"/>
          <w:color w:val="000000"/>
          <w:sz w:val="20"/>
        </w:rPr>
        <w:t>Using NMIs is an outcome</w:t>
      </w:r>
      <w:r w:rsidR="009365B8">
        <w:rPr>
          <w:rFonts w:cs="Arial"/>
          <w:color w:val="000000"/>
          <w:sz w:val="20"/>
        </w:rPr>
        <w:t>-focussed approach</w:t>
      </w:r>
      <w:r w:rsidR="003B11A5">
        <w:rPr>
          <w:rFonts w:cs="Arial"/>
          <w:color w:val="000000"/>
          <w:sz w:val="20"/>
        </w:rPr>
        <w:t xml:space="preserve">. </w:t>
      </w:r>
      <w:r w:rsidR="00AF4505">
        <w:rPr>
          <w:rFonts w:cs="Arial"/>
          <w:color w:val="000000"/>
          <w:sz w:val="20"/>
        </w:rPr>
        <w:t>The</w:t>
      </w:r>
      <w:r w:rsidR="009E4110">
        <w:rPr>
          <w:rFonts w:cs="Arial"/>
          <w:color w:val="000000"/>
          <w:sz w:val="20"/>
        </w:rPr>
        <w:t xml:space="preserve"> differences in material wellbeing indicated by the different NMI index scores reflect the overall impact of all the different </w:t>
      </w:r>
      <w:r w:rsidR="00BE4F70">
        <w:rPr>
          <w:rFonts w:cs="Arial"/>
          <w:color w:val="000000"/>
          <w:sz w:val="20"/>
        </w:rPr>
        <w:t xml:space="preserve">input </w:t>
      </w:r>
      <w:r w:rsidR="009E4110">
        <w:rPr>
          <w:rFonts w:cs="Arial"/>
          <w:color w:val="000000"/>
          <w:sz w:val="20"/>
        </w:rPr>
        <w:t xml:space="preserve">factors, not just income. </w:t>
      </w:r>
      <w:r w:rsidR="005F5D24">
        <w:rPr>
          <w:rFonts w:cs="Arial"/>
          <w:color w:val="000000"/>
          <w:sz w:val="20"/>
        </w:rPr>
        <w:t>Households with the same income can end up with different NMI scores because of the differing impact of the other factors on their living standards.</w:t>
      </w:r>
    </w:p>
    <w:p w:rsidR="00074C78" w:rsidRDefault="00074C78" w:rsidP="00074C78">
      <w:pPr>
        <w:spacing w:line="220" w:lineRule="exact"/>
        <w:ind w:left="360"/>
        <w:jc w:val="both"/>
        <w:rPr>
          <w:rFonts w:cs="Arial"/>
          <w:color w:val="000000"/>
          <w:sz w:val="20"/>
        </w:rPr>
      </w:pPr>
    </w:p>
    <w:p w:rsidR="0011552A" w:rsidRDefault="000A170C" w:rsidP="009521DA">
      <w:pPr>
        <w:numPr>
          <w:ilvl w:val="0"/>
          <w:numId w:val="98"/>
        </w:numPr>
        <w:jc w:val="both"/>
        <w:rPr>
          <w:rFonts w:cs="Arial"/>
          <w:color w:val="000000"/>
          <w:sz w:val="20"/>
        </w:rPr>
      </w:pPr>
      <w:r>
        <w:rPr>
          <w:rFonts w:cs="Arial"/>
          <w:color w:val="000000"/>
          <w:sz w:val="20"/>
        </w:rPr>
        <w:t xml:space="preserve">The Ministry has developed </w:t>
      </w:r>
      <w:r w:rsidR="00C01640">
        <w:rPr>
          <w:rFonts w:cs="Arial"/>
          <w:color w:val="000000"/>
          <w:sz w:val="20"/>
        </w:rPr>
        <w:t>an Economic Living Standards Index (</w:t>
      </w:r>
      <w:r>
        <w:rPr>
          <w:rFonts w:cs="Arial"/>
          <w:color w:val="000000"/>
          <w:sz w:val="20"/>
        </w:rPr>
        <w:t>ELSI</w:t>
      </w:r>
      <w:r w:rsidR="00C01640">
        <w:rPr>
          <w:rFonts w:cs="Arial"/>
          <w:color w:val="000000"/>
          <w:sz w:val="20"/>
        </w:rPr>
        <w:t>)</w:t>
      </w:r>
      <w:r>
        <w:rPr>
          <w:rFonts w:cs="Arial"/>
          <w:color w:val="000000"/>
          <w:sz w:val="20"/>
        </w:rPr>
        <w:t xml:space="preserve"> which ranks</w:t>
      </w:r>
      <w:r w:rsidR="00C01640">
        <w:rPr>
          <w:rFonts w:cs="Arial"/>
          <w:color w:val="000000"/>
          <w:sz w:val="20"/>
        </w:rPr>
        <w:t xml:space="preserve"> households</w:t>
      </w:r>
      <w:r>
        <w:rPr>
          <w:rFonts w:cs="Arial"/>
          <w:color w:val="000000"/>
          <w:sz w:val="20"/>
        </w:rPr>
        <w:t xml:space="preserve"> from low to high</w:t>
      </w:r>
      <w:r w:rsidR="00C01640">
        <w:rPr>
          <w:rFonts w:cs="Arial"/>
          <w:color w:val="000000"/>
          <w:sz w:val="20"/>
        </w:rPr>
        <w:t xml:space="preserve"> </w:t>
      </w:r>
      <w:r w:rsidR="00AF4505">
        <w:rPr>
          <w:rFonts w:cs="Arial"/>
          <w:color w:val="000000"/>
          <w:sz w:val="20"/>
        </w:rPr>
        <w:t>living standards</w:t>
      </w:r>
      <w:r>
        <w:rPr>
          <w:rFonts w:cs="Arial"/>
          <w:color w:val="000000"/>
          <w:sz w:val="20"/>
        </w:rPr>
        <w:t xml:space="preserve"> using NMIs</w:t>
      </w:r>
      <w:r w:rsidR="0011552A">
        <w:rPr>
          <w:rFonts w:cs="Arial"/>
          <w:color w:val="000000"/>
          <w:sz w:val="20"/>
        </w:rPr>
        <w:t>.</w:t>
      </w:r>
      <w:r w:rsidR="00C01640">
        <w:rPr>
          <w:rFonts w:cs="Arial"/>
          <w:color w:val="000000"/>
          <w:sz w:val="20"/>
        </w:rPr>
        <w:t xml:space="preserve">  </w:t>
      </w:r>
      <w:r w:rsidR="00134962">
        <w:rPr>
          <w:rFonts w:cs="Arial"/>
          <w:color w:val="000000"/>
          <w:sz w:val="20"/>
        </w:rPr>
        <w:t xml:space="preserve">The NMI items that are used in the index are of two types: essentials that no one should have to go without, and desirable non-essentials that are commonly aspired to.  </w:t>
      </w:r>
      <w:r w:rsidR="0011552A">
        <w:rPr>
          <w:rFonts w:cs="Arial"/>
          <w:color w:val="000000"/>
          <w:sz w:val="20"/>
        </w:rPr>
        <w:t xml:space="preserve">To create the ELSI scores, the NMI items are scored from two different perspectives: </w:t>
      </w:r>
    </w:p>
    <w:p w:rsidR="009B6F79" w:rsidRDefault="0011552A" w:rsidP="00D968A7">
      <w:pPr>
        <w:numPr>
          <w:ilvl w:val="0"/>
          <w:numId w:val="130"/>
        </w:numPr>
        <w:tabs>
          <w:tab w:val="clear" w:pos="720"/>
          <w:tab w:val="num" w:pos="1440"/>
        </w:tabs>
        <w:spacing w:before="120"/>
        <w:ind w:left="1440" w:hanging="270"/>
        <w:jc w:val="both"/>
        <w:rPr>
          <w:rFonts w:cs="Arial"/>
          <w:color w:val="000000"/>
          <w:sz w:val="20"/>
        </w:rPr>
      </w:pPr>
      <w:r>
        <w:rPr>
          <w:rFonts w:cs="Arial"/>
          <w:color w:val="000000"/>
          <w:sz w:val="20"/>
        </w:rPr>
        <w:t>from</w:t>
      </w:r>
      <w:r w:rsidR="00962621">
        <w:rPr>
          <w:rFonts w:cs="Arial"/>
          <w:color w:val="000000"/>
          <w:sz w:val="20"/>
        </w:rPr>
        <w:t xml:space="preserve"> </w:t>
      </w:r>
      <w:r w:rsidR="009B6F79">
        <w:rPr>
          <w:rFonts w:cs="Arial"/>
          <w:color w:val="000000"/>
          <w:sz w:val="20"/>
        </w:rPr>
        <w:t>an ‘enforced lack’ perspective in which respondents do not have essential items because of the cost, or have to severely cut back on purchases because the money is needed for other essentials: for example, unable (because of the cost) to have regular good meals, two pairs of shoes in good repair for everyday activities, or visit the doctor; cutting back ‘a lot’ on fresh fruit and vegetables, putting up with the cold, and so on because mo</w:t>
      </w:r>
      <w:r w:rsidR="006A1791">
        <w:rPr>
          <w:rFonts w:cs="Arial"/>
          <w:color w:val="000000"/>
          <w:sz w:val="20"/>
        </w:rPr>
        <w:t>ney is needed for other basics)</w:t>
      </w:r>
    </w:p>
    <w:p w:rsidR="0011552A" w:rsidRDefault="009B6F79" w:rsidP="00D968A7">
      <w:pPr>
        <w:numPr>
          <w:ilvl w:val="0"/>
          <w:numId w:val="130"/>
        </w:numPr>
        <w:tabs>
          <w:tab w:val="clear" w:pos="720"/>
          <w:tab w:val="num" w:pos="1440"/>
        </w:tabs>
        <w:spacing w:before="120"/>
        <w:ind w:left="1440" w:hanging="270"/>
        <w:jc w:val="both"/>
        <w:rPr>
          <w:rFonts w:cs="Arial"/>
          <w:color w:val="000000"/>
          <w:sz w:val="20"/>
        </w:rPr>
      </w:pPr>
      <w:r>
        <w:rPr>
          <w:rFonts w:cs="Arial"/>
          <w:color w:val="000000"/>
          <w:sz w:val="20"/>
        </w:rPr>
        <w:t xml:space="preserve">from </w:t>
      </w:r>
      <w:r w:rsidR="00962621">
        <w:rPr>
          <w:rFonts w:cs="Arial"/>
          <w:color w:val="000000"/>
          <w:sz w:val="20"/>
        </w:rPr>
        <w:t>the perspective</w:t>
      </w:r>
      <w:r w:rsidR="00336F5F">
        <w:rPr>
          <w:rFonts w:cs="Arial"/>
          <w:color w:val="000000"/>
          <w:sz w:val="20"/>
        </w:rPr>
        <w:t xml:space="preserve"> of the</w:t>
      </w:r>
      <w:r>
        <w:rPr>
          <w:rFonts w:cs="Arial"/>
          <w:color w:val="000000"/>
          <w:sz w:val="20"/>
        </w:rPr>
        <w:t xml:space="preserve"> degree of </w:t>
      </w:r>
      <w:r w:rsidR="00336F5F">
        <w:rPr>
          <w:rFonts w:cs="Arial"/>
          <w:color w:val="000000"/>
          <w:sz w:val="20"/>
        </w:rPr>
        <w:t>restriction/freedom reported for having or purchasing desirable non-essentials (and having the essentials) – a ‘freedoms enjoyed’ perspective, for short: f</w:t>
      </w:r>
      <w:r w:rsidR="003177EC">
        <w:rPr>
          <w:rFonts w:cs="Arial"/>
          <w:color w:val="000000"/>
          <w:sz w:val="20"/>
        </w:rPr>
        <w:t xml:space="preserve">or example, having all the </w:t>
      </w:r>
      <w:r w:rsidR="00336F5F">
        <w:rPr>
          <w:rFonts w:cs="Arial"/>
          <w:color w:val="000000"/>
          <w:sz w:val="20"/>
        </w:rPr>
        <w:t>essentials</w:t>
      </w:r>
      <w:r w:rsidR="003177EC">
        <w:rPr>
          <w:rFonts w:cs="Arial"/>
          <w:color w:val="000000"/>
          <w:sz w:val="20"/>
        </w:rPr>
        <w:t>, and in addition not having to cut back on local trips, not having to put off replacing broken or worn out appliances, being able to take an overseas holiday e</w:t>
      </w:r>
      <w:r w:rsidR="006A1791">
        <w:rPr>
          <w:rFonts w:cs="Arial"/>
          <w:color w:val="000000"/>
          <w:sz w:val="20"/>
        </w:rPr>
        <w:t>very</w:t>
      </w:r>
      <w:r w:rsidR="003177EC">
        <w:rPr>
          <w:rFonts w:cs="Arial"/>
          <w:color w:val="000000"/>
          <w:sz w:val="20"/>
        </w:rPr>
        <w:t xml:space="preserve"> three years or so if desired</w:t>
      </w:r>
      <w:r w:rsidR="00050062">
        <w:rPr>
          <w:rFonts w:cs="Arial"/>
          <w:color w:val="000000"/>
          <w:sz w:val="20"/>
        </w:rPr>
        <w:t>, and not having any great restrictions on purchasing clothing</w:t>
      </w:r>
      <w:r w:rsidR="00675C08">
        <w:rPr>
          <w:rFonts w:cs="Arial"/>
          <w:color w:val="000000"/>
          <w:sz w:val="20"/>
        </w:rPr>
        <w:t>.</w:t>
      </w:r>
    </w:p>
    <w:p w:rsidR="000A170C" w:rsidRDefault="000A170C" w:rsidP="000A170C">
      <w:pPr>
        <w:spacing w:line="220" w:lineRule="exact"/>
        <w:jc w:val="both"/>
        <w:rPr>
          <w:rFonts w:cs="Arial"/>
          <w:color w:val="000000"/>
          <w:sz w:val="20"/>
        </w:rPr>
      </w:pPr>
    </w:p>
    <w:p w:rsidR="000A170C" w:rsidRDefault="00215660" w:rsidP="009521DA">
      <w:pPr>
        <w:numPr>
          <w:ilvl w:val="0"/>
          <w:numId w:val="98"/>
        </w:numPr>
        <w:jc w:val="both"/>
        <w:rPr>
          <w:rFonts w:cs="Arial"/>
          <w:color w:val="000000"/>
          <w:sz w:val="20"/>
        </w:rPr>
      </w:pPr>
      <w:r>
        <w:rPr>
          <w:rFonts w:cs="Arial"/>
          <w:color w:val="000000"/>
          <w:sz w:val="20"/>
        </w:rPr>
        <w:t xml:space="preserve">A </w:t>
      </w:r>
      <w:r w:rsidR="00BE4F70">
        <w:rPr>
          <w:rFonts w:cs="Arial"/>
          <w:color w:val="000000"/>
          <w:sz w:val="20"/>
        </w:rPr>
        <w:t>state of</w:t>
      </w:r>
      <w:r w:rsidR="00962621">
        <w:rPr>
          <w:rFonts w:cs="Arial"/>
          <w:color w:val="000000"/>
          <w:sz w:val="20"/>
        </w:rPr>
        <w:t xml:space="preserve"> hardship</w:t>
      </w:r>
      <w:r w:rsidR="00336F5F">
        <w:rPr>
          <w:rFonts w:cs="Arial"/>
          <w:color w:val="000000"/>
          <w:sz w:val="20"/>
        </w:rPr>
        <w:t xml:space="preserve"> (unacceptably low material wellbeing)</w:t>
      </w:r>
      <w:r w:rsidR="00962621">
        <w:rPr>
          <w:rFonts w:cs="Arial"/>
          <w:color w:val="000000"/>
          <w:sz w:val="20"/>
        </w:rPr>
        <w:t xml:space="preserve"> is characterised by having ma</w:t>
      </w:r>
      <w:r w:rsidR="000A170C">
        <w:rPr>
          <w:rFonts w:cs="Arial"/>
          <w:color w:val="000000"/>
          <w:sz w:val="20"/>
        </w:rPr>
        <w:t xml:space="preserve">ny </w:t>
      </w:r>
      <w:r w:rsidR="00962621">
        <w:rPr>
          <w:rFonts w:cs="Arial"/>
          <w:color w:val="000000"/>
          <w:sz w:val="20"/>
        </w:rPr>
        <w:t>‘</w:t>
      </w:r>
      <w:r w:rsidR="000A170C">
        <w:rPr>
          <w:rFonts w:cs="Arial"/>
          <w:color w:val="000000"/>
          <w:sz w:val="20"/>
        </w:rPr>
        <w:t>enforced lacks</w:t>
      </w:r>
      <w:r w:rsidR="00962621">
        <w:rPr>
          <w:rFonts w:cs="Arial"/>
          <w:color w:val="000000"/>
          <w:sz w:val="20"/>
        </w:rPr>
        <w:t>’</w:t>
      </w:r>
      <w:r w:rsidR="000A170C">
        <w:rPr>
          <w:rFonts w:cs="Arial"/>
          <w:color w:val="000000"/>
          <w:sz w:val="20"/>
        </w:rPr>
        <w:t xml:space="preserve"> of </w:t>
      </w:r>
      <w:r w:rsidR="009521DA">
        <w:rPr>
          <w:rFonts w:cs="Arial"/>
          <w:color w:val="000000"/>
          <w:sz w:val="20"/>
        </w:rPr>
        <w:t>essentials</w:t>
      </w:r>
      <w:r w:rsidR="000A170C">
        <w:rPr>
          <w:rFonts w:cs="Arial"/>
          <w:color w:val="000000"/>
          <w:sz w:val="20"/>
        </w:rPr>
        <w:t xml:space="preserve"> and </w:t>
      </w:r>
      <w:r w:rsidR="00962621">
        <w:rPr>
          <w:rFonts w:cs="Arial"/>
          <w:color w:val="000000"/>
          <w:sz w:val="20"/>
        </w:rPr>
        <w:t>few or no ‘freedoms’</w:t>
      </w:r>
      <w:r w:rsidR="00675C08">
        <w:rPr>
          <w:rFonts w:cs="Arial"/>
          <w:color w:val="000000"/>
          <w:sz w:val="20"/>
        </w:rPr>
        <w:t xml:space="preserve">.  Higher living standards </w:t>
      </w:r>
      <w:r>
        <w:rPr>
          <w:rFonts w:cs="Arial"/>
          <w:color w:val="000000"/>
          <w:sz w:val="20"/>
        </w:rPr>
        <w:t>are</w:t>
      </w:r>
      <w:r w:rsidR="00675C08">
        <w:rPr>
          <w:rFonts w:cs="Arial"/>
          <w:color w:val="000000"/>
          <w:sz w:val="20"/>
        </w:rPr>
        <w:t xml:space="preserve"> characterised by having all the essentials (no enforced lacks) and also having many freedoms and few restrictions in relation to the </w:t>
      </w:r>
      <w:r w:rsidR="00336F5F">
        <w:rPr>
          <w:rFonts w:cs="Arial"/>
          <w:color w:val="000000"/>
          <w:sz w:val="20"/>
        </w:rPr>
        <w:t xml:space="preserve">non-essential </w:t>
      </w:r>
      <w:r w:rsidR="00675C08">
        <w:rPr>
          <w:rFonts w:cs="Arial"/>
          <w:color w:val="000000"/>
          <w:sz w:val="20"/>
        </w:rPr>
        <w:t>items asked about in the survey.</w:t>
      </w:r>
    </w:p>
    <w:p w:rsidR="0011552A" w:rsidRDefault="0011552A" w:rsidP="009521DA">
      <w:pPr>
        <w:jc w:val="both"/>
        <w:rPr>
          <w:rFonts w:cs="Arial"/>
          <w:sz w:val="20"/>
        </w:rPr>
      </w:pPr>
    </w:p>
    <w:p w:rsidR="00675C08" w:rsidRDefault="00B21B17" w:rsidP="00675C08">
      <w:pPr>
        <w:numPr>
          <w:ilvl w:val="1"/>
          <w:numId w:val="97"/>
        </w:numPr>
        <w:tabs>
          <w:tab w:val="clear" w:pos="1440"/>
          <w:tab w:val="num" w:pos="709"/>
        </w:tabs>
        <w:ind w:left="709" w:hanging="283"/>
        <w:jc w:val="both"/>
        <w:rPr>
          <w:rFonts w:cs="Arial"/>
          <w:sz w:val="20"/>
        </w:rPr>
      </w:pPr>
      <w:r>
        <w:rPr>
          <w:rFonts w:cs="Arial"/>
          <w:sz w:val="20"/>
        </w:rPr>
        <w:t>Just as when using</w:t>
      </w:r>
      <w:r w:rsidR="00675C08">
        <w:rPr>
          <w:rFonts w:cs="Arial"/>
          <w:sz w:val="20"/>
        </w:rPr>
        <w:t xml:space="preserve"> household incomes, households can be ranked by their ELSI scores and grouped into deciles or in other ways.</w:t>
      </w:r>
    </w:p>
    <w:p w:rsidR="00675C08" w:rsidRDefault="00675C08" w:rsidP="00675C08">
      <w:pPr>
        <w:ind w:left="426"/>
        <w:jc w:val="both"/>
        <w:rPr>
          <w:rFonts w:cs="Arial"/>
          <w:sz w:val="20"/>
        </w:rPr>
      </w:pPr>
    </w:p>
    <w:p w:rsidR="00461038" w:rsidRDefault="00461038" w:rsidP="00D968A7">
      <w:pPr>
        <w:numPr>
          <w:ilvl w:val="1"/>
          <w:numId w:val="133"/>
        </w:numPr>
        <w:tabs>
          <w:tab w:val="clear" w:pos="1440"/>
          <w:tab w:val="num" w:pos="709"/>
        </w:tabs>
        <w:ind w:left="709" w:hanging="283"/>
        <w:jc w:val="both"/>
        <w:rPr>
          <w:rFonts w:cs="Arial"/>
          <w:sz w:val="20"/>
        </w:rPr>
      </w:pPr>
      <w:r>
        <w:rPr>
          <w:rFonts w:cs="Arial"/>
          <w:sz w:val="20"/>
        </w:rPr>
        <w:lastRenderedPageBreak/>
        <w:t>In order to use an index like ELSI for measuring material wellbeing it needs to be calibrated so as to give some meaning to the different scores.  A key element of the calibration (and deciding where to draw the hardship threshold) is to look at where the deprivations become very concentrated.   The graph below shows how the different ELSI deciles fare in terms of the relative proportions of both enforced lacks of essentials and also of freedoms enjoyed, out of the list of calibration items (all of which are in the latest update of the index).</w:t>
      </w:r>
    </w:p>
    <w:p w:rsidR="00A6566B" w:rsidRDefault="00A6566B" w:rsidP="00461038">
      <w:pPr>
        <w:ind w:left="426"/>
        <w:jc w:val="both"/>
        <w:rPr>
          <w:rFonts w:cs="Arial"/>
          <w:sz w:val="20"/>
        </w:rPr>
      </w:pPr>
    </w:p>
    <w:p w:rsidR="00050062" w:rsidRDefault="00050062" w:rsidP="00C959B7">
      <w:pPr>
        <w:jc w:val="center"/>
        <w:rPr>
          <w:rFonts w:cs="Arial"/>
          <w:b/>
          <w:sz w:val="18"/>
          <w:szCs w:val="18"/>
        </w:rPr>
      </w:pPr>
    </w:p>
    <w:p w:rsidR="00C959B7" w:rsidRPr="00E63327" w:rsidRDefault="00C959B7" w:rsidP="00050062">
      <w:pPr>
        <w:ind w:left="567"/>
        <w:jc w:val="center"/>
        <w:rPr>
          <w:rFonts w:cs="Arial"/>
          <w:b/>
          <w:sz w:val="18"/>
          <w:szCs w:val="18"/>
        </w:rPr>
      </w:pPr>
      <w:r>
        <w:rPr>
          <w:rFonts w:cs="Arial"/>
          <w:b/>
          <w:sz w:val="18"/>
          <w:szCs w:val="18"/>
        </w:rPr>
        <w:t>Calibrating</w:t>
      </w:r>
      <w:r w:rsidRPr="00E63327">
        <w:rPr>
          <w:rFonts w:cs="Arial"/>
          <w:b/>
          <w:sz w:val="18"/>
          <w:szCs w:val="18"/>
        </w:rPr>
        <w:t xml:space="preserve"> ELSI</w:t>
      </w:r>
      <w:r>
        <w:rPr>
          <w:rFonts w:cs="Arial"/>
          <w:b/>
          <w:sz w:val="18"/>
          <w:szCs w:val="18"/>
        </w:rPr>
        <w:t xml:space="preserve"> using ‘enforced lacks’ and ‘freedoms/non-essentials enjoyed’</w:t>
      </w:r>
      <w:r w:rsidRPr="00E63327">
        <w:rPr>
          <w:rFonts w:cs="Arial"/>
          <w:b/>
          <w:sz w:val="18"/>
          <w:szCs w:val="18"/>
        </w:rPr>
        <w:t xml:space="preserve"> (LSS 2008)</w:t>
      </w:r>
    </w:p>
    <w:p w:rsidR="00C959B7" w:rsidRPr="00BC3B26" w:rsidRDefault="00EC0BE0" w:rsidP="00050062">
      <w:pPr>
        <w:ind w:left="567"/>
        <w:jc w:val="center"/>
        <w:rPr>
          <w:rFonts w:cs="Arial"/>
          <w:b/>
        </w:rPr>
      </w:pPr>
      <w:r>
        <w:rPr>
          <w:noProof/>
          <w:lang w:val="en-US"/>
        </w:rPr>
        <w:drawing>
          <wp:inline distT="0" distB="0" distL="0" distR="0">
            <wp:extent cx="334327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343275" cy="2190750"/>
                    </a:xfrm>
                    <a:prstGeom prst="rect">
                      <a:avLst/>
                    </a:prstGeom>
                    <a:noFill/>
                    <a:ln w="9525">
                      <a:noFill/>
                      <a:miter lim="800000"/>
                      <a:headEnd/>
                      <a:tailEnd/>
                    </a:ln>
                  </pic:spPr>
                </pic:pic>
              </a:graphicData>
            </a:graphic>
          </wp:inline>
        </w:drawing>
      </w:r>
    </w:p>
    <w:p w:rsidR="00C959B7" w:rsidRDefault="00C959B7" w:rsidP="00C959B7">
      <w:pPr>
        <w:jc w:val="both"/>
        <w:rPr>
          <w:rFonts w:cs="Arial"/>
          <w:b/>
        </w:rPr>
      </w:pPr>
    </w:p>
    <w:p w:rsidR="008545E0" w:rsidRDefault="00A6566B" w:rsidP="00ED1070">
      <w:pPr>
        <w:numPr>
          <w:ilvl w:val="1"/>
          <w:numId w:val="97"/>
        </w:numPr>
        <w:tabs>
          <w:tab w:val="clear" w:pos="1440"/>
          <w:tab w:val="num" w:pos="709"/>
        </w:tabs>
        <w:ind w:left="709" w:hanging="283"/>
        <w:jc w:val="both"/>
        <w:rPr>
          <w:rFonts w:cs="Arial"/>
          <w:sz w:val="20"/>
        </w:rPr>
      </w:pPr>
      <w:r>
        <w:rPr>
          <w:rFonts w:cs="Arial"/>
          <w:sz w:val="20"/>
        </w:rPr>
        <w:t xml:space="preserve">For the purposes of the use of ELSI in the Incomes Report it is only the calibration at the hardship end of the spectrum that is of relevance. </w:t>
      </w:r>
      <w:r w:rsidR="00675C08">
        <w:rPr>
          <w:rFonts w:cs="Arial"/>
          <w:sz w:val="20"/>
        </w:rPr>
        <w:t>The ELSI hardship threshold is set at 6 or more deprivations out of 16</w:t>
      </w:r>
      <w:r w:rsidR="008545E0">
        <w:rPr>
          <w:rFonts w:cs="Arial"/>
          <w:sz w:val="20"/>
        </w:rPr>
        <w:t xml:space="preserve"> in the calibration list</w:t>
      </w:r>
      <w:r w:rsidR="00526DAC">
        <w:rPr>
          <w:rFonts w:cs="Arial"/>
          <w:sz w:val="20"/>
        </w:rPr>
        <w:t>.  This gav</w:t>
      </w:r>
      <w:r w:rsidR="004166C6">
        <w:rPr>
          <w:rFonts w:cs="Arial"/>
          <w:sz w:val="20"/>
        </w:rPr>
        <w:t>e a population hardship rate of 12% in 2008</w:t>
      </w:r>
      <w:r>
        <w:rPr>
          <w:rFonts w:cs="Arial"/>
          <w:sz w:val="20"/>
        </w:rPr>
        <w:t>, just a little above the top of the bottom decile</w:t>
      </w:r>
      <w:r w:rsidR="007A0FEB">
        <w:rPr>
          <w:rFonts w:cs="Arial"/>
          <w:sz w:val="20"/>
        </w:rPr>
        <w:t xml:space="preserve">, and close to the </w:t>
      </w:r>
      <w:r w:rsidR="008545E0">
        <w:rPr>
          <w:rFonts w:cs="Arial"/>
          <w:sz w:val="20"/>
        </w:rPr>
        <w:t xml:space="preserve">income </w:t>
      </w:r>
      <w:r w:rsidR="007A0FEB">
        <w:rPr>
          <w:rFonts w:cs="Arial"/>
          <w:sz w:val="20"/>
        </w:rPr>
        <w:t xml:space="preserve">poverty rate using the more stringent 50% of median AHC threshold (13%). </w:t>
      </w:r>
    </w:p>
    <w:p w:rsidR="007B3E55" w:rsidRDefault="007B3E55" w:rsidP="007B3E55">
      <w:pPr>
        <w:jc w:val="both"/>
        <w:rPr>
          <w:rFonts w:cs="Arial"/>
          <w:b/>
          <w:sz w:val="20"/>
        </w:rPr>
      </w:pPr>
    </w:p>
    <w:p w:rsidR="007B0BB1" w:rsidRDefault="00D50D3B" w:rsidP="00762713">
      <w:pPr>
        <w:numPr>
          <w:ilvl w:val="1"/>
          <w:numId w:val="97"/>
        </w:numPr>
        <w:tabs>
          <w:tab w:val="clear" w:pos="1440"/>
          <w:tab w:val="num" w:pos="709"/>
        </w:tabs>
        <w:ind w:left="709" w:hanging="283"/>
        <w:jc w:val="both"/>
        <w:rPr>
          <w:rFonts w:cs="Arial"/>
          <w:sz w:val="20"/>
        </w:rPr>
      </w:pPr>
      <w:r>
        <w:rPr>
          <w:rFonts w:cs="Arial"/>
          <w:sz w:val="20"/>
        </w:rPr>
        <w:t xml:space="preserve">The essentials used in the calibration exercise includes such items as: having a meal with meat, fish or chicken (or vegetarian equivalent) at least each second day, </w:t>
      </w:r>
      <w:r w:rsidR="00762713">
        <w:rPr>
          <w:rFonts w:cs="Arial"/>
          <w:sz w:val="20"/>
        </w:rPr>
        <w:t>buying adequate fresh fruit and vegetables, having suitable clothes for special or important occasions, visiting the doctor, paying the rates and electricity on time, repairing or replacing broken or damaged appliances, not having to put up with the cold or borrow from friends or family for everyday basics.</w:t>
      </w:r>
    </w:p>
    <w:p w:rsidR="00215660" w:rsidRDefault="00215660" w:rsidP="00215660">
      <w:pPr>
        <w:ind w:left="426"/>
        <w:jc w:val="both"/>
        <w:rPr>
          <w:rFonts w:cs="Arial"/>
          <w:sz w:val="20"/>
        </w:rPr>
      </w:pPr>
    </w:p>
    <w:p w:rsidR="00BC3B26" w:rsidRPr="000370BC" w:rsidRDefault="00BC3B26" w:rsidP="00BC3B26">
      <w:pPr>
        <w:numPr>
          <w:ilvl w:val="1"/>
          <w:numId w:val="97"/>
        </w:numPr>
        <w:tabs>
          <w:tab w:val="clear" w:pos="1440"/>
          <w:tab w:val="num" w:pos="709"/>
        </w:tabs>
        <w:ind w:left="709" w:hanging="283"/>
        <w:jc w:val="both"/>
        <w:rPr>
          <w:rFonts w:cs="Arial"/>
          <w:sz w:val="20"/>
        </w:rPr>
      </w:pPr>
      <w:r>
        <w:rPr>
          <w:rFonts w:cs="Arial"/>
          <w:sz w:val="20"/>
        </w:rPr>
        <w:t xml:space="preserve">Those in hardship using the ELSI measure have on average 8 deprivations out of the 16 used in the calibration list.  This compares with around 1 out of 16 deprivations on average for those </w:t>
      </w:r>
      <w:r w:rsidR="00C62CD6">
        <w:rPr>
          <w:rFonts w:cs="Arial"/>
          <w:sz w:val="20"/>
        </w:rPr>
        <w:t>in</w:t>
      </w:r>
      <w:r>
        <w:rPr>
          <w:rFonts w:cs="Arial"/>
          <w:sz w:val="20"/>
        </w:rPr>
        <w:t xml:space="preserve"> the middle of the distribution (deciles 4, 5 and 6).  The level at which the hardship threshold is set is therefore consistent with the relative disadvantage notion in which the poor and those in hardship have ‘resources that are so seriously below those commanded by the average individual or family that they are, in effect, excluded from ordinary living patterns, customs and activities’ (Townsend 1979).  It identifies living standards </w:t>
      </w:r>
      <w:r w:rsidR="006A1791">
        <w:rPr>
          <w:rFonts w:cs="Arial"/>
          <w:sz w:val="20"/>
        </w:rPr>
        <w:t>that</w:t>
      </w:r>
      <w:r w:rsidR="002E5CFC">
        <w:rPr>
          <w:rFonts w:cs="Arial"/>
          <w:sz w:val="20"/>
        </w:rPr>
        <w:t xml:space="preserve"> are </w:t>
      </w:r>
      <w:r>
        <w:rPr>
          <w:rFonts w:cs="Arial"/>
          <w:sz w:val="20"/>
        </w:rPr>
        <w:t>below a minimum acceptable standard for New Zealand today, in line with the definition used in the report, through the EU and more widely.</w:t>
      </w:r>
    </w:p>
    <w:p w:rsidR="00BC3B26" w:rsidRDefault="00BC3B26" w:rsidP="00BC3B26">
      <w:pPr>
        <w:ind w:left="426"/>
        <w:jc w:val="both"/>
        <w:rPr>
          <w:rFonts w:cs="Arial"/>
          <w:sz w:val="20"/>
        </w:rPr>
      </w:pPr>
    </w:p>
    <w:p w:rsidR="00A6566B" w:rsidRDefault="00215660" w:rsidP="00A6566B">
      <w:pPr>
        <w:numPr>
          <w:ilvl w:val="1"/>
          <w:numId w:val="97"/>
        </w:numPr>
        <w:tabs>
          <w:tab w:val="clear" w:pos="1440"/>
          <w:tab w:val="num" w:pos="709"/>
        </w:tabs>
        <w:ind w:left="709" w:hanging="283"/>
        <w:jc w:val="both"/>
        <w:rPr>
          <w:rFonts w:cs="Arial"/>
          <w:sz w:val="20"/>
        </w:rPr>
      </w:pPr>
      <w:r>
        <w:rPr>
          <w:rFonts w:cs="Arial"/>
          <w:sz w:val="20"/>
        </w:rPr>
        <w:t xml:space="preserve">The </w:t>
      </w:r>
      <w:r w:rsidR="00A6566B">
        <w:rPr>
          <w:rFonts w:cs="Arial"/>
          <w:sz w:val="20"/>
        </w:rPr>
        <w:t xml:space="preserve">HES </w:t>
      </w:r>
      <w:r>
        <w:rPr>
          <w:rFonts w:cs="Arial"/>
          <w:sz w:val="20"/>
        </w:rPr>
        <w:t>includes a more limited set of NMIs than are used in the full ELSI, but the same ranking applies for the</w:t>
      </w:r>
      <w:r w:rsidR="00A6566B">
        <w:rPr>
          <w:rFonts w:cs="Arial"/>
          <w:sz w:val="20"/>
        </w:rPr>
        <w:t xml:space="preserve"> </w:t>
      </w:r>
      <w:r>
        <w:rPr>
          <w:rFonts w:cs="Arial"/>
          <w:sz w:val="20"/>
        </w:rPr>
        <w:t>shorter form</w:t>
      </w:r>
      <w:r w:rsidR="00C62CD6">
        <w:rPr>
          <w:rFonts w:cs="Arial"/>
          <w:sz w:val="20"/>
        </w:rPr>
        <w:t xml:space="preserve"> available from the HES data</w:t>
      </w:r>
      <w:r>
        <w:rPr>
          <w:rFonts w:cs="Arial"/>
          <w:sz w:val="20"/>
        </w:rPr>
        <w:t>.</w:t>
      </w:r>
    </w:p>
    <w:p w:rsidR="00A6566B" w:rsidRDefault="00A6566B" w:rsidP="007B3E55">
      <w:pPr>
        <w:jc w:val="both"/>
        <w:rPr>
          <w:rFonts w:cs="Arial"/>
          <w:b/>
        </w:rPr>
      </w:pPr>
    </w:p>
    <w:p w:rsidR="00675C08" w:rsidRDefault="00675C08" w:rsidP="00675C08">
      <w:pPr>
        <w:ind w:left="360"/>
        <w:jc w:val="both"/>
        <w:rPr>
          <w:rFonts w:cs="Arial"/>
          <w:color w:val="000000"/>
          <w:sz w:val="20"/>
        </w:rPr>
      </w:pPr>
    </w:p>
    <w:p w:rsidR="007B3E55" w:rsidRPr="00770BCA" w:rsidRDefault="00FE7469" w:rsidP="007B3E55">
      <w:pPr>
        <w:jc w:val="both"/>
        <w:rPr>
          <w:rFonts w:cs="Arial"/>
          <w:b/>
          <w:sz w:val="24"/>
          <w:szCs w:val="24"/>
        </w:rPr>
      </w:pPr>
      <w:r>
        <w:rPr>
          <w:rFonts w:cs="Arial"/>
          <w:b/>
          <w:sz w:val="24"/>
          <w:szCs w:val="24"/>
        </w:rPr>
        <w:br w:type="page"/>
      </w:r>
      <w:r w:rsidR="007B3E55" w:rsidRPr="00770BCA">
        <w:rPr>
          <w:rFonts w:cs="Arial"/>
          <w:b/>
          <w:sz w:val="24"/>
          <w:szCs w:val="24"/>
        </w:rPr>
        <w:lastRenderedPageBreak/>
        <w:t xml:space="preserve">Summary of Findings </w:t>
      </w:r>
    </w:p>
    <w:p w:rsidR="007B3E55" w:rsidRDefault="007B3E55" w:rsidP="007B3E55">
      <w:pPr>
        <w:jc w:val="both"/>
        <w:rPr>
          <w:rFonts w:cs="Arial"/>
          <w:b/>
          <w:sz w:val="20"/>
        </w:rPr>
      </w:pPr>
    </w:p>
    <w:p w:rsidR="007B3E55" w:rsidRDefault="007B3E55" w:rsidP="007B3E55">
      <w:pPr>
        <w:jc w:val="both"/>
        <w:rPr>
          <w:rFonts w:cs="Arial"/>
          <w:sz w:val="20"/>
        </w:rPr>
      </w:pPr>
      <w:r w:rsidRPr="00CC2A30">
        <w:rPr>
          <w:rFonts w:cs="Arial"/>
          <w:sz w:val="20"/>
        </w:rPr>
        <w:t>The overview and summary that follows draws out the main findings and key messages from the full report.</w:t>
      </w:r>
      <w:r>
        <w:rPr>
          <w:rFonts w:cs="Arial"/>
          <w:sz w:val="20"/>
        </w:rPr>
        <w:t xml:space="preserve">  All the figures and findings in this Summary are in the main report.</w:t>
      </w:r>
    </w:p>
    <w:p w:rsidR="007B3E55" w:rsidRDefault="007B3E55" w:rsidP="007B3E55">
      <w:pPr>
        <w:jc w:val="both"/>
        <w:rPr>
          <w:rFonts w:cs="Arial"/>
          <w:sz w:val="20"/>
        </w:rPr>
      </w:pPr>
    </w:p>
    <w:p w:rsidR="007B3E55" w:rsidRDefault="007B3E55" w:rsidP="007B3E55">
      <w:pPr>
        <w:jc w:val="both"/>
        <w:rPr>
          <w:rFonts w:cs="Arial"/>
          <w:sz w:val="20"/>
        </w:rPr>
      </w:pPr>
      <w:r>
        <w:rPr>
          <w:rFonts w:cs="Arial"/>
          <w:sz w:val="20"/>
        </w:rPr>
        <w:t>The reader is referred to the full report not only for more detailed findings but also for the full description and discussion of the technical and methodological matters that lie behind the figures.</w:t>
      </w:r>
    </w:p>
    <w:p w:rsidR="007B3E55" w:rsidRDefault="007B3E55" w:rsidP="007B3E55">
      <w:pPr>
        <w:jc w:val="both"/>
        <w:rPr>
          <w:rFonts w:cs="Arial"/>
          <w:sz w:val="20"/>
        </w:rPr>
      </w:pPr>
    </w:p>
    <w:p w:rsidR="00AB2AD4" w:rsidRDefault="00AB2AD4" w:rsidP="007B3E55">
      <w:pPr>
        <w:jc w:val="both"/>
        <w:rPr>
          <w:rFonts w:cs="Arial"/>
          <w:sz w:val="20"/>
        </w:rPr>
      </w:pPr>
    </w:p>
    <w:p w:rsidR="007B3E55" w:rsidRPr="000370BC" w:rsidRDefault="007B3E55" w:rsidP="007B3E55">
      <w:pPr>
        <w:ind w:left="360" w:hanging="360"/>
        <w:jc w:val="both"/>
        <w:rPr>
          <w:rFonts w:cs="Arial"/>
          <w:b/>
        </w:rPr>
      </w:pPr>
    </w:p>
    <w:p w:rsidR="007B3E55" w:rsidRPr="000370BC" w:rsidRDefault="007B3E55" w:rsidP="007B3E55">
      <w:pPr>
        <w:ind w:left="426" w:hanging="426"/>
        <w:jc w:val="both"/>
        <w:rPr>
          <w:rFonts w:cs="Arial"/>
          <w:b/>
        </w:rPr>
      </w:pPr>
      <w:r w:rsidRPr="000370BC">
        <w:rPr>
          <w:rFonts w:cs="Arial"/>
          <w:b/>
          <w:noProof/>
          <w:lang w:val="en-US"/>
        </w:rPr>
        <w:pict>
          <v:shape id="_x0000_s1206" type="#_x0000_t202" style="position:absolute;left:0;text-align:left;margin-left:21.4pt;margin-top:2.5pt;width:408.6pt;height:483.35pt;z-index:251655680">
            <v:textbox>
              <w:txbxContent>
                <w:p w:rsidR="00DE4A2A" w:rsidRPr="00AD4440" w:rsidRDefault="00DE4A2A" w:rsidP="007B3E55">
                  <w:pPr>
                    <w:tabs>
                      <w:tab w:val="left" w:pos="3261"/>
                    </w:tabs>
                    <w:spacing w:after="120"/>
                    <w:ind w:left="567" w:right="216"/>
                    <w:jc w:val="both"/>
                    <w:rPr>
                      <w:rFonts w:cs="Arial"/>
                    </w:rPr>
                  </w:pPr>
                  <w:r>
                    <w:rPr>
                      <w:rFonts w:cs="Arial"/>
                      <w:b/>
                    </w:rPr>
                    <w:tab/>
                  </w:r>
                  <w:r w:rsidRPr="00AD4440">
                    <w:rPr>
                      <w:rFonts w:cs="Arial"/>
                      <w:b/>
                    </w:rPr>
                    <w:t>Glossary</w:t>
                  </w:r>
                </w:p>
                <w:p w:rsidR="00DE4A2A" w:rsidRPr="00AD4440" w:rsidRDefault="00DE4A2A" w:rsidP="007B3E55">
                  <w:pPr>
                    <w:numPr>
                      <w:ilvl w:val="0"/>
                      <w:numId w:val="18"/>
                    </w:numPr>
                    <w:tabs>
                      <w:tab w:val="clear" w:pos="720"/>
                    </w:tabs>
                    <w:spacing w:after="160"/>
                    <w:ind w:left="567" w:right="210" w:hanging="284"/>
                    <w:jc w:val="both"/>
                    <w:rPr>
                      <w:rFonts w:cs="Arial"/>
                      <w:sz w:val="20"/>
                      <w:szCs w:val="18"/>
                    </w:rPr>
                  </w:pPr>
                  <w:r w:rsidRPr="00AD4440">
                    <w:rPr>
                      <w:rFonts w:cs="Arial"/>
                      <w:b/>
                      <w:sz w:val="20"/>
                      <w:szCs w:val="18"/>
                    </w:rPr>
                    <w:t>‘income’</w:t>
                  </w:r>
                  <w:r w:rsidRPr="00AD4440">
                    <w:rPr>
                      <w:rFonts w:cs="Arial"/>
                      <w:sz w:val="20"/>
                      <w:szCs w:val="18"/>
                    </w:rPr>
                    <w:t xml:space="preserve"> in the Incomes Report refers to household income from all sources after income tax is paid and transfers received, and after adjustment for household size and composition (equivalised disposable household income), unless otherwise stated</w:t>
                  </w:r>
                </w:p>
                <w:p w:rsidR="00DE4A2A" w:rsidRPr="00AD4440" w:rsidRDefault="00DE4A2A" w:rsidP="007B3E55">
                  <w:pPr>
                    <w:numPr>
                      <w:ilvl w:val="0"/>
                      <w:numId w:val="18"/>
                    </w:numPr>
                    <w:tabs>
                      <w:tab w:val="clear" w:pos="720"/>
                    </w:tabs>
                    <w:spacing w:after="60"/>
                    <w:ind w:left="567" w:right="210" w:hanging="284"/>
                    <w:jc w:val="both"/>
                    <w:rPr>
                      <w:rFonts w:cs="Arial"/>
                      <w:sz w:val="20"/>
                      <w:szCs w:val="18"/>
                    </w:rPr>
                  </w:pPr>
                  <w:r w:rsidRPr="00AD4440">
                    <w:rPr>
                      <w:rFonts w:cs="Arial"/>
                      <w:b/>
                      <w:sz w:val="20"/>
                      <w:szCs w:val="18"/>
                    </w:rPr>
                    <w:t>AHC</w:t>
                  </w:r>
                  <w:r w:rsidRPr="00AD4440">
                    <w:rPr>
                      <w:rFonts w:cs="Arial"/>
                      <w:sz w:val="20"/>
                      <w:szCs w:val="18"/>
                    </w:rPr>
                    <w:t xml:space="preserve"> income is household income after deducting housing costs</w:t>
                  </w:r>
                </w:p>
                <w:p w:rsidR="00DE4A2A" w:rsidRPr="00AD4440" w:rsidRDefault="00DE4A2A" w:rsidP="007B3E55">
                  <w:pPr>
                    <w:spacing w:after="160"/>
                    <w:ind w:left="567" w:right="210" w:hanging="284"/>
                    <w:jc w:val="both"/>
                    <w:rPr>
                      <w:rFonts w:cs="Arial"/>
                      <w:sz w:val="20"/>
                      <w:szCs w:val="18"/>
                    </w:rPr>
                  </w:pPr>
                  <w:r w:rsidRPr="00AD4440">
                    <w:rPr>
                      <w:rFonts w:cs="Arial"/>
                      <w:b/>
                      <w:sz w:val="20"/>
                      <w:szCs w:val="18"/>
                    </w:rPr>
                    <w:tab/>
                  </w:r>
                  <w:smartTag w:uri="urn:schemas-microsoft-com:office:smarttags" w:element="stockticker">
                    <w:r w:rsidRPr="00AD4440">
                      <w:rPr>
                        <w:rFonts w:cs="Arial"/>
                        <w:b/>
                        <w:sz w:val="20"/>
                        <w:szCs w:val="18"/>
                      </w:rPr>
                      <w:t>BHC</w:t>
                    </w:r>
                  </w:smartTag>
                  <w:r w:rsidRPr="00AD4440">
                    <w:rPr>
                      <w:rFonts w:cs="Arial"/>
                      <w:sz w:val="20"/>
                      <w:szCs w:val="18"/>
                    </w:rPr>
                    <w:t xml:space="preserve"> income is household income before deducting housing costs</w:t>
                  </w:r>
                </w:p>
                <w:p w:rsidR="00074C78" w:rsidRPr="00074C78" w:rsidRDefault="00074C78" w:rsidP="00074C78">
                  <w:pPr>
                    <w:numPr>
                      <w:ilvl w:val="0"/>
                      <w:numId w:val="18"/>
                    </w:numPr>
                    <w:tabs>
                      <w:tab w:val="clear" w:pos="720"/>
                    </w:tabs>
                    <w:spacing w:after="160"/>
                    <w:ind w:left="567" w:right="210" w:hanging="284"/>
                    <w:jc w:val="both"/>
                    <w:rPr>
                      <w:rFonts w:cs="Arial"/>
                      <w:sz w:val="20"/>
                      <w:szCs w:val="18"/>
                    </w:rPr>
                  </w:pPr>
                  <w:r>
                    <w:rPr>
                      <w:rFonts w:cs="Arial"/>
                      <w:sz w:val="20"/>
                      <w:szCs w:val="18"/>
                    </w:rPr>
                    <w:t>w</w:t>
                  </w:r>
                  <w:r w:rsidRPr="00A54DC6">
                    <w:rPr>
                      <w:rFonts w:cs="Arial"/>
                      <w:sz w:val="18"/>
                      <w:szCs w:val="18"/>
                    </w:rPr>
                    <w:t xml:space="preserve">hen the income distribution is divided into 100 equal groups each group is called a </w:t>
                  </w:r>
                  <w:r w:rsidRPr="00074C78">
                    <w:rPr>
                      <w:rFonts w:cs="Arial"/>
                      <w:b/>
                      <w:sz w:val="18"/>
                      <w:szCs w:val="18"/>
                    </w:rPr>
                    <w:t>percentile</w:t>
                  </w:r>
                  <w:r>
                    <w:rPr>
                      <w:rFonts w:cs="Arial"/>
                      <w:sz w:val="18"/>
                      <w:szCs w:val="18"/>
                    </w:rPr>
                    <w:t xml:space="preserve"> (P) </w:t>
                  </w:r>
                  <w:r w:rsidRPr="00AD4440">
                    <w:rPr>
                      <w:rFonts w:cs="Arial"/>
                      <w:sz w:val="20"/>
                      <w:szCs w:val="18"/>
                    </w:rPr>
                    <w:t>–</w:t>
                  </w:r>
                  <w:r>
                    <w:rPr>
                      <w:rFonts w:cs="Arial"/>
                      <w:sz w:val="18"/>
                      <w:szCs w:val="18"/>
                    </w:rPr>
                    <w:t xml:space="preserve">  t</w:t>
                  </w:r>
                  <w:r w:rsidRPr="00A54DC6">
                    <w:rPr>
                      <w:rFonts w:cs="Arial"/>
                      <w:sz w:val="18"/>
                      <w:szCs w:val="18"/>
                    </w:rPr>
                    <w:t>he top of the first decile is labelled P10 as it is also the top of the 10t</w:t>
                  </w:r>
                  <w:r>
                    <w:rPr>
                      <w:rFonts w:cs="Arial"/>
                      <w:sz w:val="18"/>
                      <w:szCs w:val="18"/>
                    </w:rPr>
                    <w:t>h percentile</w:t>
                  </w:r>
                </w:p>
                <w:p w:rsidR="00DE4A2A" w:rsidRPr="00AD4440" w:rsidRDefault="00DE4A2A" w:rsidP="007B3E55">
                  <w:pPr>
                    <w:numPr>
                      <w:ilvl w:val="0"/>
                      <w:numId w:val="18"/>
                    </w:numPr>
                    <w:tabs>
                      <w:tab w:val="clear" w:pos="720"/>
                    </w:tabs>
                    <w:spacing w:after="160"/>
                    <w:ind w:left="567" w:right="210" w:hanging="284"/>
                    <w:jc w:val="both"/>
                    <w:rPr>
                      <w:rFonts w:cs="Arial"/>
                      <w:sz w:val="20"/>
                      <w:szCs w:val="18"/>
                    </w:rPr>
                  </w:pPr>
                  <w:r w:rsidRPr="00AD4440">
                    <w:rPr>
                      <w:rFonts w:cs="Arial"/>
                      <w:b/>
                      <w:sz w:val="20"/>
                      <w:szCs w:val="18"/>
                    </w:rPr>
                    <w:t>poverty rates</w:t>
                  </w:r>
                  <w:r w:rsidRPr="00AD4440">
                    <w:rPr>
                      <w:rFonts w:cs="Arial"/>
                      <w:sz w:val="20"/>
                      <w:szCs w:val="18"/>
                    </w:rPr>
                    <w:t xml:space="preserve"> are usually reported using </w:t>
                  </w:r>
                  <w:smartTag w:uri="urn:schemas-microsoft-com:office:smarttags" w:element="stockticker">
                    <w:r w:rsidRPr="00AD4440">
                      <w:rPr>
                        <w:rFonts w:cs="Arial"/>
                        <w:sz w:val="20"/>
                        <w:szCs w:val="18"/>
                      </w:rPr>
                      <w:t>AHC</w:t>
                    </w:r>
                  </w:smartTag>
                  <w:r w:rsidRPr="00AD4440">
                    <w:rPr>
                      <w:rFonts w:cs="Arial"/>
                      <w:sz w:val="20"/>
                      <w:szCs w:val="18"/>
                    </w:rPr>
                    <w:t xml:space="preserve"> measures, for both fixed and moving line thresholds (60% of median) – the reference year for fixed line measures is 2007 </w:t>
                  </w:r>
                </w:p>
                <w:p w:rsidR="00DE4A2A" w:rsidRPr="007D3086" w:rsidRDefault="00074C78" w:rsidP="007B3E55">
                  <w:pPr>
                    <w:numPr>
                      <w:ilvl w:val="0"/>
                      <w:numId w:val="18"/>
                    </w:numPr>
                    <w:tabs>
                      <w:tab w:val="clear" w:pos="720"/>
                    </w:tabs>
                    <w:spacing w:after="160"/>
                    <w:ind w:left="567" w:right="210" w:hanging="284"/>
                    <w:jc w:val="both"/>
                    <w:rPr>
                      <w:rFonts w:cs="Arial"/>
                      <w:sz w:val="20"/>
                    </w:rPr>
                  </w:pPr>
                  <w:r w:rsidRPr="00074C78">
                    <w:rPr>
                      <w:rFonts w:cs="Arial"/>
                      <w:b/>
                      <w:sz w:val="20"/>
                    </w:rPr>
                    <w:t>OTI</w:t>
                  </w:r>
                  <w:r>
                    <w:rPr>
                      <w:rFonts w:cs="Arial"/>
                      <w:sz w:val="20"/>
                    </w:rPr>
                    <w:t xml:space="preserve"> is the ‘outgoings-to-income’ ratio for household spending on accommodation. W</w:t>
                  </w:r>
                  <w:r w:rsidR="00DE4A2A" w:rsidRPr="007D3086">
                    <w:rPr>
                      <w:rFonts w:cs="Arial"/>
                      <w:sz w:val="20"/>
                    </w:rPr>
                    <w:t xml:space="preserve">hen a household spends more than 30% of its income on accommodation it is said to have a </w:t>
                  </w:r>
                  <w:r w:rsidR="00DE4A2A" w:rsidRPr="007D3086">
                    <w:rPr>
                      <w:rFonts w:cs="Arial"/>
                      <w:b/>
                      <w:sz w:val="20"/>
                    </w:rPr>
                    <w:t>high OTI</w:t>
                  </w:r>
                  <w:r w:rsidR="00DE4A2A" w:rsidRPr="007D3086">
                    <w:rPr>
                      <w:rFonts w:cs="Arial"/>
                      <w:sz w:val="20"/>
                    </w:rPr>
                    <w:t xml:space="preserve"> </w:t>
                  </w:r>
                </w:p>
                <w:p w:rsidR="00DE4A2A" w:rsidRPr="00AD4440" w:rsidRDefault="00DE4A2A" w:rsidP="007B3E55">
                  <w:pPr>
                    <w:numPr>
                      <w:ilvl w:val="0"/>
                      <w:numId w:val="18"/>
                    </w:numPr>
                    <w:tabs>
                      <w:tab w:val="clear" w:pos="720"/>
                    </w:tabs>
                    <w:spacing w:after="60"/>
                    <w:ind w:left="567" w:right="210" w:hanging="284"/>
                    <w:jc w:val="both"/>
                    <w:rPr>
                      <w:rFonts w:cs="Arial"/>
                      <w:sz w:val="20"/>
                      <w:szCs w:val="18"/>
                    </w:rPr>
                  </w:pPr>
                  <w:r w:rsidRPr="00AD4440">
                    <w:rPr>
                      <w:rFonts w:cs="Arial"/>
                      <w:sz w:val="20"/>
                      <w:szCs w:val="18"/>
                    </w:rPr>
                    <w:t>income data from three</w:t>
                  </w:r>
                  <w:r w:rsidRPr="00AD4440">
                    <w:rPr>
                      <w:rFonts w:cs="Arial"/>
                      <w:b/>
                      <w:sz w:val="20"/>
                      <w:szCs w:val="18"/>
                    </w:rPr>
                    <w:t xml:space="preserve"> </w:t>
                  </w:r>
                  <w:r w:rsidRPr="00AD4440">
                    <w:rPr>
                      <w:rFonts w:cs="Arial"/>
                      <w:sz w:val="20"/>
                      <w:szCs w:val="18"/>
                    </w:rPr>
                    <w:t>Statistics New Zealand surveys</w:t>
                  </w:r>
                  <w:r w:rsidRPr="00AD4440">
                    <w:rPr>
                      <w:rFonts w:cs="Arial"/>
                      <w:b/>
                      <w:sz w:val="20"/>
                      <w:szCs w:val="18"/>
                    </w:rPr>
                    <w:t xml:space="preserve"> </w:t>
                  </w:r>
                  <w:r w:rsidRPr="00AD4440">
                    <w:rPr>
                      <w:rFonts w:cs="Arial"/>
                      <w:sz w:val="20"/>
                      <w:szCs w:val="18"/>
                    </w:rPr>
                    <w:t>are used in the report:</w:t>
                  </w:r>
                </w:p>
                <w:p w:rsidR="00DE4A2A" w:rsidRPr="00AD4440" w:rsidRDefault="00DE4A2A" w:rsidP="007B3E55">
                  <w:pPr>
                    <w:tabs>
                      <w:tab w:val="left" w:pos="1560"/>
                    </w:tabs>
                    <w:spacing w:after="60"/>
                    <w:ind w:left="1279" w:right="210" w:hanging="570"/>
                    <w:jc w:val="both"/>
                    <w:rPr>
                      <w:rFonts w:cs="Arial"/>
                      <w:sz w:val="20"/>
                      <w:szCs w:val="18"/>
                    </w:rPr>
                  </w:pPr>
                  <w:r w:rsidRPr="00AD4440">
                    <w:rPr>
                      <w:rFonts w:cs="Arial"/>
                      <w:b/>
                      <w:sz w:val="20"/>
                      <w:szCs w:val="18"/>
                    </w:rPr>
                    <w:t>HES</w:t>
                  </w:r>
                  <w:r w:rsidRPr="00AD4440">
                    <w:rPr>
                      <w:rFonts w:cs="Arial"/>
                      <w:sz w:val="20"/>
                      <w:szCs w:val="18"/>
                    </w:rPr>
                    <w:t xml:space="preserve"> </w:t>
                  </w:r>
                  <w:r w:rsidRPr="00AD4440">
                    <w:rPr>
                      <w:rFonts w:cs="Arial"/>
                      <w:sz w:val="20"/>
                      <w:szCs w:val="18"/>
                    </w:rPr>
                    <w:tab/>
                    <w:t xml:space="preserve">= </w:t>
                  </w:r>
                  <w:r w:rsidRPr="00AD4440">
                    <w:rPr>
                      <w:rFonts w:cs="Arial"/>
                      <w:sz w:val="20"/>
                      <w:szCs w:val="18"/>
                    </w:rPr>
                    <w:tab/>
                    <w:t xml:space="preserve">Household Economic Survey (most of the information is from </w:t>
                  </w:r>
                  <w:r>
                    <w:rPr>
                      <w:rFonts w:cs="Arial"/>
                      <w:sz w:val="20"/>
                      <w:szCs w:val="18"/>
                    </w:rPr>
                    <w:t>this)</w:t>
                  </w:r>
                </w:p>
                <w:p w:rsidR="00DE4A2A" w:rsidRDefault="00DE4A2A" w:rsidP="007B3E55">
                  <w:pPr>
                    <w:tabs>
                      <w:tab w:val="left" w:pos="1276"/>
                      <w:tab w:val="left" w:pos="1560"/>
                    </w:tabs>
                    <w:ind w:left="720" w:right="210"/>
                    <w:jc w:val="both"/>
                    <w:rPr>
                      <w:rFonts w:cs="Arial"/>
                      <w:sz w:val="20"/>
                      <w:szCs w:val="18"/>
                    </w:rPr>
                  </w:pPr>
                  <w:r w:rsidRPr="00AD4440">
                    <w:rPr>
                      <w:rFonts w:cs="Arial"/>
                      <w:b/>
                      <w:sz w:val="20"/>
                      <w:szCs w:val="18"/>
                    </w:rPr>
                    <w:t>NZIS</w:t>
                  </w:r>
                  <w:r w:rsidRPr="00AD4440">
                    <w:rPr>
                      <w:rFonts w:cs="Arial"/>
                      <w:sz w:val="20"/>
                      <w:szCs w:val="18"/>
                    </w:rPr>
                    <w:t xml:space="preserve"> </w:t>
                  </w:r>
                  <w:r w:rsidRPr="00AD4440">
                    <w:rPr>
                      <w:rFonts w:cs="Arial"/>
                      <w:sz w:val="20"/>
                      <w:szCs w:val="18"/>
                    </w:rPr>
                    <w:tab/>
                    <w:t xml:space="preserve">= </w:t>
                  </w:r>
                  <w:r w:rsidRPr="00AD4440">
                    <w:rPr>
                      <w:rFonts w:cs="Arial"/>
                      <w:sz w:val="20"/>
                      <w:szCs w:val="18"/>
                    </w:rPr>
                    <w:tab/>
                    <w:t>New Zealand Income Survey, a supplement of the Household</w:t>
                  </w:r>
                </w:p>
                <w:p w:rsidR="00DE4A2A" w:rsidRPr="00AD4440" w:rsidRDefault="00DE4A2A" w:rsidP="007B3E55">
                  <w:pPr>
                    <w:tabs>
                      <w:tab w:val="left" w:pos="1276"/>
                      <w:tab w:val="left" w:pos="1560"/>
                    </w:tabs>
                    <w:spacing w:after="60"/>
                    <w:ind w:left="720" w:right="210"/>
                    <w:jc w:val="both"/>
                    <w:rPr>
                      <w:rFonts w:cs="Arial"/>
                      <w:sz w:val="20"/>
                      <w:szCs w:val="18"/>
                    </w:rPr>
                  </w:pPr>
                  <w:r w:rsidRPr="00AD4440">
                    <w:rPr>
                      <w:rFonts w:cs="Arial"/>
                      <w:sz w:val="20"/>
                      <w:szCs w:val="18"/>
                    </w:rPr>
                    <w:t xml:space="preserve"> </w:t>
                  </w:r>
                  <w:r>
                    <w:rPr>
                      <w:rFonts w:cs="Arial"/>
                      <w:sz w:val="20"/>
                      <w:szCs w:val="18"/>
                    </w:rPr>
                    <w:tab/>
                  </w:r>
                  <w:r>
                    <w:rPr>
                      <w:rFonts w:cs="Arial"/>
                      <w:sz w:val="20"/>
                      <w:szCs w:val="18"/>
                    </w:rPr>
                    <w:tab/>
                  </w:r>
                  <w:r w:rsidRPr="00AD4440">
                    <w:rPr>
                      <w:rFonts w:cs="Arial"/>
                      <w:sz w:val="20"/>
                      <w:szCs w:val="18"/>
                    </w:rPr>
                    <w:t>Labour Force Survey</w:t>
                  </w:r>
                </w:p>
                <w:p w:rsidR="00DE4A2A" w:rsidRPr="00AD4440" w:rsidRDefault="00DE4A2A" w:rsidP="007B3E55">
                  <w:pPr>
                    <w:tabs>
                      <w:tab w:val="left" w:pos="1276"/>
                      <w:tab w:val="left" w:pos="1560"/>
                    </w:tabs>
                    <w:spacing w:after="160"/>
                    <w:ind w:left="709" w:right="210"/>
                    <w:jc w:val="both"/>
                    <w:rPr>
                      <w:rFonts w:cs="Arial"/>
                      <w:sz w:val="20"/>
                      <w:szCs w:val="18"/>
                    </w:rPr>
                  </w:pPr>
                  <w:r w:rsidRPr="00AD4440">
                    <w:rPr>
                      <w:rFonts w:cs="Arial"/>
                      <w:b/>
                      <w:sz w:val="20"/>
                      <w:szCs w:val="18"/>
                    </w:rPr>
                    <w:t>SoFIE</w:t>
                  </w:r>
                  <w:r w:rsidRPr="00AD4440">
                    <w:rPr>
                      <w:rFonts w:cs="Arial"/>
                      <w:sz w:val="20"/>
                      <w:szCs w:val="18"/>
                    </w:rPr>
                    <w:t xml:space="preserve"> </w:t>
                  </w:r>
                  <w:r>
                    <w:rPr>
                      <w:rFonts w:cs="Arial"/>
                      <w:sz w:val="20"/>
                      <w:szCs w:val="18"/>
                    </w:rPr>
                    <w:t xml:space="preserve">= </w:t>
                  </w:r>
                  <w:r w:rsidRPr="00AD4440">
                    <w:rPr>
                      <w:rFonts w:cs="Arial"/>
                      <w:sz w:val="20"/>
                      <w:szCs w:val="18"/>
                    </w:rPr>
                    <w:t xml:space="preserve">Survey of Family, Income and Employment </w:t>
                  </w:r>
                </w:p>
                <w:p w:rsidR="00DE4A2A" w:rsidRPr="00AD4440" w:rsidRDefault="00DE4A2A" w:rsidP="00614C04">
                  <w:pPr>
                    <w:numPr>
                      <w:ilvl w:val="0"/>
                      <w:numId w:val="80"/>
                    </w:numPr>
                    <w:tabs>
                      <w:tab w:val="clear" w:pos="720"/>
                    </w:tabs>
                    <w:spacing w:after="60"/>
                    <w:ind w:left="567" w:right="216" w:hanging="288"/>
                    <w:jc w:val="both"/>
                    <w:rPr>
                      <w:rFonts w:cs="Arial"/>
                      <w:sz w:val="20"/>
                      <w:szCs w:val="18"/>
                    </w:rPr>
                  </w:pPr>
                  <w:r w:rsidRPr="00AD4440">
                    <w:rPr>
                      <w:rFonts w:cs="Arial"/>
                      <w:b/>
                      <w:sz w:val="20"/>
                      <w:szCs w:val="18"/>
                    </w:rPr>
                    <w:t xml:space="preserve">median </w:t>
                  </w:r>
                  <w:r w:rsidRPr="00AD4440">
                    <w:rPr>
                      <w:rFonts w:cs="Arial"/>
                      <w:sz w:val="20"/>
                      <w:szCs w:val="18"/>
                    </w:rPr>
                    <w:t>household income is the income of the middle household</w:t>
                  </w:r>
                  <w:r>
                    <w:rPr>
                      <w:rFonts w:cs="Arial"/>
                      <w:sz w:val="20"/>
                      <w:szCs w:val="18"/>
                    </w:rPr>
                    <w:t xml:space="preserve"> – for example, if there are nine households, the middle household is the one ranked #5</w:t>
                  </w:r>
                </w:p>
                <w:p w:rsidR="00DE4A2A" w:rsidRPr="00AD4440" w:rsidRDefault="00DE4A2A" w:rsidP="007B3E55">
                  <w:pPr>
                    <w:spacing w:after="160"/>
                    <w:ind w:left="567" w:right="216"/>
                    <w:jc w:val="both"/>
                    <w:rPr>
                      <w:rFonts w:cs="Arial"/>
                      <w:sz w:val="20"/>
                      <w:szCs w:val="18"/>
                    </w:rPr>
                  </w:pPr>
                  <w:r w:rsidRPr="00AD4440">
                    <w:rPr>
                      <w:rFonts w:cs="Arial"/>
                      <w:b/>
                      <w:sz w:val="20"/>
                      <w:szCs w:val="18"/>
                    </w:rPr>
                    <w:t xml:space="preserve">mean </w:t>
                  </w:r>
                  <w:r w:rsidRPr="00AD4440">
                    <w:rPr>
                      <w:rFonts w:cs="Arial"/>
                      <w:sz w:val="20"/>
                      <w:szCs w:val="18"/>
                    </w:rPr>
                    <w:t>household income is the arithmetic average of the incomes of all households</w:t>
                  </w:r>
                </w:p>
                <w:p w:rsidR="00DE4A2A" w:rsidRPr="00AD4440" w:rsidRDefault="00DE4A2A" w:rsidP="00614C04">
                  <w:pPr>
                    <w:numPr>
                      <w:ilvl w:val="0"/>
                      <w:numId w:val="80"/>
                    </w:numPr>
                    <w:tabs>
                      <w:tab w:val="clear" w:pos="720"/>
                    </w:tabs>
                    <w:spacing w:after="120"/>
                    <w:ind w:left="567" w:right="210" w:hanging="284"/>
                    <w:jc w:val="both"/>
                    <w:rPr>
                      <w:rFonts w:cs="Arial"/>
                      <w:sz w:val="20"/>
                      <w:szCs w:val="18"/>
                    </w:rPr>
                  </w:pPr>
                  <w:r w:rsidRPr="00AD4440">
                    <w:rPr>
                      <w:rFonts w:cs="Arial"/>
                      <w:b/>
                      <w:sz w:val="20"/>
                      <w:szCs w:val="18"/>
                    </w:rPr>
                    <w:t>2011 HES</w:t>
                  </w:r>
                  <w:r w:rsidRPr="00AD4440">
                    <w:rPr>
                      <w:rFonts w:cs="Arial"/>
                      <w:sz w:val="20"/>
                      <w:szCs w:val="18"/>
                    </w:rPr>
                    <w:t xml:space="preserve"> is short for 2010-11 HES – interviews ask about income ‘from the previous 12 months’, so for households with interviews early in the cycle the reported income is for 2009-10, and on average</w:t>
                  </w:r>
                  <w:r w:rsidR="00074C78">
                    <w:rPr>
                      <w:rFonts w:cs="Arial"/>
                      <w:sz w:val="20"/>
                      <w:szCs w:val="18"/>
                    </w:rPr>
                    <w:t xml:space="preserve"> it is for around December 2010</w:t>
                  </w:r>
                </w:p>
                <w:p w:rsidR="00DE4A2A" w:rsidRDefault="00DE4A2A" w:rsidP="00614C04">
                  <w:pPr>
                    <w:numPr>
                      <w:ilvl w:val="0"/>
                      <w:numId w:val="80"/>
                    </w:numPr>
                    <w:tabs>
                      <w:tab w:val="clear" w:pos="720"/>
                    </w:tabs>
                    <w:spacing w:after="120"/>
                    <w:ind w:left="567" w:right="210" w:hanging="284"/>
                    <w:jc w:val="both"/>
                    <w:rPr>
                      <w:rFonts w:cs="Arial"/>
                      <w:sz w:val="20"/>
                      <w:szCs w:val="18"/>
                    </w:rPr>
                  </w:pPr>
                  <w:r w:rsidRPr="00AD4440">
                    <w:rPr>
                      <w:rFonts w:cs="Arial"/>
                      <w:b/>
                      <w:sz w:val="20"/>
                      <w:szCs w:val="18"/>
                    </w:rPr>
                    <w:t>GFC</w:t>
                  </w:r>
                  <w:r w:rsidRPr="00AD4440">
                    <w:rPr>
                      <w:rFonts w:cs="Arial"/>
                      <w:sz w:val="20"/>
                      <w:szCs w:val="18"/>
                    </w:rPr>
                    <w:t xml:space="preserve"> = global financial crisis</w:t>
                  </w:r>
                </w:p>
                <w:p w:rsidR="00DE4A2A" w:rsidRPr="00AD4440" w:rsidRDefault="00DE4A2A" w:rsidP="00614C04">
                  <w:pPr>
                    <w:numPr>
                      <w:ilvl w:val="0"/>
                      <w:numId w:val="80"/>
                    </w:numPr>
                    <w:tabs>
                      <w:tab w:val="clear" w:pos="720"/>
                    </w:tabs>
                    <w:spacing w:after="120"/>
                    <w:ind w:left="567" w:right="210" w:hanging="284"/>
                    <w:jc w:val="both"/>
                    <w:rPr>
                      <w:rFonts w:cs="Arial"/>
                      <w:sz w:val="20"/>
                      <w:szCs w:val="18"/>
                    </w:rPr>
                  </w:pPr>
                  <w:r w:rsidRPr="00AD4440">
                    <w:rPr>
                      <w:rFonts w:cs="Arial"/>
                      <w:b/>
                      <w:sz w:val="20"/>
                      <w:szCs w:val="18"/>
                    </w:rPr>
                    <w:t>NMI</w:t>
                  </w:r>
                  <w:r>
                    <w:rPr>
                      <w:rFonts w:cs="Arial"/>
                      <w:sz w:val="20"/>
                      <w:szCs w:val="18"/>
                    </w:rPr>
                    <w:t xml:space="preserve"> </w:t>
                  </w:r>
                  <w:r w:rsidRPr="00AD4440">
                    <w:rPr>
                      <w:rFonts w:cs="Arial"/>
                      <w:sz w:val="20"/>
                      <w:szCs w:val="18"/>
                    </w:rPr>
                    <w:t>= non-monetary indicator (sometimes referred to as non-income measures)</w:t>
                  </w:r>
                </w:p>
              </w:txbxContent>
            </v:textbox>
          </v:shape>
        </w:pict>
      </w: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Pr="000370BC" w:rsidRDefault="007B3E55" w:rsidP="007B3E55">
      <w:pPr>
        <w:ind w:left="426" w:hanging="426"/>
        <w:jc w:val="both"/>
        <w:rPr>
          <w:rFonts w:cs="Arial"/>
          <w:b/>
        </w:rPr>
      </w:pPr>
    </w:p>
    <w:p w:rsidR="007B3E55" w:rsidRDefault="007B3E55" w:rsidP="007B3E55">
      <w:pPr>
        <w:spacing w:after="120"/>
        <w:ind w:left="426" w:hanging="426"/>
        <w:jc w:val="both"/>
        <w:rPr>
          <w:rFonts w:cs="Arial"/>
          <w:b/>
          <w:szCs w:val="22"/>
        </w:rPr>
      </w:pPr>
    </w:p>
    <w:p w:rsidR="007B3E55" w:rsidRDefault="007B3E55" w:rsidP="007B3E55">
      <w:pPr>
        <w:spacing w:after="120"/>
        <w:ind w:left="426" w:hanging="426"/>
        <w:jc w:val="both"/>
        <w:rPr>
          <w:rFonts w:cs="Arial"/>
          <w:b/>
          <w:szCs w:val="22"/>
        </w:rPr>
      </w:pPr>
    </w:p>
    <w:p w:rsidR="007B3E55" w:rsidRDefault="007B3E55" w:rsidP="007B3E55">
      <w:pPr>
        <w:spacing w:after="120"/>
        <w:ind w:left="426" w:hanging="426"/>
        <w:jc w:val="both"/>
        <w:rPr>
          <w:rFonts w:cs="Arial"/>
          <w:b/>
          <w:szCs w:val="22"/>
        </w:rPr>
      </w:pPr>
    </w:p>
    <w:p w:rsidR="007B3E55" w:rsidRDefault="007B3E55" w:rsidP="007B3E55">
      <w:pPr>
        <w:spacing w:after="120"/>
        <w:ind w:left="426" w:hanging="426"/>
        <w:jc w:val="both"/>
        <w:rPr>
          <w:rFonts w:cs="Arial"/>
          <w:b/>
          <w:szCs w:val="22"/>
        </w:rPr>
      </w:pPr>
    </w:p>
    <w:p w:rsidR="007B3E55" w:rsidRDefault="007B3E55" w:rsidP="007B3E55">
      <w:pPr>
        <w:spacing w:after="120"/>
        <w:ind w:left="426" w:hanging="426"/>
        <w:jc w:val="both"/>
        <w:rPr>
          <w:rFonts w:cs="Arial"/>
          <w:b/>
          <w:szCs w:val="22"/>
        </w:rPr>
      </w:pPr>
    </w:p>
    <w:p w:rsidR="007B3E55" w:rsidRDefault="007B3E55" w:rsidP="007B3E55">
      <w:pPr>
        <w:ind w:left="426" w:hanging="426"/>
        <w:jc w:val="both"/>
        <w:rPr>
          <w:rFonts w:cs="Arial"/>
          <w:b/>
          <w:sz w:val="20"/>
        </w:rPr>
      </w:pPr>
    </w:p>
    <w:p w:rsidR="007B3E55" w:rsidRDefault="007B3E55" w:rsidP="007B3E55">
      <w:pPr>
        <w:spacing w:before="120"/>
        <w:ind w:left="360" w:hanging="360"/>
        <w:jc w:val="both"/>
        <w:rPr>
          <w:rFonts w:cs="Arial"/>
          <w:b/>
          <w:sz w:val="20"/>
        </w:rPr>
      </w:pPr>
    </w:p>
    <w:p w:rsidR="007B3E55" w:rsidRPr="00A33213" w:rsidRDefault="007B3E55" w:rsidP="007B3E55">
      <w:pPr>
        <w:ind w:left="357" w:hanging="357"/>
        <w:jc w:val="both"/>
        <w:rPr>
          <w:rFonts w:cs="Arial"/>
          <w:b/>
        </w:rPr>
      </w:pPr>
      <w:r>
        <w:rPr>
          <w:rFonts w:cs="Arial"/>
          <w:b/>
          <w:sz w:val="20"/>
        </w:rPr>
        <w:br w:type="page"/>
      </w:r>
      <w:r w:rsidRPr="00A33213">
        <w:rPr>
          <w:rFonts w:cs="Arial"/>
          <w:b/>
        </w:rPr>
        <w:lastRenderedPageBreak/>
        <w:t>Household incomes</w:t>
      </w:r>
    </w:p>
    <w:p w:rsidR="007B3E55" w:rsidRDefault="007B3E55" w:rsidP="007B3E55">
      <w:pPr>
        <w:ind w:left="357" w:hanging="357"/>
        <w:jc w:val="both"/>
        <w:rPr>
          <w:rFonts w:cs="Arial"/>
          <w:b/>
          <w:sz w:val="20"/>
        </w:rPr>
      </w:pPr>
    </w:p>
    <w:p w:rsidR="007B3E55" w:rsidRDefault="007B3E55" w:rsidP="007B3E55">
      <w:pPr>
        <w:ind w:left="357" w:hanging="357"/>
        <w:jc w:val="both"/>
        <w:rPr>
          <w:rFonts w:cs="Arial"/>
          <w:b/>
          <w:sz w:val="20"/>
        </w:rPr>
      </w:pPr>
      <w:r>
        <w:rPr>
          <w:rFonts w:cs="Arial"/>
          <w:b/>
          <w:sz w:val="20"/>
        </w:rPr>
        <w:t>1</w:t>
      </w:r>
      <w:r>
        <w:rPr>
          <w:rFonts w:cs="Arial"/>
          <w:b/>
          <w:sz w:val="20"/>
        </w:rPr>
        <w:tab/>
        <w:t>The impact of the GFC and the economic downturn on household incomes is very clear in the 2011 HES figures: median household income fell by 3% in real terms from 2009-10 to 2010-11.</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After 15 years of steady growth in median household income (3% pa in real terms from 1993-94 to 2008-09), the impact of the economic downturn on household incomes began to be seen in the 2009-10 figures which showed that there was very little change in the median from 2008-09 to 2009-10.  By the time of the 2011 HES, the potential existed for the market incomes of all interviewed households to be impacted, and the median fell for the first time since the early 1990s (-3% in real terms).</w:t>
      </w:r>
    </w:p>
    <w:p w:rsidR="007B3E55" w:rsidRDefault="007B3E55" w:rsidP="007B3E55">
      <w:pPr>
        <w:jc w:val="center"/>
        <w:rPr>
          <w:rFonts w:cs="Arial"/>
          <w:b/>
          <w:sz w:val="18"/>
          <w:szCs w:val="18"/>
        </w:rPr>
      </w:pPr>
    </w:p>
    <w:p w:rsidR="007B3E55" w:rsidRPr="00906DE1" w:rsidRDefault="007B3E55" w:rsidP="007B3E55">
      <w:pPr>
        <w:jc w:val="center"/>
        <w:rPr>
          <w:rFonts w:cs="Arial"/>
          <w:b/>
          <w:sz w:val="18"/>
          <w:szCs w:val="18"/>
        </w:rPr>
      </w:pPr>
      <w:r w:rsidRPr="00906DE1">
        <w:rPr>
          <w:rFonts w:cs="Arial"/>
          <w:b/>
          <w:sz w:val="18"/>
          <w:szCs w:val="18"/>
        </w:rPr>
        <w:t>Figure S.1</w:t>
      </w:r>
    </w:p>
    <w:p w:rsidR="007B3E55" w:rsidRPr="00906DE1" w:rsidRDefault="007B3E55" w:rsidP="007B3E55">
      <w:pPr>
        <w:jc w:val="center"/>
        <w:rPr>
          <w:rFonts w:cs="Arial"/>
          <w:b/>
          <w:sz w:val="18"/>
          <w:szCs w:val="18"/>
        </w:rPr>
      </w:pPr>
      <w:r w:rsidRPr="00906DE1">
        <w:rPr>
          <w:rFonts w:cs="Arial"/>
          <w:b/>
          <w:sz w:val="18"/>
          <w:szCs w:val="18"/>
        </w:rPr>
        <w:t>Real household income trends, 1982 to 2011 ($2011)</w:t>
      </w:r>
    </w:p>
    <w:p w:rsidR="007B3E55" w:rsidRPr="00B4460E" w:rsidRDefault="00EC0BE0" w:rsidP="007B3E55">
      <w:pPr>
        <w:spacing w:before="120"/>
        <w:jc w:val="center"/>
        <w:rPr>
          <w:rFonts w:cs="Arial"/>
          <w:sz w:val="20"/>
        </w:rPr>
      </w:pPr>
      <w:r>
        <w:rPr>
          <w:noProof/>
          <w:lang w:val="en-US"/>
        </w:rPr>
        <w:drawing>
          <wp:inline distT="0" distB="0" distL="0" distR="0">
            <wp:extent cx="2962275"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62275" cy="1885950"/>
                    </a:xfrm>
                    <a:prstGeom prst="rect">
                      <a:avLst/>
                    </a:prstGeom>
                    <a:noFill/>
                    <a:ln w="9525">
                      <a:noFill/>
                      <a:miter lim="800000"/>
                      <a:headEnd/>
                      <a:tailEnd/>
                    </a:ln>
                  </pic:spPr>
                </pic:pic>
              </a:graphicData>
            </a:graphic>
          </wp:inline>
        </w:drawing>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The slight rise in the mean from 2009-10 to 2010-11 compared with the fall for the median reflects the fact that changes in higher incomes (top quintile) have a large impact on the mean but none on the median: average income for the top quintile rose from 2009-10 to 2010-11, largely countering the effect on the overall mean of declines elsewhere.</w:t>
      </w:r>
    </w:p>
    <w:p w:rsidR="007B3E55" w:rsidRDefault="007B3E55" w:rsidP="007B3E55">
      <w:pPr>
        <w:ind w:left="360" w:hanging="360"/>
        <w:jc w:val="both"/>
        <w:rPr>
          <w:rFonts w:cs="Arial"/>
          <w:b/>
          <w:sz w:val="20"/>
        </w:rPr>
      </w:pPr>
    </w:p>
    <w:p w:rsidR="007B3E55" w:rsidRDefault="007B3E55" w:rsidP="007B3E55">
      <w:pPr>
        <w:ind w:left="360" w:hanging="360"/>
        <w:jc w:val="both"/>
        <w:rPr>
          <w:rFonts w:cs="Arial"/>
          <w:b/>
          <w:sz w:val="20"/>
        </w:rPr>
      </w:pPr>
    </w:p>
    <w:p w:rsidR="007B3E55" w:rsidRDefault="007B3E55" w:rsidP="007B3E55">
      <w:pPr>
        <w:ind w:left="360" w:hanging="360"/>
        <w:jc w:val="both"/>
        <w:rPr>
          <w:rFonts w:cs="Arial"/>
          <w:b/>
          <w:sz w:val="20"/>
        </w:rPr>
      </w:pPr>
      <w:r>
        <w:rPr>
          <w:rFonts w:cs="Arial"/>
          <w:b/>
          <w:sz w:val="20"/>
        </w:rPr>
        <w:t>2</w:t>
      </w:r>
      <w:r w:rsidRPr="000370BC">
        <w:rPr>
          <w:rFonts w:cs="Arial"/>
          <w:b/>
          <w:sz w:val="20"/>
        </w:rPr>
        <w:tab/>
      </w:r>
      <w:r>
        <w:rPr>
          <w:rFonts w:cs="Arial"/>
          <w:b/>
          <w:sz w:val="20"/>
        </w:rPr>
        <w:t>Median household income grew more quickly than average wages from 1994 to 2009.</w:t>
      </w:r>
    </w:p>
    <w:p w:rsidR="007B3E55" w:rsidRDefault="007B3E55" w:rsidP="007B3E55">
      <w:pPr>
        <w:jc w:val="both"/>
        <w:rPr>
          <w:rFonts w:cs="Arial"/>
          <w:b/>
          <w:sz w:val="20"/>
        </w:rPr>
      </w:pPr>
    </w:p>
    <w:p w:rsidR="007B3E55" w:rsidRDefault="007B3E55" w:rsidP="007B3E55">
      <w:pPr>
        <w:numPr>
          <w:ilvl w:val="0"/>
          <w:numId w:val="16"/>
        </w:numPr>
        <w:tabs>
          <w:tab w:val="clear" w:pos="1080"/>
          <w:tab w:val="num" w:pos="900"/>
        </w:tabs>
        <w:ind w:left="907"/>
        <w:jc w:val="both"/>
        <w:rPr>
          <w:rFonts w:cs="Arial"/>
          <w:sz w:val="20"/>
        </w:rPr>
      </w:pPr>
      <w:r>
        <w:rPr>
          <w:rFonts w:cs="Arial"/>
          <w:sz w:val="20"/>
        </w:rPr>
        <w:t>Median household incomes grew 46% in real terms from the low point in 1994 to 2009.  In the same period, average net (after tax) ordinary time wages grew 24% in real terms, and gross by 18%.</w:t>
      </w:r>
    </w:p>
    <w:p w:rsidR="007B3E55" w:rsidRDefault="007B3E55" w:rsidP="007B3E55">
      <w:pPr>
        <w:numPr>
          <w:ilvl w:val="0"/>
          <w:numId w:val="16"/>
        </w:numPr>
        <w:tabs>
          <w:tab w:val="clear" w:pos="1080"/>
          <w:tab w:val="num" w:pos="900"/>
        </w:tabs>
        <w:spacing w:before="120"/>
        <w:ind w:left="907" w:hanging="357"/>
        <w:jc w:val="both"/>
        <w:rPr>
          <w:rFonts w:cs="Arial"/>
          <w:sz w:val="20"/>
        </w:rPr>
      </w:pPr>
      <w:r>
        <w:rPr>
          <w:rFonts w:cs="Arial"/>
          <w:sz w:val="20"/>
        </w:rPr>
        <w:t>Much of the difference between the growth of wages and the growth of household income is attributable to increased female labour force participation, especially in two parent families with dependent children. This increased the average hours of paid employment for these households and therefore their household income rose more quickly than wages. The incomes of two parent families are very significant in driving changes in the median.</w:t>
      </w:r>
    </w:p>
    <w:p w:rsidR="007B3E55" w:rsidRPr="00A33213" w:rsidRDefault="00EC0BE0" w:rsidP="007B3E55">
      <w:pPr>
        <w:numPr>
          <w:ilvl w:val="0"/>
          <w:numId w:val="16"/>
        </w:numPr>
        <w:tabs>
          <w:tab w:val="clear" w:pos="1080"/>
          <w:tab w:val="num" w:pos="900"/>
        </w:tabs>
        <w:spacing w:before="120"/>
        <w:ind w:left="907" w:hanging="357"/>
        <w:jc w:val="both"/>
        <w:rPr>
          <w:rFonts w:cs="Arial"/>
          <w:sz w:val="20"/>
        </w:rPr>
      </w:pPr>
      <w:r>
        <w:rPr>
          <w:noProof/>
          <w:lang w:val="en-US"/>
        </w:rPr>
        <w:drawing>
          <wp:anchor distT="0" distB="0" distL="114300" distR="114300" simplePos="0" relativeHeight="251659776" behindDoc="0" locked="0" layoutInCell="1" allowOverlap="1">
            <wp:simplePos x="0" y="0"/>
            <wp:positionH relativeFrom="column">
              <wp:posOffset>3062605</wp:posOffset>
            </wp:positionH>
            <wp:positionV relativeFrom="paragraph">
              <wp:posOffset>113665</wp:posOffset>
            </wp:positionV>
            <wp:extent cx="2813685" cy="1729105"/>
            <wp:effectExtent l="0" t="0" r="5715" b="0"/>
            <wp:wrapSquare wrapText="lef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a:srcRect/>
                    <a:stretch>
                      <a:fillRect/>
                    </a:stretch>
                  </pic:blipFill>
                  <pic:spPr bwMode="auto">
                    <a:xfrm>
                      <a:off x="0" y="0"/>
                      <a:ext cx="2813685" cy="1729105"/>
                    </a:xfrm>
                    <a:prstGeom prst="rect">
                      <a:avLst/>
                    </a:prstGeom>
                    <a:noFill/>
                    <a:ln w="9525">
                      <a:noFill/>
                      <a:miter lim="800000"/>
                      <a:headEnd/>
                      <a:tailEnd/>
                    </a:ln>
                  </pic:spPr>
                </pic:pic>
              </a:graphicData>
            </a:graphic>
          </wp:anchor>
        </w:drawing>
      </w:r>
      <w:r w:rsidR="007B3E55" w:rsidRPr="00A33213">
        <w:rPr>
          <w:rFonts w:cs="Arial"/>
          <w:sz w:val="20"/>
        </w:rPr>
        <w:t xml:space="preserve">Just over two of every three two-parent families were dual-earner families from 2007 to 2011, up from one in two in the early 1980s, but down from nearly three in four in 2004. </w:t>
      </w:r>
    </w:p>
    <w:p w:rsidR="007B3E55" w:rsidRPr="000370BC" w:rsidRDefault="007B3E55" w:rsidP="007B3E55">
      <w:pPr>
        <w:numPr>
          <w:ilvl w:val="0"/>
          <w:numId w:val="16"/>
        </w:numPr>
        <w:tabs>
          <w:tab w:val="clear" w:pos="1080"/>
          <w:tab w:val="num" w:pos="900"/>
        </w:tabs>
        <w:spacing w:before="120"/>
        <w:ind w:left="900" w:hanging="357"/>
        <w:jc w:val="both"/>
        <w:rPr>
          <w:rFonts w:cs="Arial"/>
          <w:sz w:val="20"/>
        </w:rPr>
      </w:pPr>
      <w:r>
        <w:rPr>
          <w:rFonts w:cs="Arial"/>
          <w:sz w:val="20"/>
        </w:rPr>
        <w:t>T</w:t>
      </w:r>
      <w:r w:rsidRPr="000370BC">
        <w:rPr>
          <w:rFonts w:cs="Arial"/>
          <w:sz w:val="20"/>
        </w:rPr>
        <w:t>he most common arrangement in 20</w:t>
      </w:r>
      <w:r>
        <w:rPr>
          <w:rFonts w:cs="Arial"/>
          <w:sz w:val="20"/>
        </w:rPr>
        <w:t>11</w:t>
      </w:r>
      <w:r w:rsidRPr="000370BC">
        <w:rPr>
          <w:rFonts w:cs="Arial"/>
          <w:sz w:val="20"/>
        </w:rPr>
        <w:t xml:space="preserve"> was for both parent</w:t>
      </w:r>
      <w:r>
        <w:rPr>
          <w:rFonts w:cs="Arial"/>
          <w:sz w:val="20"/>
        </w:rPr>
        <w:t xml:space="preserve">s to be working full-time  (43%), whereas in </w:t>
      </w:r>
      <w:r w:rsidRPr="000370BC">
        <w:rPr>
          <w:rFonts w:cs="Arial"/>
          <w:sz w:val="20"/>
        </w:rPr>
        <w:t>1982, the dominant pattern (52%) was one in full-time work and the other ‘workless’</w:t>
      </w:r>
      <w:r>
        <w:rPr>
          <w:rFonts w:cs="Arial"/>
          <w:sz w:val="20"/>
        </w:rPr>
        <w:t xml:space="preserve"> (WL)</w:t>
      </w:r>
      <w:r w:rsidRPr="000370BC">
        <w:rPr>
          <w:rFonts w:cs="Arial"/>
          <w:sz w:val="20"/>
        </w:rPr>
        <w:t>, with only 20% having both in full-time work</w:t>
      </w:r>
      <w:r>
        <w:rPr>
          <w:rFonts w:cs="Arial"/>
          <w:sz w:val="20"/>
        </w:rPr>
        <w:t>.</w:t>
      </w:r>
    </w:p>
    <w:p w:rsidR="007B3E55" w:rsidRPr="00A33213" w:rsidRDefault="007B3E55" w:rsidP="007B3E55">
      <w:pPr>
        <w:ind w:left="426" w:hanging="426"/>
        <w:jc w:val="both"/>
        <w:rPr>
          <w:rFonts w:cs="Arial"/>
          <w:sz w:val="20"/>
        </w:rPr>
      </w:pPr>
      <w:r>
        <w:rPr>
          <w:rFonts w:cs="Arial"/>
          <w:b/>
          <w:sz w:val="20"/>
        </w:rPr>
        <w:br w:type="page"/>
      </w:r>
      <w:r>
        <w:rPr>
          <w:rFonts w:cs="Arial"/>
          <w:b/>
          <w:sz w:val="20"/>
        </w:rPr>
        <w:lastRenderedPageBreak/>
        <w:t>3</w:t>
      </w:r>
      <w:r w:rsidRPr="000370BC">
        <w:rPr>
          <w:rFonts w:cs="Arial"/>
          <w:b/>
          <w:sz w:val="20"/>
        </w:rPr>
        <w:tab/>
      </w:r>
      <w:r>
        <w:rPr>
          <w:rFonts w:cs="Arial"/>
          <w:b/>
          <w:sz w:val="20"/>
        </w:rPr>
        <w:t>Different income groups have fared differently both in the longer run and in recent years.</w:t>
      </w:r>
    </w:p>
    <w:p w:rsidR="007B3E55" w:rsidRDefault="007B3E55" w:rsidP="007B3E55">
      <w:pPr>
        <w:ind w:left="547"/>
        <w:jc w:val="both"/>
        <w:rPr>
          <w:rFonts w:cs="Arial"/>
          <w:sz w:val="20"/>
        </w:rPr>
      </w:pPr>
    </w:p>
    <w:p w:rsidR="007B3E55" w:rsidRDefault="007B3E55" w:rsidP="007B3E55">
      <w:pPr>
        <w:numPr>
          <w:ilvl w:val="0"/>
          <w:numId w:val="16"/>
        </w:numPr>
        <w:tabs>
          <w:tab w:val="clear" w:pos="1080"/>
          <w:tab w:val="num" w:pos="900"/>
        </w:tabs>
        <w:ind w:left="907"/>
        <w:jc w:val="both"/>
        <w:rPr>
          <w:rFonts w:cs="Arial"/>
          <w:sz w:val="20"/>
        </w:rPr>
      </w:pPr>
      <w:r>
        <w:rPr>
          <w:rFonts w:cs="Arial"/>
          <w:sz w:val="20"/>
        </w:rPr>
        <w:t>From 1994 to 2004, incomes for middle- to higher-income households grew more quickly than the incomes of the bottom third (around 28% and 15% respectively, in real terms).</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From </w:t>
      </w:r>
      <w:r w:rsidRPr="000370BC">
        <w:rPr>
          <w:rFonts w:cs="Arial"/>
          <w:sz w:val="20"/>
        </w:rPr>
        <w:t xml:space="preserve">2004 to 2007 </w:t>
      </w:r>
      <w:r>
        <w:rPr>
          <w:rFonts w:cs="Arial"/>
          <w:sz w:val="20"/>
        </w:rPr>
        <w:t xml:space="preserve">the Working for Families (WFF) package led to </w:t>
      </w:r>
      <w:r w:rsidRPr="000370BC">
        <w:rPr>
          <w:rFonts w:cs="Arial"/>
          <w:sz w:val="20"/>
        </w:rPr>
        <w:t>incomes below the median gr</w:t>
      </w:r>
      <w:r>
        <w:rPr>
          <w:rFonts w:cs="Arial"/>
          <w:sz w:val="20"/>
        </w:rPr>
        <w:t>owing</w:t>
      </w:r>
      <w:r w:rsidRPr="000370BC">
        <w:rPr>
          <w:rFonts w:cs="Arial"/>
          <w:sz w:val="20"/>
        </w:rPr>
        <w:t xml:space="preserve"> more quickly than incomes above the median – the only </w:t>
      </w:r>
      <w:r>
        <w:rPr>
          <w:rFonts w:cs="Arial"/>
          <w:sz w:val="20"/>
        </w:rPr>
        <w:t xml:space="preserve">time in the 25 year </w:t>
      </w:r>
      <w:r w:rsidRPr="000370BC">
        <w:rPr>
          <w:rFonts w:cs="Arial"/>
          <w:sz w:val="20"/>
        </w:rPr>
        <w:t xml:space="preserve">period </w:t>
      </w:r>
      <w:r>
        <w:rPr>
          <w:rFonts w:cs="Arial"/>
          <w:sz w:val="20"/>
        </w:rPr>
        <w:t>1982 to 2007</w:t>
      </w:r>
      <w:r w:rsidRPr="000370BC">
        <w:rPr>
          <w:rFonts w:cs="Arial"/>
          <w:sz w:val="20"/>
        </w:rPr>
        <w:t xml:space="preserve"> in wh</w:t>
      </w:r>
      <w:r>
        <w:rPr>
          <w:rFonts w:cs="Arial"/>
          <w:sz w:val="20"/>
        </w:rPr>
        <w:t>ich this has happened.</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From 2007 to 2009 the growth was relatively even across all income groups (7</w:t>
      </w:r>
      <w:r w:rsidRPr="000370BC">
        <w:rPr>
          <w:rFonts w:cs="Arial"/>
          <w:sz w:val="20"/>
        </w:rPr>
        <w:t>–</w:t>
      </w:r>
      <w:r>
        <w:rPr>
          <w:rFonts w:cs="Arial"/>
          <w:sz w:val="20"/>
        </w:rPr>
        <w:t>9%).</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For the period in which the impact of the GFC and economic downturn is evident in the HES income data (2009 HES to 2011 HES):</w:t>
      </w:r>
    </w:p>
    <w:p w:rsidR="007B3E55" w:rsidRDefault="007B3E55" w:rsidP="00614C04">
      <w:pPr>
        <w:numPr>
          <w:ilvl w:val="0"/>
          <w:numId w:val="81"/>
        </w:numPr>
        <w:tabs>
          <w:tab w:val="clear" w:pos="720"/>
        </w:tabs>
        <w:spacing w:before="60"/>
        <w:ind w:left="1267"/>
        <w:jc w:val="both"/>
        <w:rPr>
          <w:rFonts w:cs="Arial"/>
          <w:sz w:val="20"/>
        </w:rPr>
      </w:pPr>
      <w:r>
        <w:rPr>
          <w:rFonts w:cs="Arial"/>
          <w:sz w:val="20"/>
        </w:rPr>
        <w:t>from the 2009 to 2010 HES, incomes for the lower deciles (1 to 4) continued to rise, deciles 5 to 8 remained almost unchanged, and incomes for deciles 9 and 10 fell in real terms – this reflects in the main a drop in self-employment income and investment returns for these high income groups</w:t>
      </w:r>
    </w:p>
    <w:p w:rsidR="007B3E55" w:rsidRDefault="007B3E55" w:rsidP="00614C04">
      <w:pPr>
        <w:numPr>
          <w:ilvl w:val="0"/>
          <w:numId w:val="81"/>
        </w:numPr>
        <w:tabs>
          <w:tab w:val="clear" w:pos="720"/>
        </w:tabs>
        <w:spacing w:before="60"/>
        <w:ind w:left="1267"/>
        <w:jc w:val="both"/>
        <w:rPr>
          <w:rFonts w:cs="Arial"/>
          <w:sz w:val="20"/>
        </w:rPr>
      </w:pPr>
      <w:r>
        <w:rPr>
          <w:rFonts w:cs="Arial"/>
          <w:sz w:val="20"/>
        </w:rPr>
        <w:t>from the 2010 to 2011 HES, incomes fell for decile</w:t>
      </w:r>
      <w:r w:rsidR="000E1576">
        <w:rPr>
          <w:rFonts w:cs="Arial"/>
          <w:sz w:val="20"/>
        </w:rPr>
        <w:t>s</w:t>
      </w:r>
      <w:r>
        <w:rPr>
          <w:rFonts w:cs="Arial"/>
          <w:sz w:val="20"/>
        </w:rPr>
        <w:t xml:space="preserve"> 3 to 6, and rose for deciles 7 to 10</w:t>
      </w:r>
      <w:r w:rsidR="00DB673A">
        <w:rPr>
          <w:rFonts w:cs="Arial"/>
          <w:sz w:val="20"/>
        </w:rPr>
        <w:t>, changes that</w:t>
      </w:r>
      <w:r>
        <w:rPr>
          <w:rFonts w:cs="Arial"/>
          <w:sz w:val="20"/>
        </w:rPr>
        <w:t xml:space="preserve"> reflect in the main the impact of reduced employment income for deciles 3 to 6, and some restored investment and self-employment income for the higher-income households</w:t>
      </w:r>
    </w:p>
    <w:p w:rsidR="007B3E55" w:rsidRPr="00A861BE" w:rsidRDefault="007B3E55" w:rsidP="00614C04">
      <w:pPr>
        <w:numPr>
          <w:ilvl w:val="0"/>
          <w:numId w:val="81"/>
        </w:numPr>
        <w:tabs>
          <w:tab w:val="clear" w:pos="720"/>
        </w:tabs>
        <w:spacing w:before="60"/>
        <w:ind w:left="1267"/>
        <w:jc w:val="both"/>
        <w:rPr>
          <w:rFonts w:cs="Arial"/>
          <w:b/>
          <w:sz w:val="20"/>
        </w:rPr>
      </w:pPr>
      <w:r>
        <w:rPr>
          <w:rFonts w:cs="Arial"/>
          <w:sz w:val="20"/>
        </w:rPr>
        <w:t>thus, inequality figures are volatile, falling from 2009 to 2010, then rising again s</w:t>
      </w:r>
      <w:r w:rsidR="00DB673A">
        <w:rPr>
          <w:rFonts w:cs="Arial"/>
          <w:sz w:val="20"/>
        </w:rPr>
        <w:t>harply from 2010 to 2011 (see #4</w:t>
      </w:r>
      <w:r>
        <w:rPr>
          <w:rFonts w:cs="Arial"/>
          <w:sz w:val="20"/>
        </w:rPr>
        <w:t xml:space="preserve"> below for more on inequality).</w:t>
      </w:r>
    </w:p>
    <w:p w:rsidR="007B3E55" w:rsidRDefault="007B3E55" w:rsidP="007B3E55">
      <w:pPr>
        <w:jc w:val="center"/>
        <w:rPr>
          <w:rFonts w:cs="Arial"/>
          <w:b/>
          <w:sz w:val="18"/>
          <w:szCs w:val="18"/>
        </w:rPr>
      </w:pPr>
    </w:p>
    <w:p w:rsidR="007B3E55" w:rsidRPr="00906DE1" w:rsidRDefault="007B3E55" w:rsidP="007B3E55">
      <w:pPr>
        <w:jc w:val="center"/>
        <w:rPr>
          <w:rFonts w:cs="Arial"/>
          <w:b/>
          <w:sz w:val="18"/>
          <w:szCs w:val="18"/>
        </w:rPr>
      </w:pPr>
      <w:r w:rsidRPr="00906DE1">
        <w:rPr>
          <w:rFonts w:cs="Arial"/>
          <w:b/>
          <w:sz w:val="18"/>
          <w:szCs w:val="18"/>
        </w:rPr>
        <w:t>Figure S.</w:t>
      </w:r>
      <w:r>
        <w:rPr>
          <w:rFonts w:cs="Arial"/>
          <w:b/>
          <w:sz w:val="18"/>
          <w:szCs w:val="18"/>
        </w:rPr>
        <w:t>2</w:t>
      </w:r>
    </w:p>
    <w:p w:rsidR="007B3E55" w:rsidRPr="00906DE1" w:rsidRDefault="007B3E55" w:rsidP="007B3E55">
      <w:pPr>
        <w:jc w:val="center"/>
        <w:rPr>
          <w:rFonts w:cs="Arial"/>
          <w:b/>
          <w:sz w:val="18"/>
          <w:szCs w:val="18"/>
        </w:rPr>
      </w:pPr>
      <w:r>
        <w:rPr>
          <w:rFonts w:cs="Arial"/>
          <w:b/>
          <w:sz w:val="18"/>
          <w:szCs w:val="18"/>
        </w:rPr>
        <w:t xml:space="preserve">Real </w:t>
      </w:r>
      <w:r w:rsidRPr="00906DE1">
        <w:rPr>
          <w:rFonts w:cs="Arial"/>
          <w:b/>
          <w:sz w:val="18"/>
          <w:szCs w:val="18"/>
        </w:rPr>
        <w:t>household income trends</w:t>
      </w:r>
      <w:r>
        <w:rPr>
          <w:rFonts w:cs="Arial"/>
          <w:b/>
          <w:sz w:val="18"/>
          <w:szCs w:val="18"/>
        </w:rPr>
        <w:t xml:space="preserve"> (BHC)</w:t>
      </w:r>
      <w:r w:rsidRPr="00906DE1">
        <w:rPr>
          <w:rFonts w:cs="Arial"/>
          <w:b/>
          <w:sz w:val="18"/>
          <w:szCs w:val="18"/>
        </w:rPr>
        <w:t>, 1982 to 2011 ($2011)</w:t>
      </w:r>
    </w:p>
    <w:p w:rsidR="007B3E55" w:rsidRPr="00E00A47" w:rsidRDefault="00EC0BE0" w:rsidP="007B3E55">
      <w:pPr>
        <w:spacing w:before="120"/>
        <w:jc w:val="center"/>
        <w:rPr>
          <w:rFonts w:cs="Arial"/>
          <w:sz w:val="20"/>
        </w:rPr>
      </w:pPr>
      <w:r>
        <w:rPr>
          <w:noProof/>
          <w:lang w:val="en-US"/>
        </w:rPr>
        <w:drawing>
          <wp:inline distT="0" distB="0" distL="0" distR="0">
            <wp:extent cx="3914775"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914775" cy="2409825"/>
                    </a:xfrm>
                    <a:prstGeom prst="rect">
                      <a:avLst/>
                    </a:prstGeom>
                    <a:noFill/>
                    <a:ln w="9525">
                      <a:noFill/>
                      <a:miter lim="800000"/>
                      <a:headEnd/>
                      <a:tailEnd/>
                    </a:ln>
                  </pic:spPr>
                </pic:pic>
              </a:graphicData>
            </a:graphic>
          </wp:inline>
        </w:drawing>
      </w:r>
    </w:p>
    <w:p w:rsidR="007B3E55" w:rsidRPr="003B5EE9" w:rsidRDefault="007B3E55" w:rsidP="007B3E55">
      <w:pPr>
        <w:numPr>
          <w:ilvl w:val="0"/>
          <w:numId w:val="16"/>
        </w:numPr>
        <w:tabs>
          <w:tab w:val="clear" w:pos="1080"/>
          <w:tab w:val="num" w:pos="900"/>
        </w:tabs>
        <w:spacing w:before="120"/>
        <w:ind w:left="901" w:hanging="357"/>
        <w:jc w:val="both"/>
        <w:rPr>
          <w:rFonts w:cs="Arial"/>
          <w:sz w:val="20"/>
        </w:rPr>
      </w:pPr>
      <w:r>
        <w:rPr>
          <w:rFonts w:cs="Arial"/>
          <w:color w:val="000000"/>
          <w:sz w:val="20"/>
        </w:rPr>
        <w:t>When looking at longer-run trends, the choice of starting point makes a difference.  For example, when the early 1980s are used as the starting point, a quite different perspective emerges:  after the fall from 1988 to 1994, it took until around 2000 for the median to return to what it was in the early 1980s, and it was only in 2007 (after WFF) that low incomes returned to what they were 25 years before.  See the full report for detail.</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color w:val="000000"/>
          <w:sz w:val="20"/>
        </w:rPr>
        <w:t xml:space="preserve">Household income data from the NZIS give a similar picture on recent trends.  Furthermore the median income in the June 2011 quarter (latest available) was 5% lower than the June 2010 quarter, suggesting that there is a good chance of the next HES (2011-12) showing a </w:t>
      </w:r>
      <w:r w:rsidR="00DB673A">
        <w:rPr>
          <w:rFonts w:cs="Arial"/>
          <w:color w:val="000000"/>
          <w:sz w:val="20"/>
        </w:rPr>
        <w:t xml:space="preserve">further </w:t>
      </w:r>
      <w:r>
        <w:rPr>
          <w:rFonts w:cs="Arial"/>
          <w:color w:val="000000"/>
          <w:sz w:val="20"/>
        </w:rPr>
        <w:t xml:space="preserve">fall in median household income. </w:t>
      </w:r>
    </w:p>
    <w:p w:rsidR="007B3E55" w:rsidRDefault="007B3E55" w:rsidP="007B3E55">
      <w:pPr>
        <w:ind w:left="357" w:hanging="357"/>
        <w:jc w:val="both"/>
        <w:rPr>
          <w:rFonts w:cs="Arial"/>
          <w:b/>
          <w:sz w:val="20"/>
        </w:rPr>
      </w:pPr>
    </w:p>
    <w:p w:rsidR="007B3E55" w:rsidRDefault="007B3E55" w:rsidP="007B3E55">
      <w:pPr>
        <w:ind w:left="357" w:hanging="357"/>
        <w:jc w:val="both"/>
        <w:rPr>
          <w:rFonts w:cs="Arial"/>
          <w:b/>
          <w:sz w:val="20"/>
        </w:rPr>
      </w:pPr>
    </w:p>
    <w:p w:rsidR="007B3E55" w:rsidRPr="00893B84" w:rsidRDefault="007B3E55" w:rsidP="007B3E55">
      <w:pPr>
        <w:ind w:left="425" w:hanging="425"/>
        <w:jc w:val="both"/>
        <w:rPr>
          <w:rFonts w:cs="Arial"/>
          <w:b/>
        </w:rPr>
      </w:pPr>
      <w:r>
        <w:rPr>
          <w:rFonts w:cs="Arial"/>
          <w:b/>
          <w:sz w:val="20"/>
        </w:rPr>
        <w:br w:type="page"/>
      </w:r>
      <w:r w:rsidRPr="00893B84">
        <w:rPr>
          <w:rFonts w:cs="Arial"/>
          <w:b/>
        </w:rPr>
        <w:lastRenderedPageBreak/>
        <w:t>Income inequality</w:t>
      </w:r>
    </w:p>
    <w:p w:rsidR="007B3E55" w:rsidRDefault="007B3E55" w:rsidP="007B3E55">
      <w:pPr>
        <w:ind w:left="425" w:hanging="425"/>
        <w:jc w:val="both"/>
        <w:rPr>
          <w:rFonts w:cs="Arial"/>
          <w:b/>
          <w:sz w:val="20"/>
        </w:rPr>
      </w:pPr>
    </w:p>
    <w:p w:rsidR="007B3E55" w:rsidRPr="000370BC" w:rsidRDefault="007B3E55" w:rsidP="007B3E55">
      <w:pPr>
        <w:ind w:left="425" w:hanging="425"/>
        <w:jc w:val="both"/>
        <w:rPr>
          <w:rFonts w:cs="Arial"/>
          <w:b/>
          <w:sz w:val="20"/>
        </w:rPr>
      </w:pPr>
      <w:r>
        <w:rPr>
          <w:rFonts w:cs="Arial"/>
          <w:b/>
          <w:sz w:val="20"/>
        </w:rPr>
        <w:t>4</w:t>
      </w:r>
      <w:r>
        <w:rPr>
          <w:rFonts w:cs="Arial"/>
          <w:b/>
          <w:sz w:val="20"/>
        </w:rPr>
        <w:tab/>
      </w:r>
      <w:r w:rsidRPr="000370BC">
        <w:rPr>
          <w:rFonts w:cs="Arial"/>
          <w:b/>
          <w:sz w:val="20"/>
        </w:rPr>
        <w:t>Income inequality</w:t>
      </w:r>
      <w:r>
        <w:rPr>
          <w:rFonts w:cs="Arial"/>
          <w:b/>
          <w:sz w:val="20"/>
        </w:rPr>
        <w:t xml:space="preserve"> rose rapidly from the late 1980s through to the early 1990s, followed by a slower but steady rise through to the early 2000s.  It</w:t>
      </w:r>
      <w:r w:rsidRPr="000370BC">
        <w:rPr>
          <w:rFonts w:cs="Arial"/>
          <w:b/>
          <w:sz w:val="20"/>
        </w:rPr>
        <w:t xml:space="preserve"> fell from 2004 to 2007 </w:t>
      </w:r>
      <w:r>
        <w:rPr>
          <w:rFonts w:cs="Arial"/>
          <w:b/>
          <w:sz w:val="20"/>
        </w:rPr>
        <w:t xml:space="preserve">largely </w:t>
      </w:r>
      <w:r w:rsidRPr="000370BC">
        <w:rPr>
          <w:rFonts w:cs="Arial"/>
          <w:b/>
          <w:sz w:val="20"/>
        </w:rPr>
        <w:t xml:space="preserve">as a result of the </w:t>
      </w:r>
      <w:r>
        <w:rPr>
          <w:rFonts w:cs="Arial"/>
          <w:b/>
          <w:sz w:val="20"/>
        </w:rPr>
        <w:t>WFF package,</w:t>
      </w:r>
      <w:r w:rsidRPr="000370BC">
        <w:rPr>
          <w:rFonts w:cs="Arial"/>
          <w:b/>
          <w:sz w:val="20"/>
        </w:rPr>
        <w:t xml:space="preserve"> </w:t>
      </w:r>
      <w:r>
        <w:rPr>
          <w:rFonts w:cs="Arial"/>
          <w:b/>
          <w:sz w:val="20"/>
        </w:rPr>
        <w:t>but for HES 2009, 2010 and 2011 key indicators have shown some volatility, reflecting the differing size and timing of the impact of the global financial crisis and economic downturn on different components of market income.</w:t>
      </w:r>
    </w:p>
    <w:p w:rsidR="007B3E55" w:rsidRDefault="007B3E55" w:rsidP="007B3E55">
      <w:pPr>
        <w:ind w:left="547"/>
        <w:jc w:val="both"/>
        <w:rPr>
          <w:rFonts w:cs="Arial"/>
          <w:sz w:val="20"/>
        </w:rPr>
      </w:pPr>
    </w:p>
    <w:p w:rsidR="007B3E55" w:rsidRPr="00BF41C5" w:rsidRDefault="007B3E55" w:rsidP="007B3E55">
      <w:pPr>
        <w:numPr>
          <w:ilvl w:val="0"/>
          <w:numId w:val="16"/>
        </w:numPr>
        <w:tabs>
          <w:tab w:val="clear" w:pos="1080"/>
          <w:tab w:val="num" w:pos="900"/>
        </w:tabs>
        <w:ind w:left="907"/>
        <w:jc w:val="both"/>
        <w:rPr>
          <w:rFonts w:cs="Arial"/>
          <w:sz w:val="20"/>
        </w:rPr>
      </w:pPr>
      <w:r w:rsidRPr="00D068D3">
        <w:rPr>
          <w:rFonts w:cs="Arial"/>
          <w:noProof/>
          <w:sz w:val="20"/>
        </w:rPr>
        <w:t>The Gini coefficient is a common measure of inequality used internationally.  It gives a summary of the income differences between each person in the population and every other person.</w:t>
      </w:r>
      <w:r>
        <w:rPr>
          <w:noProof/>
        </w:rPr>
        <w:t xml:space="preserve">  </w:t>
      </w:r>
      <w:r>
        <w:rPr>
          <w:rFonts w:cs="Arial"/>
          <w:sz w:val="20"/>
        </w:rPr>
        <w:t xml:space="preserve"> A higher score indicates higher inequality. In OECD countries scores range from 25 (eg </w:t>
      </w:r>
      <w:smartTag w:uri="urn:schemas-microsoft-com:office:smarttags" w:element="country-region">
        <w:r>
          <w:rPr>
            <w:rFonts w:cs="Arial"/>
            <w:sz w:val="20"/>
          </w:rPr>
          <w:t>Denmark</w:t>
        </w:r>
      </w:smartTag>
      <w:r>
        <w:rPr>
          <w:rFonts w:cs="Arial"/>
          <w:sz w:val="20"/>
        </w:rPr>
        <w:t>) to 38 (</w:t>
      </w:r>
      <w:smartTag w:uri="urn:schemas-microsoft-com:office:smarttags" w:element="country-region">
        <w:r>
          <w:rPr>
            <w:rFonts w:cs="Arial"/>
            <w:sz w:val="20"/>
          </w:rPr>
          <w:t>USA</w:t>
        </w:r>
      </w:smartTag>
      <w:r>
        <w:rPr>
          <w:rFonts w:cs="Arial"/>
          <w:sz w:val="20"/>
        </w:rPr>
        <w:t xml:space="preserve">), and even higher (eg </w:t>
      </w:r>
      <w:smartTag w:uri="urn:schemas-microsoft-com:office:smarttags" w:element="place">
        <w:smartTag w:uri="urn:schemas-microsoft-com:office:smarttags" w:element="country-region">
          <w:r>
            <w:rPr>
              <w:rFonts w:cs="Arial"/>
              <w:sz w:val="20"/>
            </w:rPr>
            <w:t>Chile</w:t>
          </w:r>
        </w:smartTag>
      </w:smartTag>
      <w:r>
        <w:rPr>
          <w:rFonts w:cs="Arial"/>
          <w:sz w:val="20"/>
        </w:rPr>
        <w:t xml:space="preserve"> 50). </w:t>
      </w:r>
    </w:p>
    <w:p w:rsidR="007B3E55" w:rsidRDefault="00EC0BE0" w:rsidP="007B3E55">
      <w:pPr>
        <w:numPr>
          <w:ilvl w:val="0"/>
          <w:numId w:val="16"/>
        </w:numPr>
        <w:tabs>
          <w:tab w:val="clear" w:pos="1080"/>
          <w:tab w:val="num" w:pos="900"/>
        </w:tabs>
        <w:spacing w:before="120"/>
        <w:ind w:left="900"/>
        <w:jc w:val="both"/>
        <w:rPr>
          <w:rFonts w:cs="Arial"/>
          <w:sz w:val="20"/>
        </w:rPr>
      </w:pPr>
      <w:r>
        <w:rPr>
          <w:noProof/>
          <w:lang w:val="en-US"/>
        </w:rPr>
        <w:drawing>
          <wp:anchor distT="0" distB="0" distL="114300" distR="114300" simplePos="0" relativeHeight="251673088" behindDoc="0" locked="0" layoutInCell="1" allowOverlap="1">
            <wp:simplePos x="0" y="0"/>
            <wp:positionH relativeFrom="column">
              <wp:posOffset>2719705</wp:posOffset>
            </wp:positionH>
            <wp:positionV relativeFrom="paragraph">
              <wp:posOffset>3175</wp:posOffset>
            </wp:positionV>
            <wp:extent cx="3075940" cy="2075180"/>
            <wp:effectExtent l="0" t="0" r="0" b="0"/>
            <wp:wrapSquare wrapText="lef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a:srcRect/>
                    <a:stretch>
                      <a:fillRect/>
                    </a:stretch>
                  </pic:blipFill>
                  <pic:spPr bwMode="auto">
                    <a:xfrm>
                      <a:off x="0" y="0"/>
                      <a:ext cx="3075940" cy="2075180"/>
                    </a:xfrm>
                    <a:prstGeom prst="rect">
                      <a:avLst/>
                    </a:prstGeom>
                    <a:noFill/>
                    <a:ln w="9525">
                      <a:noFill/>
                      <a:miter lim="800000"/>
                      <a:headEnd/>
                      <a:tailEnd/>
                    </a:ln>
                  </pic:spPr>
                </pic:pic>
              </a:graphicData>
            </a:graphic>
          </wp:anchor>
        </w:drawing>
      </w:r>
      <w:r w:rsidR="007B3E55">
        <w:rPr>
          <w:rFonts w:cs="Arial"/>
          <w:sz w:val="20"/>
        </w:rPr>
        <w:t>In the mid 1980s i</w:t>
      </w:r>
      <w:r w:rsidR="007B3E55" w:rsidRPr="000370BC">
        <w:rPr>
          <w:rFonts w:cs="Arial"/>
          <w:sz w:val="20"/>
        </w:rPr>
        <w:t>ncome inequality</w:t>
      </w:r>
      <w:r w:rsidR="007B3E55">
        <w:rPr>
          <w:rFonts w:cs="Arial"/>
          <w:sz w:val="20"/>
        </w:rPr>
        <w:t xml:space="preserve"> in </w:t>
      </w:r>
      <w:smartTag w:uri="urn:schemas-microsoft-com:office:smarttags" w:element="place">
        <w:smartTag w:uri="urn:schemas-microsoft-com:office:smarttags" w:element="country-region">
          <w:r w:rsidR="007B3E55">
            <w:rPr>
              <w:rFonts w:cs="Arial"/>
              <w:sz w:val="20"/>
            </w:rPr>
            <w:t>New Zealand</w:t>
          </w:r>
        </w:smartTag>
      </w:smartTag>
      <w:r w:rsidR="007B3E55">
        <w:rPr>
          <w:rFonts w:cs="Arial"/>
          <w:sz w:val="20"/>
        </w:rPr>
        <w:t xml:space="preserve"> was low by OECD standards.  It</w:t>
      </w:r>
      <w:r w:rsidR="007B3E55" w:rsidRPr="000370BC">
        <w:rPr>
          <w:rFonts w:cs="Arial"/>
          <w:sz w:val="20"/>
        </w:rPr>
        <w:t xml:space="preserve"> grew very rapidly from 1988 to 1992,</w:t>
      </w:r>
      <w:r w:rsidR="007B3E55">
        <w:rPr>
          <w:rFonts w:cs="Arial"/>
          <w:sz w:val="20"/>
        </w:rPr>
        <w:t xml:space="preserve"> with higher incomes increasing and lower incomes decreasing in real terms.</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This large change was </w:t>
      </w:r>
      <w:r w:rsidRPr="000370BC">
        <w:rPr>
          <w:rFonts w:cs="Arial"/>
          <w:sz w:val="20"/>
        </w:rPr>
        <w:t xml:space="preserve">followed by a </w:t>
      </w:r>
      <w:r>
        <w:rPr>
          <w:rFonts w:cs="Arial"/>
          <w:sz w:val="20"/>
        </w:rPr>
        <w:t xml:space="preserve">slower but </w:t>
      </w:r>
      <w:r w:rsidRPr="000370BC">
        <w:rPr>
          <w:rFonts w:cs="Arial"/>
          <w:sz w:val="20"/>
        </w:rPr>
        <w:t xml:space="preserve">steady rise through to </w:t>
      </w:r>
      <w:r>
        <w:rPr>
          <w:rFonts w:cs="Arial"/>
          <w:sz w:val="20"/>
        </w:rPr>
        <w:t>the early 2000s, with incomes rising for all income groups, but with greater proportionate rises for higher-income groups.</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F</w:t>
      </w:r>
      <w:r w:rsidRPr="000370BC">
        <w:rPr>
          <w:rFonts w:cs="Arial"/>
          <w:sz w:val="20"/>
        </w:rPr>
        <w:t>rom 200</w:t>
      </w:r>
      <w:r>
        <w:rPr>
          <w:rFonts w:cs="Arial"/>
          <w:sz w:val="20"/>
        </w:rPr>
        <w:t>1</w:t>
      </w:r>
      <w:r w:rsidRPr="000370BC">
        <w:rPr>
          <w:rFonts w:cs="Arial"/>
          <w:sz w:val="20"/>
        </w:rPr>
        <w:t xml:space="preserve"> to 2007 inequality fell</w:t>
      </w:r>
      <w:r>
        <w:rPr>
          <w:rFonts w:cs="Arial"/>
          <w:sz w:val="20"/>
        </w:rPr>
        <w:t xml:space="preserve"> a little, reflecting improving employment, reducing unemployment and the impact of the</w:t>
      </w:r>
      <w:r w:rsidRPr="000370BC">
        <w:rPr>
          <w:rFonts w:cs="Arial"/>
          <w:sz w:val="20"/>
        </w:rPr>
        <w:t xml:space="preserve"> WFF package</w:t>
      </w:r>
      <w:r>
        <w:rPr>
          <w:rFonts w:cs="Arial"/>
          <w:sz w:val="20"/>
        </w:rPr>
        <w:t xml:space="preserve"> which boosted incomes </w:t>
      </w:r>
      <w:r w:rsidRPr="001B4C44">
        <w:rPr>
          <w:rFonts w:cs="Arial"/>
          <w:sz w:val="20"/>
        </w:rPr>
        <w:t>for low to middle income households with children</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Inequality can also be measured using the 80:20 percentile ratio.  This measure shows a similar long-run trend for </w:t>
      </w:r>
      <w:smartTag w:uri="urn:schemas-microsoft-com:office:smarttags" w:element="place">
        <w:smartTag w:uri="urn:schemas-microsoft-com:office:smarttags" w:element="country-region">
          <w:r>
            <w:rPr>
              <w:rFonts w:cs="Arial"/>
              <w:sz w:val="20"/>
            </w:rPr>
            <w:t>New Zealand</w:t>
          </w:r>
        </w:smartTag>
      </w:smartTag>
      <w:r>
        <w:rPr>
          <w:rFonts w:cs="Arial"/>
          <w:sz w:val="20"/>
        </w:rPr>
        <w:t>, increasing from 2.2 in the late 1980s to 2.6 in 2007.</w:t>
      </w:r>
      <w:r w:rsidRPr="001B4C44">
        <w:rPr>
          <w:rFonts w:cs="Arial"/>
          <w:sz w:val="20"/>
        </w:rPr>
        <w:t xml:space="preserve"> </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For the period in which the impact of the GFC and economic downturn is evident in the HES income data (HES 2009 to HES 2011), the inequality figures are volatile: from 2007 to 2009, the Gini increased a little but the 80:20 percentile ratio fell.  From 2009 to 2010 there was a large fall in the Gini, followed by a large rise from 2010 to 2011. </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The volatility reflects the differing size and timing of the impact of the GFC and associated economic downturn on the various components of market income and different parts of the income distribution.  For example,  t</w:t>
      </w:r>
      <w:r w:rsidRPr="001B4C44">
        <w:rPr>
          <w:rFonts w:cs="Arial"/>
          <w:sz w:val="20"/>
        </w:rPr>
        <w:t>he lower figures in 2010 compared with 2007 reflect</w:t>
      </w:r>
      <w:r>
        <w:rPr>
          <w:rFonts w:cs="Arial"/>
          <w:sz w:val="20"/>
        </w:rPr>
        <w:t xml:space="preserve">               two changes: </w:t>
      </w:r>
      <w:r w:rsidRPr="001B4C44">
        <w:rPr>
          <w:rFonts w:cs="Arial"/>
          <w:sz w:val="20"/>
        </w:rPr>
        <w:t>a small real gain for lower deciles</w:t>
      </w:r>
      <w:r>
        <w:rPr>
          <w:rFonts w:cs="Arial"/>
          <w:sz w:val="20"/>
        </w:rPr>
        <w:t xml:space="preserve">, and a </w:t>
      </w:r>
      <w:r w:rsidRPr="001B4C44">
        <w:rPr>
          <w:rFonts w:cs="Arial"/>
          <w:sz w:val="20"/>
        </w:rPr>
        <w:t>decline in real incomes for the top two deciles (</w:t>
      </w:r>
      <w:r>
        <w:rPr>
          <w:rFonts w:cs="Arial"/>
          <w:sz w:val="20"/>
        </w:rPr>
        <w:t xml:space="preserve">mainly from </w:t>
      </w:r>
      <w:r w:rsidRPr="001B4C44">
        <w:rPr>
          <w:rFonts w:cs="Arial"/>
          <w:sz w:val="20"/>
        </w:rPr>
        <w:t>lower</w:t>
      </w:r>
      <w:r>
        <w:rPr>
          <w:rFonts w:cs="Arial"/>
          <w:sz w:val="20"/>
        </w:rPr>
        <w:t xml:space="preserve"> self-employment income and lower</w:t>
      </w:r>
      <w:r w:rsidRPr="001B4C44">
        <w:rPr>
          <w:rFonts w:cs="Arial"/>
          <w:sz w:val="20"/>
        </w:rPr>
        <w:t xml:space="preserve"> investment returns)</w:t>
      </w:r>
      <w:r>
        <w:rPr>
          <w:rFonts w:cs="Arial"/>
          <w:sz w:val="20"/>
        </w:rPr>
        <w:t>.</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From the 2010 to </w:t>
      </w:r>
      <w:r w:rsidR="00DB673A">
        <w:rPr>
          <w:rFonts w:cs="Arial"/>
          <w:sz w:val="20"/>
        </w:rPr>
        <w:t xml:space="preserve">the </w:t>
      </w:r>
      <w:r>
        <w:rPr>
          <w:rFonts w:cs="Arial"/>
          <w:sz w:val="20"/>
        </w:rPr>
        <w:t xml:space="preserve">2011 HES both the 80:20 ratio and the Gini rose significantly.  This reflects the rise in incomes in the top third and the fall in incomes in the bottom two thirds of the income distribution described above (see Figure S.2).  The rise for higher incomes reflects higher self-employment incomes and some gains in returns on investment, while the fall in income for the lower two thirds is mainly from lower employment income.  </w:t>
      </w:r>
    </w:p>
    <w:p w:rsidR="007B3E55" w:rsidRPr="00706EF7"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As the graph shows, the Gini can sometimes fluctuate from year to year and the trend becomes clear only on looking back.  It will take another survey or two to be able to see where the inequality trend will settle after the shocks from the GFC, the </w:t>
      </w:r>
      <w:smartTag w:uri="urn:schemas-microsoft-com:office:smarttags" w:element="place">
        <w:smartTag w:uri="urn:schemas-microsoft-com:office:smarttags" w:element="City">
          <w:r>
            <w:rPr>
              <w:rFonts w:cs="Arial"/>
              <w:sz w:val="20"/>
            </w:rPr>
            <w:t>Christchurch</w:t>
          </w:r>
        </w:smartTag>
      </w:smartTag>
      <w:r>
        <w:rPr>
          <w:rFonts w:cs="Arial"/>
          <w:sz w:val="20"/>
        </w:rPr>
        <w:t xml:space="preserve"> earthquakes, and the economic downturn and recovery.</w:t>
      </w:r>
    </w:p>
    <w:p w:rsidR="007B3E55" w:rsidRDefault="007B3E55" w:rsidP="007B3E55">
      <w:pPr>
        <w:numPr>
          <w:ilvl w:val="0"/>
          <w:numId w:val="16"/>
        </w:numPr>
        <w:tabs>
          <w:tab w:val="clear" w:pos="1080"/>
          <w:tab w:val="num" w:pos="900"/>
        </w:tabs>
        <w:spacing w:before="120"/>
        <w:ind w:left="900"/>
        <w:jc w:val="both"/>
        <w:rPr>
          <w:rFonts w:cs="Arial"/>
          <w:sz w:val="20"/>
        </w:rPr>
      </w:pPr>
      <w:r w:rsidRPr="001B4C44">
        <w:rPr>
          <w:rFonts w:cs="Arial"/>
          <w:sz w:val="20"/>
        </w:rPr>
        <w:t>On the latest OECD figures (</w:t>
      </w:r>
      <w:r>
        <w:rPr>
          <w:rFonts w:cs="Arial"/>
          <w:sz w:val="20"/>
        </w:rPr>
        <w:t>c 2008</w:t>
      </w:r>
      <w:r w:rsidRPr="001B4C44">
        <w:rPr>
          <w:rFonts w:cs="Arial"/>
          <w:sz w:val="20"/>
        </w:rPr>
        <w:t xml:space="preserve">), New Zealand’s </w:t>
      </w:r>
      <w:r>
        <w:rPr>
          <w:rFonts w:cs="Arial"/>
          <w:sz w:val="20"/>
        </w:rPr>
        <w:t xml:space="preserve">Gini </w:t>
      </w:r>
      <w:r w:rsidRPr="001B4C44">
        <w:rPr>
          <w:rFonts w:cs="Arial"/>
          <w:sz w:val="20"/>
        </w:rPr>
        <w:t xml:space="preserve">score of 33 was </w:t>
      </w:r>
      <w:r>
        <w:rPr>
          <w:rFonts w:cs="Arial"/>
          <w:sz w:val="20"/>
        </w:rPr>
        <w:t>close to those of</w:t>
      </w:r>
      <w:r w:rsidRPr="001B4C44">
        <w:rPr>
          <w:rFonts w:cs="Arial"/>
          <w:sz w:val="20"/>
        </w:rPr>
        <w:t xml:space="preserve"> Australia and the UK (34), Japan</w:t>
      </w:r>
      <w:r>
        <w:rPr>
          <w:rFonts w:cs="Arial"/>
          <w:sz w:val="20"/>
        </w:rPr>
        <w:t xml:space="preserve"> (33)</w:t>
      </w:r>
      <w:r w:rsidRPr="001B4C44">
        <w:rPr>
          <w:rFonts w:cs="Arial"/>
          <w:sz w:val="20"/>
        </w:rPr>
        <w:t xml:space="preserve"> and Canada</w:t>
      </w:r>
      <w:r>
        <w:rPr>
          <w:rFonts w:cs="Arial"/>
          <w:sz w:val="20"/>
        </w:rPr>
        <w:t xml:space="preserve"> (32)</w:t>
      </w:r>
      <w:r w:rsidRPr="001B4C44">
        <w:rPr>
          <w:rFonts w:cs="Arial"/>
          <w:sz w:val="20"/>
        </w:rPr>
        <w:t xml:space="preserve">, and a little above the OECD-34 median (31). </w:t>
      </w:r>
      <w:r>
        <w:rPr>
          <w:rFonts w:cs="Arial"/>
          <w:sz w:val="20"/>
        </w:rPr>
        <w:t xml:space="preserve"> Countries such as </w:t>
      </w:r>
      <w:smartTag w:uri="urn:schemas-microsoft-com:office:smarttags" w:element="country-region">
        <w:r>
          <w:rPr>
            <w:rFonts w:cs="Arial"/>
            <w:sz w:val="20"/>
          </w:rPr>
          <w:t>Denmark</w:t>
        </w:r>
      </w:smartTag>
      <w:r>
        <w:rPr>
          <w:rFonts w:cs="Arial"/>
          <w:sz w:val="20"/>
        </w:rPr>
        <w:t xml:space="preserve">, </w:t>
      </w:r>
      <w:smartTag w:uri="urn:schemas-microsoft-com:office:smarttags" w:element="country-region">
        <w:r>
          <w:rPr>
            <w:rFonts w:cs="Arial"/>
            <w:sz w:val="20"/>
          </w:rPr>
          <w:t>Norway</w:t>
        </w:r>
      </w:smartTag>
      <w:r>
        <w:rPr>
          <w:rFonts w:cs="Arial"/>
          <w:sz w:val="20"/>
        </w:rPr>
        <w:t xml:space="preserve"> and </w:t>
      </w:r>
      <w:smartTag w:uri="urn:schemas-microsoft-com:office:smarttags" w:element="place">
        <w:smartTag w:uri="urn:schemas-microsoft-com:office:smarttags" w:element="country-region">
          <w:r>
            <w:rPr>
              <w:rFonts w:cs="Arial"/>
              <w:sz w:val="20"/>
            </w:rPr>
            <w:t>Sweden</w:t>
          </w:r>
        </w:smartTag>
      </w:smartTag>
      <w:r>
        <w:rPr>
          <w:rFonts w:cs="Arial"/>
          <w:sz w:val="20"/>
        </w:rPr>
        <w:t xml:space="preserve"> have lower than average inequality (Ginis of 25-26).  The </w:t>
      </w:r>
      <w:smartTag w:uri="urn:schemas-microsoft-com:office:smarttags" w:element="place">
        <w:smartTag w:uri="urn:schemas-microsoft-com:office:smarttags" w:element="country-region">
          <w:r>
            <w:rPr>
              <w:rFonts w:cs="Arial"/>
              <w:sz w:val="20"/>
            </w:rPr>
            <w:t>US</w:t>
          </w:r>
        </w:smartTag>
      </w:smartTag>
      <w:r>
        <w:rPr>
          <w:rFonts w:cs="Arial"/>
          <w:sz w:val="20"/>
        </w:rPr>
        <w:t xml:space="preserve"> score is 38.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’s Gini score in 2010 </w:t>
      </w:r>
      <w:r w:rsidRPr="001B4C44">
        <w:rPr>
          <w:rFonts w:cs="Arial"/>
          <w:sz w:val="20"/>
        </w:rPr>
        <w:t>was 32</w:t>
      </w:r>
      <w:r>
        <w:rPr>
          <w:rFonts w:cs="Arial"/>
          <w:sz w:val="20"/>
        </w:rPr>
        <w:t xml:space="preserve"> (31.8) and </w:t>
      </w:r>
      <w:r w:rsidRPr="00493F25">
        <w:rPr>
          <w:rFonts w:cs="Arial"/>
          <w:sz w:val="20"/>
        </w:rPr>
        <w:t xml:space="preserve">in </w:t>
      </w:r>
      <w:r>
        <w:rPr>
          <w:rFonts w:cs="Arial"/>
          <w:sz w:val="20"/>
        </w:rPr>
        <w:t>2011</w:t>
      </w:r>
      <w:r w:rsidRPr="00493F25">
        <w:rPr>
          <w:rFonts w:cs="Arial"/>
          <w:color w:val="000000"/>
          <w:sz w:val="20"/>
        </w:rPr>
        <w:t xml:space="preserve"> it was 34 (34.3).</w:t>
      </w:r>
      <w:r w:rsidRPr="00493F25">
        <w:rPr>
          <w:rFonts w:cs="Arial"/>
          <w:sz w:val="20"/>
        </w:rPr>
        <w:t xml:space="preserve">  </w:t>
      </w:r>
    </w:p>
    <w:p w:rsidR="007B3E55" w:rsidRPr="00E759BB" w:rsidRDefault="00A67B9C" w:rsidP="007B3E55">
      <w:pPr>
        <w:ind w:left="425" w:hanging="425"/>
        <w:jc w:val="both"/>
        <w:rPr>
          <w:rFonts w:cs="Arial"/>
          <w:b/>
          <w:sz w:val="20"/>
        </w:rPr>
      </w:pPr>
      <w:r>
        <w:rPr>
          <w:rFonts w:cs="Arial"/>
          <w:b/>
          <w:sz w:val="20"/>
        </w:rPr>
        <w:br w:type="page"/>
      </w:r>
      <w:r w:rsidR="007B3E55">
        <w:rPr>
          <w:rFonts w:cs="Arial"/>
          <w:b/>
          <w:sz w:val="20"/>
        </w:rPr>
        <w:lastRenderedPageBreak/>
        <w:t>5</w:t>
      </w:r>
      <w:r w:rsidR="007B3E55" w:rsidRPr="000370BC">
        <w:rPr>
          <w:rFonts w:cs="Arial"/>
          <w:b/>
          <w:sz w:val="20"/>
        </w:rPr>
        <w:tab/>
      </w:r>
      <w:r w:rsidR="007B3E55" w:rsidRPr="00E759BB">
        <w:rPr>
          <w:rFonts w:cs="Arial"/>
          <w:b/>
          <w:sz w:val="20"/>
        </w:rPr>
        <w:t>The tax and transfer system significantly reduces the inequality that would otherwise exist.</w:t>
      </w:r>
    </w:p>
    <w:p w:rsidR="007B3E55" w:rsidRPr="003B6CA2" w:rsidRDefault="007B3E55" w:rsidP="007B3E55">
      <w:pPr>
        <w:ind w:left="425" w:hanging="425"/>
        <w:jc w:val="both"/>
        <w:rPr>
          <w:rFonts w:cs="Arial"/>
          <w:sz w:val="20"/>
        </w:rPr>
      </w:pPr>
    </w:p>
    <w:p w:rsidR="007B3E55" w:rsidRPr="00776E25" w:rsidRDefault="00EC0BE0" w:rsidP="00614C04">
      <w:pPr>
        <w:numPr>
          <w:ilvl w:val="0"/>
          <w:numId w:val="82"/>
        </w:numPr>
        <w:tabs>
          <w:tab w:val="clear" w:pos="1260"/>
          <w:tab w:val="num" w:pos="851"/>
        </w:tabs>
        <w:ind w:left="851" w:hanging="284"/>
        <w:jc w:val="both"/>
        <w:rPr>
          <w:rFonts w:cs="Arial"/>
        </w:rPr>
      </w:pPr>
      <w:r>
        <w:rPr>
          <w:noProof/>
          <w:lang w:val="en-US"/>
        </w:rPr>
        <w:drawing>
          <wp:anchor distT="0" distB="0" distL="114300" distR="114300" simplePos="0" relativeHeight="251660800" behindDoc="0" locked="0" layoutInCell="1" allowOverlap="1">
            <wp:simplePos x="0" y="0"/>
            <wp:positionH relativeFrom="column">
              <wp:posOffset>3199130</wp:posOffset>
            </wp:positionH>
            <wp:positionV relativeFrom="paragraph">
              <wp:posOffset>25400</wp:posOffset>
            </wp:positionV>
            <wp:extent cx="2552700" cy="1571625"/>
            <wp:effectExtent l="0" t="0" r="0" b="0"/>
            <wp:wrapSquare wrapText="lef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a:srcRect/>
                    <a:stretch>
                      <a:fillRect/>
                    </a:stretch>
                  </pic:blipFill>
                  <pic:spPr bwMode="auto">
                    <a:xfrm>
                      <a:off x="0" y="0"/>
                      <a:ext cx="2552700" cy="1571625"/>
                    </a:xfrm>
                    <a:prstGeom prst="rect">
                      <a:avLst/>
                    </a:prstGeom>
                    <a:noFill/>
                    <a:ln w="9525">
                      <a:noFill/>
                      <a:miter lim="800000"/>
                      <a:headEnd/>
                      <a:tailEnd/>
                    </a:ln>
                  </pic:spPr>
                </pic:pic>
              </a:graphicData>
            </a:graphic>
          </wp:anchor>
        </w:drawing>
      </w:r>
      <w:r w:rsidR="007B3E55" w:rsidRPr="00776E25">
        <w:rPr>
          <w:rFonts w:cs="Arial"/>
          <w:sz w:val="20"/>
        </w:rPr>
        <w:t>The graph to the right shows the inequality-reducing impact of taxes and transfers by comparing the Gini scores for household market income and household disposable (after tax and transfer) income for working</w:t>
      </w:r>
      <w:r w:rsidR="002648A8">
        <w:rPr>
          <w:rFonts w:cs="Arial"/>
          <w:sz w:val="20"/>
        </w:rPr>
        <w:t>-</w:t>
      </w:r>
      <w:r w:rsidR="007B3E55" w:rsidRPr="00776E25">
        <w:rPr>
          <w:rFonts w:cs="Arial"/>
          <w:sz w:val="20"/>
        </w:rPr>
        <w:t xml:space="preserve"> age New Zealanders.</w:t>
      </w:r>
    </w:p>
    <w:p w:rsidR="007B3E55" w:rsidRPr="00776E25" w:rsidRDefault="007B3E55" w:rsidP="00614C04">
      <w:pPr>
        <w:numPr>
          <w:ilvl w:val="0"/>
          <w:numId w:val="82"/>
        </w:numPr>
        <w:tabs>
          <w:tab w:val="clear" w:pos="1260"/>
          <w:tab w:val="num" w:pos="851"/>
        </w:tabs>
        <w:spacing w:before="120"/>
        <w:ind w:left="851" w:hanging="284"/>
        <w:jc w:val="both"/>
        <w:rPr>
          <w:rFonts w:cs="Arial"/>
        </w:rPr>
      </w:pPr>
      <w:r w:rsidRPr="00776E25">
        <w:rPr>
          <w:rFonts w:cs="Arial"/>
          <w:sz w:val="20"/>
        </w:rPr>
        <w:t>F</w:t>
      </w:r>
      <w:r w:rsidR="002648A8">
        <w:rPr>
          <w:rFonts w:cs="Arial"/>
          <w:sz w:val="20"/>
        </w:rPr>
        <w:t>or each HES from</w:t>
      </w:r>
      <w:r w:rsidRPr="00776E25">
        <w:rPr>
          <w:rFonts w:cs="Arial"/>
          <w:sz w:val="20"/>
        </w:rPr>
        <w:t xml:space="preserve"> 2004 to 2011 the reduction was</w:t>
      </w:r>
      <w:r w:rsidR="002648A8">
        <w:rPr>
          <w:rFonts w:cs="Arial"/>
          <w:sz w:val="20"/>
        </w:rPr>
        <w:t xml:space="preserve"> close to</w:t>
      </w:r>
      <w:r w:rsidRPr="00776E25">
        <w:rPr>
          <w:rFonts w:cs="Arial"/>
          <w:sz w:val="20"/>
        </w:rPr>
        <w:t xml:space="preserve"> 21%, similar in 2009 to </w:t>
      </w:r>
      <w:smartTag w:uri="urn:schemas-microsoft-com:office:smarttags" w:element="country-region">
        <w:r w:rsidRPr="00776E25">
          <w:rPr>
            <w:rFonts w:cs="Arial"/>
            <w:sz w:val="20"/>
          </w:rPr>
          <w:t>Ireland</w:t>
        </w:r>
      </w:smartTag>
      <w:r w:rsidRPr="00776E25">
        <w:rPr>
          <w:rFonts w:cs="Arial"/>
          <w:sz w:val="20"/>
        </w:rPr>
        <w:t xml:space="preserve"> and </w:t>
      </w:r>
      <w:smartTag w:uri="urn:schemas-microsoft-com:office:smarttags" w:element="country-region">
        <w:r w:rsidRPr="00776E25">
          <w:rPr>
            <w:rFonts w:cs="Arial"/>
            <w:sz w:val="20"/>
          </w:rPr>
          <w:t>Canada</w:t>
        </w:r>
      </w:smartTag>
      <w:r w:rsidRPr="00776E25">
        <w:rPr>
          <w:rFonts w:cs="Arial"/>
          <w:sz w:val="20"/>
        </w:rPr>
        <w:t xml:space="preserve">, a little less than </w:t>
      </w:r>
      <w:smartTag w:uri="urn:schemas-microsoft-com:office:smarttags" w:element="place">
        <w:smartTag w:uri="urn:schemas-microsoft-com:office:smarttags" w:element="country-region">
          <w:r w:rsidRPr="00776E25">
            <w:rPr>
              <w:rFonts w:cs="Arial"/>
              <w:sz w:val="20"/>
            </w:rPr>
            <w:t>Australia</w:t>
          </w:r>
        </w:smartTag>
      </w:smartTag>
      <w:r w:rsidRPr="00776E25">
        <w:rPr>
          <w:rFonts w:cs="Arial"/>
          <w:sz w:val="20"/>
        </w:rPr>
        <w:t xml:space="preserve"> (23%) and the OECD median (24%).  For countries such as </w:t>
      </w:r>
      <w:smartTag w:uri="urn:schemas-microsoft-com:office:smarttags" w:element="country-region">
        <w:r w:rsidRPr="00776E25">
          <w:rPr>
            <w:rFonts w:cs="Arial"/>
            <w:sz w:val="20"/>
          </w:rPr>
          <w:t>Norway</w:t>
        </w:r>
      </w:smartTag>
      <w:r w:rsidRPr="00776E25">
        <w:rPr>
          <w:rFonts w:cs="Arial"/>
          <w:sz w:val="20"/>
        </w:rPr>
        <w:t xml:space="preserve">, </w:t>
      </w:r>
      <w:smartTag w:uri="urn:schemas-microsoft-com:office:smarttags" w:element="country-region">
        <w:r w:rsidRPr="00776E25">
          <w:rPr>
            <w:rFonts w:cs="Arial"/>
            <w:sz w:val="20"/>
          </w:rPr>
          <w:t>Sweden</w:t>
        </w:r>
      </w:smartTag>
      <w:r w:rsidRPr="00776E25">
        <w:rPr>
          <w:rFonts w:cs="Arial"/>
          <w:sz w:val="20"/>
        </w:rPr>
        <w:t xml:space="preserve"> and </w:t>
      </w:r>
      <w:smartTag w:uri="urn:schemas-microsoft-com:office:smarttags" w:element="place">
        <w:smartTag w:uri="urn:schemas-microsoft-com:office:smarttags" w:element="country-region">
          <w:r w:rsidRPr="00776E25">
            <w:rPr>
              <w:rFonts w:cs="Arial"/>
              <w:sz w:val="20"/>
            </w:rPr>
            <w:t>Austria</w:t>
          </w:r>
        </w:smartTag>
      </w:smartTag>
      <w:r w:rsidRPr="00776E25">
        <w:rPr>
          <w:rFonts w:cs="Arial"/>
          <w:sz w:val="20"/>
        </w:rPr>
        <w:t>, the reduction is in the 30 to 32% range.</w:t>
      </w:r>
    </w:p>
    <w:p w:rsidR="007B3E55" w:rsidRPr="00776E25" w:rsidRDefault="007B3E55" w:rsidP="00614C04">
      <w:pPr>
        <w:numPr>
          <w:ilvl w:val="0"/>
          <w:numId w:val="82"/>
        </w:numPr>
        <w:tabs>
          <w:tab w:val="clear" w:pos="1260"/>
          <w:tab w:val="num" w:pos="851"/>
        </w:tabs>
        <w:spacing w:before="120"/>
        <w:ind w:left="851" w:hanging="284"/>
        <w:jc w:val="both"/>
        <w:rPr>
          <w:rFonts w:cs="Arial"/>
        </w:rPr>
      </w:pPr>
      <w:r w:rsidRPr="00776E25">
        <w:rPr>
          <w:rFonts w:cs="Arial"/>
          <w:sz w:val="20"/>
        </w:rPr>
        <w:t>For half of households with dependent children the amount received through welfare benefits and tax credits is greater than or equal to the amount they pay in income tax.</w:t>
      </w:r>
    </w:p>
    <w:p w:rsidR="007B3E55" w:rsidRPr="00E759BB" w:rsidRDefault="00EC0BE0" w:rsidP="00614C04">
      <w:pPr>
        <w:numPr>
          <w:ilvl w:val="0"/>
          <w:numId w:val="82"/>
        </w:numPr>
        <w:tabs>
          <w:tab w:val="clear" w:pos="1260"/>
          <w:tab w:val="num" w:pos="851"/>
        </w:tabs>
        <w:spacing w:before="120"/>
        <w:ind w:left="851" w:hanging="284"/>
        <w:jc w:val="both"/>
        <w:rPr>
          <w:rFonts w:cs="Arial"/>
          <w:sz w:val="20"/>
        </w:rPr>
      </w:pPr>
      <w:r>
        <w:rPr>
          <w:rFonts w:cs="Arial"/>
          <w:noProof/>
          <w:sz w:val="20"/>
          <w:lang w:val="en-US"/>
        </w:rPr>
        <w:drawing>
          <wp:anchor distT="0" distB="0" distL="182880" distR="0" simplePos="0" relativeHeight="251656704" behindDoc="0" locked="0" layoutInCell="1" allowOverlap="1">
            <wp:simplePos x="0" y="0"/>
            <wp:positionH relativeFrom="column">
              <wp:posOffset>3075305</wp:posOffset>
            </wp:positionH>
            <wp:positionV relativeFrom="paragraph">
              <wp:posOffset>533400</wp:posOffset>
            </wp:positionV>
            <wp:extent cx="2828925" cy="1752600"/>
            <wp:effectExtent l="0" t="0" r="0" b="0"/>
            <wp:wrapSquare wrapText="lef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srcRect/>
                    <a:stretch>
                      <a:fillRect/>
                    </a:stretch>
                  </pic:blipFill>
                  <pic:spPr bwMode="auto">
                    <a:xfrm>
                      <a:off x="0" y="0"/>
                      <a:ext cx="2828925" cy="1752600"/>
                    </a:xfrm>
                    <a:prstGeom prst="rect">
                      <a:avLst/>
                    </a:prstGeom>
                    <a:noFill/>
                    <a:ln w="9525">
                      <a:noFill/>
                      <a:miter lim="800000"/>
                      <a:headEnd/>
                      <a:tailEnd/>
                    </a:ln>
                  </pic:spPr>
                </pic:pic>
              </a:graphicData>
            </a:graphic>
          </wp:anchor>
        </w:drawing>
      </w:r>
      <w:r w:rsidR="007B3E55" w:rsidRPr="00E759BB">
        <w:rPr>
          <w:rFonts w:cs="Arial"/>
          <w:noProof/>
          <w:sz w:val="20"/>
        </w:rPr>
        <w:t>S</w:t>
      </w:r>
      <w:r w:rsidR="007B3E55" w:rsidRPr="00E759BB">
        <w:rPr>
          <w:rFonts w:cs="Arial"/>
          <w:sz w:val="20"/>
        </w:rPr>
        <w:t xml:space="preserve">ingle-earner two-child families with less than </w:t>
      </w:r>
      <w:r w:rsidR="007B3E55">
        <w:rPr>
          <w:rFonts w:cs="Arial"/>
          <w:sz w:val="20"/>
        </w:rPr>
        <w:t xml:space="preserve">around </w:t>
      </w:r>
      <w:r w:rsidR="007B3E55" w:rsidRPr="00E759BB">
        <w:rPr>
          <w:rFonts w:cs="Arial"/>
          <w:sz w:val="20"/>
        </w:rPr>
        <w:t>$55,000 from wages pay no net income tax.  They receive more from WFF tax credits than they pay in income tax and ACC.</w:t>
      </w:r>
    </w:p>
    <w:p w:rsidR="007B3E55" w:rsidRPr="00E759BB" w:rsidRDefault="007B3E55" w:rsidP="00614C04">
      <w:pPr>
        <w:numPr>
          <w:ilvl w:val="0"/>
          <w:numId w:val="82"/>
        </w:numPr>
        <w:tabs>
          <w:tab w:val="clear" w:pos="1260"/>
          <w:tab w:val="num" w:pos="851"/>
        </w:tabs>
        <w:spacing w:before="120"/>
        <w:ind w:left="851" w:hanging="284"/>
        <w:jc w:val="both"/>
        <w:rPr>
          <w:rFonts w:cs="Arial"/>
          <w:b/>
          <w:sz w:val="20"/>
        </w:rPr>
      </w:pPr>
      <w:r w:rsidRPr="00E759BB">
        <w:rPr>
          <w:rFonts w:cs="Arial"/>
          <w:sz w:val="20"/>
        </w:rPr>
        <w:t>When all households</w:t>
      </w:r>
      <w:r w:rsidRPr="001B4C44">
        <w:rPr>
          <w:rFonts w:cs="Arial"/>
          <w:sz w:val="20"/>
        </w:rPr>
        <w:t xml:space="preserve"> </w:t>
      </w:r>
      <w:r>
        <w:rPr>
          <w:rFonts w:cs="Arial"/>
          <w:sz w:val="20"/>
        </w:rPr>
        <w:t xml:space="preserve">are </w:t>
      </w:r>
      <w:r w:rsidRPr="001B4C44">
        <w:rPr>
          <w:rFonts w:cs="Arial"/>
          <w:sz w:val="20"/>
        </w:rPr>
        <w:t>counted</w:t>
      </w:r>
      <w:r>
        <w:rPr>
          <w:rFonts w:cs="Arial"/>
          <w:sz w:val="20"/>
        </w:rPr>
        <w:t xml:space="preserve"> (working age with children, working age without children, and 65+ households)</w:t>
      </w:r>
      <w:r w:rsidRPr="001B4C44">
        <w:rPr>
          <w:rFonts w:cs="Arial"/>
          <w:sz w:val="20"/>
        </w:rPr>
        <w:t>, and looking at households grouped in deciles rather than</w:t>
      </w:r>
      <w:r>
        <w:rPr>
          <w:rFonts w:cs="Arial"/>
          <w:sz w:val="20"/>
        </w:rPr>
        <w:t xml:space="preserve"> looking</w:t>
      </w:r>
      <w:r w:rsidRPr="001B4C44">
        <w:rPr>
          <w:rFonts w:cs="Arial"/>
          <w:sz w:val="20"/>
        </w:rPr>
        <w:t xml:space="preserve"> at individual households, the total income tax paid by each of the bottom f</w:t>
      </w:r>
      <w:r>
        <w:rPr>
          <w:rFonts w:cs="Arial"/>
          <w:sz w:val="20"/>
        </w:rPr>
        <w:t xml:space="preserve">ive </w:t>
      </w:r>
      <w:r w:rsidRPr="001B4C44">
        <w:rPr>
          <w:rFonts w:cs="Arial"/>
          <w:sz w:val="20"/>
        </w:rPr>
        <w:t xml:space="preserve">deciles is less than the total transfers </w:t>
      </w:r>
      <w:r>
        <w:rPr>
          <w:rFonts w:cs="Arial"/>
          <w:sz w:val="20"/>
        </w:rPr>
        <w:t>received</w:t>
      </w:r>
      <w:r w:rsidRPr="001B4C44">
        <w:rPr>
          <w:rFonts w:cs="Arial"/>
          <w:sz w:val="20"/>
        </w:rPr>
        <w:t xml:space="preserve"> (tax credits, welfare benefits, NZS and so on).  It is only for each of the top f</w:t>
      </w:r>
      <w:r>
        <w:rPr>
          <w:rFonts w:cs="Arial"/>
          <w:sz w:val="20"/>
        </w:rPr>
        <w:t>ive</w:t>
      </w:r>
      <w:r w:rsidRPr="001B4C44">
        <w:rPr>
          <w:rFonts w:cs="Arial"/>
          <w:sz w:val="20"/>
        </w:rPr>
        <w:t xml:space="preserve"> deciles that total income tax paid is greater than transfers received.</w:t>
      </w:r>
    </w:p>
    <w:p w:rsidR="007B3E55" w:rsidRDefault="007B3E55" w:rsidP="007B3E55">
      <w:pPr>
        <w:ind w:left="907"/>
        <w:jc w:val="both"/>
        <w:rPr>
          <w:rFonts w:cs="Arial"/>
          <w:b/>
          <w:sz w:val="20"/>
        </w:rPr>
      </w:pPr>
    </w:p>
    <w:p w:rsidR="007B3E55" w:rsidRPr="00493F25" w:rsidRDefault="007B3E55" w:rsidP="007B3E55">
      <w:pPr>
        <w:ind w:left="907"/>
        <w:jc w:val="both"/>
        <w:rPr>
          <w:rFonts w:cs="Arial"/>
          <w:b/>
          <w:sz w:val="20"/>
        </w:rPr>
      </w:pPr>
    </w:p>
    <w:p w:rsidR="007B3E55" w:rsidRPr="00897538" w:rsidRDefault="007B3E55" w:rsidP="007B3E55">
      <w:pPr>
        <w:ind w:left="360" w:hanging="360"/>
        <w:jc w:val="both"/>
        <w:rPr>
          <w:rFonts w:cs="Arial"/>
          <w:b/>
          <w:sz w:val="20"/>
        </w:rPr>
      </w:pPr>
      <w:r>
        <w:rPr>
          <w:rFonts w:cs="Arial"/>
          <w:b/>
          <w:sz w:val="20"/>
        </w:rPr>
        <w:t>6</w:t>
      </w:r>
      <w:r>
        <w:rPr>
          <w:rFonts w:cs="Arial"/>
          <w:b/>
          <w:sz w:val="20"/>
        </w:rPr>
        <w:tab/>
        <w:t>Wealth is distributed more unequally than income.</w:t>
      </w:r>
    </w:p>
    <w:p w:rsidR="007B3E55" w:rsidRDefault="007B3E55" w:rsidP="007B3E55">
      <w:pPr>
        <w:ind w:left="547"/>
        <w:jc w:val="both"/>
        <w:rPr>
          <w:rFonts w:cs="Arial"/>
          <w:sz w:val="20"/>
        </w:rPr>
      </w:pPr>
    </w:p>
    <w:p w:rsidR="007B3E55" w:rsidRDefault="007B3E55" w:rsidP="00614C04">
      <w:pPr>
        <w:numPr>
          <w:ilvl w:val="0"/>
          <w:numId w:val="28"/>
        </w:numPr>
        <w:tabs>
          <w:tab w:val="clear" w:pos="720"/>
          <w:tab w:val="num" w:pos="900"/>
        </w:tabs>
        <w:ind w:left="907"/>
        <w:jc w:val="both"/>
        <w:rPr>
          <w:rFonts w:cs="Arial"/>
          <w:sz w:val="20"/>
        </w:rPr>
      </w:pPr>
      <w:r>
        <w:rPr>
          <w:rFonts w:cs="Arial"/>
          <w:sz w:val="20"/>
        </w:rPr>
        <w:t xml:space="preserve">Wealth Gini scores are typically two to three times those for income. </w:t>
      </w:r>
    </w:p>
    <w:p w:rsidR="007B3E55" w:rsidRDefault="007B3E55" w:rsidP="00614C04">
      <w:pPr>
        <w:numPr>
          <w:ilvl w:val="0"/>
          <w:numId w:val="28"/>
        </w:numPr>
        <w:tabs>
          <w:tab w:val="clear" w:pos="720"/>
          <w:tab w:val="num" w:pos="900"/>
        </w:tabs>
        <w:spacing w:before="120"/>
        <w:ind w:left="907"/>
        <w:jc w:val="both"/>
        <w:rPr>
          <w:rFonts w:cs="Arial"/>
          <w:sz w:val="20"/>
        </w:rPr>
      </w:pPr>
      <w:r>
        <w:rPr>
          <w:rFonts w:cs="Arial"/>
          <w:sz w:val="20"/>
        </w:rPr>
        <w:t xml:space="preserve">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those in the top income decile receive 25% of gross income; those in the top wealth decile hold 50% of the total wealth.  </w:t>
      </w:r>
    </w:p>
    <w:p w:rsidR="007B3E55" w:rsidRDefault="007B3E55" w:rsidP="002648A8">
      <w:pPr>
        <w:numPr>
          <w:ilvl w:val="0"/>
          <w:numId w:val="28"/>
        </w:numPr>
        <w:tabs>
          <w:tab w:val="clear" w:pos="720"/>
          <w:tab w:val="num" w:pos="900"/>
        </w:tabs>
        <w:spacing w:before="120"/>
        <w:ind w:left="907"/>
        <w:jc w:val="both"/>
        <w:rPr>
          <w:rFonts w:cs="Arial"/>
          <w:b/>
          <w:sz w:val="20"/>
        </w:rPr>
      </w:pPr>
      <w:smartTag w:uri="urn:schemas-microsoft-com:office:smarttags" w:element="country-region">
        <w:r>
          <w:rPr>
            <w:rFonts w:cs="Arial"/>
            <w:sz w:val="20"/>
          </w:rPr>
          <w:t>New Zealand</w:t>
        </w:r>
      </w:smartTag>
      <w:r>
        <w:rPr>
          <w:rFonts w:cs="Arial"/>
          <w:sz w:val="20"/>
        </w:rPr>
        <w:t xml:space="preserve">’s top decile wealth share is similar to those found in many other OECD countries: </w:t>
      </w:r>
      <w:smartTag w:uri="urn:schemas-microsoft-com:office:smarttags" w:element="country-region">
        <w:r>
          <w:rPr>
            <w:rFonts w:cs="Arial"/>
            <w:sz w:val="20"/>
          </w:rPr>
          <w:t>Australia</w:t>
        </w:r>
      </w:smartTag>
      <w:r>
        <w:rPr>
          <w:rFonts w:cs="Arial"/>
          <w:sz w:val="20"/>
        </w:rPr>
        <w:t xml:space="preserve"> and the </w:t>
      </w:r>
      <w:smartTag w:uri="urn:schemas-microsoft-com:office:smarttags" w:element="country-region">
        <w:r>
          <w:rPr>
            <w:rFonts w:cs="Arial"/>
            <w:sz w:val="20"/>
          </w:rPr>
          <w:t>UK</w:t>
        </w:r>
      </w:smartTag>
      <w:r>
        <w:rPr>
          <w:rFonts w:cs="Arial"/>
          <w:sz w:val="20"/>
        </w:rPr>
        <w:t xml:space="preserve"> (45%), </w:t>
      </w:r>
      <w:smartTag w:uri="urn:schemas-microsoft-com:office:smarttags" w:element="country-region">
        <w:r>
          <w:rPr>
            <w:rFonts w:cs="Arial"/>
            <w:sz w:val="20"/>
          </w:rPr>
          <w:t>Germany</w:t>
        </w:r>
      </w:smartTag>
      <w:r>
        <w:rPr>
          <w:rFonts w:cs="Arial"/>
          <w:sz w:val="20"/>
        </w:rPr>
        <w:t xml:space="preserve"> (52%), </w:t>
      </w:r>
      <w:smartTag w:uri="urn:schemas-microsoft-com:office:smarttags" w:element="country-region">
        <w:r>
          <w:rPr>
            <w:rFonts w:cs="Arial"/>
            <w:sz w:val="20"/>
          </w:rPr>
          <w:t>Canada</w:t>
        </w:r>
      </w:smartTag>
      <w:r>
        <w:rPr>
          <w:rFonts w:cs="Arial"/>
          <w:sz w:val="20"/>
        </w:rPr>
        <w:t xml:space="preserve"> (53%) and </w:t>
      </w:r>
      <w:smartTag w:uri="urn:schemas-microsoft-com:office:smarttags" w:element="place">
        <w:smartTag w:uri="urn:schemas-microsoft-com:office:smarttags" w:element="country-region">
          <w:r>
            <w:rPr>
              <w:rFonts w:cs="Arial"/>
              <w:sz w:val="20"/>
            </w:rPr>
            <w:t>Sweden</w:t>
          </w:r>
        </w:smartTag>
      </w:smartTag>
      <w:r>
        <w:rPr>
          <w:rFonts w:cs="Arial"/>
          <w:sz w:val="20"/>
        </w:rPr>
        <w:t xml:space="preserve"> (58%). For the </w:t>
      </w:r>
      <w:smartTag w:uri="urn:schemas-microsoft-com:office:smarttags" w:element="place">
        <w:smartTag w:uri="urn:schemas-microsoft-com:office:smarttags" w:element="country-region">
          <w:r>
            <w:rPr>
              <w:rFonts w:cs="Arial"/>
              <w:sz w:val="20"/>
            </w:rPr>
            <w:t>US</w:t>
          </w:r>
        </w:smartTag>
      </w:smartTag>
      <w:r>
        <w:rPr>
          <w:rFonts w:cs="Arial"/>
          <w:sz w:val="20"/>
        </w:rPr>
        <w:t xml:space="preserve"> it is around 70%.  </w:t>
      </w:r>
    </w:p>
    <w:p w:rsidR="007B3E55" w:rsidRDefault="007B3E55" w:rsidP="007B3E55">
      <w:pPr>
        <w:jc w:val="both"/>
        <w:rPr>
          <w:rFonts w:cs="Arial"/>
          <w:b/>
          <w:sz w:val="20"/>
        </w:rPr>
      </w:pPr>
    </w:p>
    <w:p w:rsidR="002E5CFC" w:rsidRDefault="002E5CFC" w:rsidP="007B3E55">
      <w:pPr>
        <w:ind w:left="360" w:hanging="360"/>
        <w:jc w:val="both"/>
        <w:rPr>
          <w:rFonts w:cs="Arial"/>
          <w:b/>
          <w:sz w:val="20"/>
        </w:rPr>
      </w:pPr>
    </w:p>
    <w:p w:rsidR="002E5CFC" w:rsidRPr="00897538" w:rsidRDefault="002E5CFC" w:rsidP="002E5CFC">
      <w:pPr>
        <w:ind w:left="360" w:hanging="360"/>
        <w:jc w:val="both"/>
        <w:rPr>
          <w:rFonts w:cs="Arial"/>
          <w:b/>
          <w:sz w:val="20"/>
        </w:rPr>
      </w:pPr>
      <w:r>
        <w:rPr>
          <w:rFonts w:cs="Arial"/>
          <w:b/>
          <w:sz w:val="20"/>
        </w:rPr>
        <w:t>7</w:t>
      </w:r>
      <w:r>
        <w:rPr>
          <w:rFonts w:cs="Arial"/>
          <w:b/>
          <w:sz w:val="20"/>
        </w:rPr>
        <w:tab/>
        <w:t>The share of the total New Zealand income received by the top 1% roughly doubled from the mid 1980s to 2009, a similar trend to that reported in the US, the UK and Australia.</w:t>
      </w:r>
    </w:p>
    <w:p w:rsidR="002E5CFC" w:rsidRDefault="002E5CFC" w:rsidP="002E5CFC">
      <w:pPr>
        <w:ind w:left="547"/>
        <w:jc w:val="both"/>
        <w:rPr>
          <w:rFonts w:cs="Arial"/>
          <w:sz w:val="20"/>
        </w:rPr>
      </w:pPr>
    </w:p>
    <w:p w:rsidR="002E5CFC" w:rsidRDefault="002E5CFC" w:rsidP="002E5CFC">
      <w:pPr>
        <w:numPr>
          <w:ilvl w:val="0"/>
          <w:numId w:val="28"/>
        </w:numPr>
        <w:tabs>
          <w:tab w:val="clear" w:pos="720"/>
          <w:tab w:val="num" w:pos="900"/>
        </w:tabs>
        <w:ind w:left="907"/>
        <w:jc w:val="both"/>
        <w:rPr>
          <w:rFonts w:cs="Arial"/>
          <w:sz w:val="20"/>
        </w:rPr>
      </w:pPr>
      <w:r>
        <w:rPr>
          <w:rFonts w:cs="Arial"/>
          <w:sz w:val="20"/>
        </w:rPr>
        <w:t xml:space="preserve">Another way of looking at inequality is to track the share of a country’s total income that is received by the top 1%.  Such information is not </w:t>
      </w:r>
      <w:r w:rsidR="003F1BE4">
        <w:rPr>
          <w:rFonts w:cs="Arial"/>
          <w:sz w:val="20"/>
        </w:rPr>
        <w:t xml:space="preserve">reliably </w:t>
      </w:r>
      <w:r>
        <w:rPr>
          <w:rFonts w:cs="Arial"/>
          <w:sz w:val="20"/>
        </w:rPr>
        <w:t>available in sample surveys like the HES</w:t>
      </w:r>
      <w:r w:rsidR="003F1BE4">
        <w:rPr>
          <w:rFonts w:cs="Arial"/>
          <w:sz w:val="20"/>
        </w:rPr>
        <w:t>, but d</w:t>
      </w:r>
      <w:r>
        <w:rPr>
          <w:rFonts w:cs="Arial"/>
          <w:sz w:val="20"/>
        </w:rPr>
        <w:t xml:space="preserve">ata based mainly on tax returns has recently </w:t>
      </w:r>
      <w:r w:rsidR="003F1BE4">
        <w:rPr>
          <w:rFonts w:cs="Arial"/>
          <w:sz w:val="20"/>
        </w:rPr>
        <w:t>been published</w:t>
      </w:r>
      <w:r>
        <w:rPr>
          <w:rFonts w:cs="Arial"/>
          <w:sz w:val="20"/>
        </w:rPr>
        <w:t xml:space="preserve"> for many OECD countries</w:t>
      </w:r>
      <w:r w:rsidR="006A1791">
        <w:rPr>
          <w:rFonts w:cs="Arial"/>
          <w:sz w:val="20"/>
        </w:rPr>
        <w:t xml:space="preserve"> by a consortium of academics from </w:t>
      </w:r>
      <w:smartTag w:uri="urn:schemas-microsoft-com:office:smarttags" w:element="country-region">
        <w:r w:rsidR="006A1791">
          <w:rPr>
            <w:rFonts w:cs="Arial"/>
            <w:sz w:val="20"/>
          </w:rPr>
          <w:t>France</w:t>
        </w:r>
      </w:smartTag>
      <w:r w:rsidR="006A1791">
        <w:rPr>
          <w:rFonts w:cs="Arial"/>
          <w:sz w:val="20"/>
        </w:rPr>
        <w:t xml:space="preserve">, the </w:t>
      </w:r>
      <w:smartTag w:uri="urn:schemas-microsoft-com:office:smarttags" w:element="country-region">
        <w:r w:rsidR="006A1791">
          <w:rPr>
            <w:rFonts w:cs="Arial"/>
            <w:sz w:val="20"/>
          </w:rPr>
          <w:t>UK</w:t>
        </w:r>
      </w:smartTag>
      <w:r w:rsidR="006A1791">
        <w:rPr>
          <w:rFonts w:cs="Arial"/>
          <w:sz w:val="20"/>
        </w:rPr>
        <w:t xml:space="preserve"> and the </w:t>
      </w:r>
      <w:smartTag w:uri="urn:schemas-microsoft-com:office:smarttags" w:element="country-region">
        <w:smartTag w:uri="urn:schemas-microsoft-com:office:smarttags" w:element="place">
          <w:r w:rsidR="006A1791">
            <w:rPr>
              <w:rFonts w:cs="Arial"/>
              <w:sz w:val="20"/>
            </w:rPr>
            <w:t>US</w:t>
          </w:r>
        </w:smartTag>
      </w:smartTag>
      <w:r>
        <w:rPr>
          <w:rFonts w:cs="Arial"/>
          <w:sz w:val="20"/>
        </w:rPr>
        <w:t>.</w:t>
      </w:r>
    </w:p>
    <w:p w:rsidR="002E5CFC" w:rsidRDefault="002E5CFC" w:rsidP="002E5CFC">
      <w:pPr>
        <w:ind w:left="547"/>
        <w:jc w:val="both"/>
        <w:rPr>
          <w:rFonts w:cs="Arial"/>
          <w:sz w:val="20"/>
        </w:rPr>
      </w:pPr>
    </w:p>
    <w:p w:rsidR="002E5CFC" w:rsidRDefault="002E5CFC" w:rsidP="002E5CFC">
      <w:pPr>
        <w:numPr>
          <w:ilvl w:val="0"/>
          <w:numId w:val="28"/>
        </w:numPr>
        <w:tabs>
          <w:tab w:val="clear" w:pos="720"/>
          <w:tab w:val="num" w:pos="900"/>
        </w:tabs>
        <w:ind w:left="907"/>
        <w:jc w:val="both"/>
        <w:rPr>
          <w:rFonts w:cs="Arial"/>
          <w:sz w:val="20"/>
        </w:rPr>
      </w:pPr>
      <w:r>
        <w:rPr>
          <w:rFonts w:cs="Arial"/>
          <w:sz w:val="20"/>
        </w:rPr>
        <w:t xml:space="preserve">From the 1920s through to around 2010, English-speaking countries have shown a U-shaped curve </w:t>
      </w:r>
      <w:r w:rsidR="006A1791">
        <w:rPr>
          <w:rFonts w:cs="Arial"/>
          <w:sz w:val="20"/>
        </w:rPr>
        <w:t xml:space="preserve">for the income share of the top 1% </w:t>
      </w:r>
      <w:r>
        <w:rPr>
          <w:rFonts w:cs="Arial"/>
          <w:sz w:val="20"/>
        </w:rPr>
        <w:t xml:space="preserve">with a </w:t>
      </w:r>
      <w:r w:rsidR="003F1BE4">
        <w:rPr>
          <w:rFonts w:cs="Arial"/>
          <w:sz w:val="20"/>
        </w:rPr>
        <w:t xml:space="preserve">lower </w:t>
      </w:r>
      <w:r>
        <w:rPr>
          <w:rFonts w:cs="Arial"/>
          <w:sz w:val="20"/>
        </w:rPr>
        <w:t>flattish period from</w:t>
      </w:r>
      <w:r w:rsidR="003F1BE4">
        <w:rPr>
          <w:rFonts w:cs="Arial"/>
          <w:sz w:val="20"/>
        </w:rPr>
        <w:t xml:space="preserve"> 1950 to the mid 1980s. The proportions have roughly doubled since the mid 1980s, from 5% to 9% for </w:t>
      </w:r>
      <w:smartTag w:uri="urn:schemas-microsoft-com:office:smarttags" w:element="country-region">
        <w:r w:rsidR="003F1BE4">
          <w:rPr>
            <w:rFonts w:cs="Arial"/>
            <w:sz w:val="20"/>
          </w:rPr>
          <w:t>New Zealand</w:t>
        </w:r>
      </w:smartTag>
      <w:r w:rsidR="003F1BE4">
        <w:rPr>
          <w:rFonts w:cs="Arial"/>
          <w:sz w:val="20"/>
        </w:rPr>
        <w:t xml:space="preserve"> and </w:t>
      </w:r>
      <w:smartTag w:uri="urn:schemas-microsoft-com:office:smarttags" w:element="country-region">
        <w:r w:rsidR="003F1BE4">
          <w:rPr>
            <w:rFonts w:cs="Arial"/>
            <w:sz w:val="20"/>
          </w:rPr>
          <w:t>Australia</w:t>
        </w:r>
      </w:smartTag>
      <w:r w:rsidR="003F1BE4">
        <w:rPr>
          <w:rFonts w:cs="Arial"/>
          <w:sz w:val="20"/>
        </w:rPr>
        <w:t>, and to higher levels for t</w:t>
      </w:r>
      <w:r w:rsidR="0033529E">
        <w:rPr>
          <w:rFonts w:cs="Arial"/>
          <w:sz w:val="20"/>
        </w:rPr>
        <w:t>he</w:t>
      </w:r>
      <w:r w:rsidR="003F1BE4">
        <w:rPr>
          <w:rFonts w:cs="Arial"/>
          <w:sz w:val="20"/>
        </w:rPr>
        <w:t xml:space="preserve"> </w:t>
      </w:r>
      <w:smartTag w:uri="urn:schemas-microsoft-com:office:smarttags" w:element="country-region">
        <w:r w:rsidR="003F1BE4">
          <w:rPr>
            <w:rFonts w:cs="Arial"/>
            <w:sz w:val="20"/>
          </w:rPr>
          <w:t>UK</w:t>
        </w:r>
      </w:smartTag>
      <w:r w:rsidR="003F1BE4">
        <w:rPr>
          <w:rFonts w:cs="Arial"/>
          <w:sz w:val="20"/>
        </w:rPr>
        <w:t xml:space="preserve"> (15%) and the </w:t>
      </w:r>
      <w:smartTag w:uri="urn:schemas-microsoft-com:office:smarttags" w:element="country-region">
        <w:smartTag w:uri="urn:schemas-microsoft-com:office:smarttags" w:element="place">
          <w:r w:rsidR="003F1BE4">
            <w:rPr>
              <w:rFonts w:cs="Arial"/>
              <w:sz w:val="20"/>
            </w:rPr>
            <w:t>US</w:t>
          </w:r>
        </w:smartTag>
      </w:smartTag>
      <w:r w:rsidR="003F1BE4">
        <w:rPr>
          <w:rFonts w:cs="Arial"/>
          <w:sz w:val="20"/>
        </w:rPr>
        <w:t xml:space="preserve"> (18%).  </w:t>
      </w:r>
      <w:r>
        <w:rPr>
          <w:rFonts w:cs="Arial"/>
          <w:sz w:val="20"/>
        </w:rPr>
        <w:t xml:space="preserve"> </w:t>
      </w:r>
    </w:p>
    <w:p w:rsidR="007B3E55" w:rsidRPr="00776E25" w:rsidRDefault="007B3E55" w:rsidP="007B3E55">
      <w:pPr>
        <w:ind w:left="360" w:hanging="360"/>
        <w:jc w:val="both"/>
        <w:rPr>
          <w:rFonts w:cs="Arial"/>
          <w:b/>
        </w:rPr>
      </w:pPr>
      <w:r>
        <w:rPr>
          <w:rFonts w:cs="Arial"/>
          <w:b/>
          <w:sz w:val="20"/>
        </w:rPr>
        <w:br w:type="page"/>
      </w:r>
      <w:r w:rsidRPr="00776E25">
        <w:rPr>
          <w:rFonts w:cs="Arial"/>
          <w:b/>
        </w:rPr>
        <w:lastRenderedPageBreak/>
        <w:t>Accommodation costs relative to household income</w:t>
      </w:r>
    </w:p>
    <w:p w:rsidR="007B3E55" w:rsidRDefault="007B3E55" w:rsidP="007B3E55">
      <w:pPr>
        <w:ind w:left="360" w:hanging="360"/>
        <w:jc w:val="both"/>
        <w:rPr>
          <w:rFonts w:cs="Arial"/>
          <w:b/>
          <w:sz w:val="20"/>
        </w:rPr>
      </w:pPr>
    </w:p>
    <w:p w:rsidR="007B3E55" w:rsidRPr="00F52050" w:rsidRDefault="008319E2" w:rsidP="007B3E55">
      <w:pPr>
        <w:ind w:left="360" w:hanging="360"/>
        <w:jc w:val="both"/>
        <w:rPr>
          <w:rFonts w:cs="Arial"/>
          <w:b/>
          <w:color w:val="0000FF"/>
          <w:sz w:val="20"/>
        </w:rPr>
      </w:pPr>
      <w:r>
        <w:rPr>
          <w:rFonts w:cs="Arial"/>
          <w:b/>
          <w:sz w:val="20"/>
        </w:rPr>
        <w:t>8</w:t>
      </w:r>
      <w:r w:rsidR="007B3E55" w:rsidRPr="000370BC">
        <w:rPr>
          <w:rFonts w:cs="Arial"/>
          <w:b/>
          <w:sz w:val="20"/>
        </w:rPr>
        <w:tab/>
      </w:r>
      <w:r w:rsidR="007B3E55">
        <w:rPr>
          <w:rFonts w:cs="Arial"/>
          <w:b/>
          <w:sz w:val="20"/>
        </w:rPr>
        <w:t>The</w:t>
      </w:r>
      <w:r w:rsidR="007B3E55" w:rsidRPr="000370BC">
        <w:rPr>
          <w:rFonts w:cs="Arial"/>
          <w:b/>
          <w:sz w:val="20"/>
        </w:rPr>
        <w:t xml:space="preserve"> proportion of </w:t>
      </w:r>
      <w:r w:rsidR="007B3E55">
        <w:rPr>
          <w:rFonts w:cs="Arial"/>
          <w:b/>
          <w:sz w:val="20"/>
        </w:rPr>
        <w:t xml:space="preserve">those in low-income </w:t>
      </w:r>
      <w:r w:rsidR="007B3E55" w:rsidRPr="000370BC">
        <w:rPr>
          <w:rFonts w:cs="Arial"/>
          <w:b/>
          <w:sz w:val="20"/>
        </w:rPr>
        <w:t>households</w:t>
      </w:r>
      <w:r w:rsidR="007B3E55">
        <w:rPr>
          <w:rFonts w:cs="Arial"/>
          <w:b/>
          <w:sz w:val="20"/>
        </w:rPr>
        <w:t xml:space="preserve"> (</w:t>
      </w:r>
      <w:r w:rsidR="002648A8">
        <w:rPr>
          <w:rFonts w:cs="Arial"/>
          <w:b/>
          <w:sz w:val="20"/>
        </w:rPr>
        <w:t xml:space="preserve">the bottom quintile, </w:t>
      </w:r>
      <w:r w:rsidR="007B3E55">
        <w:rPr>
          <w:rFonts w:cs="Arial"/>
          <w:b/>
          <w:sz w:val="20"/>
        </w:rPr>
        <w:t>Q1)</w:t>
      </w:r>
      <w:r w:rsidR="007B3E55" w:rsidRPr="000370BC">
        <w:rPr>
          <w:rFonts w:cs="Arial"/>
          <w:b/>
          <w:sz w:val="20"/>
        </w:rPr>
        <w:t xml:space="preserve"> with high OTIs </w:t>
      </w:r>
      <w:r w:rsidR="007B3E55">
        <w:rPr>
          <w:rFonts w:cs="Arial"/>
          <w:b/>
          <w:sz w:val="20"/>
        </w:rPr>
        <w:t>remained steady at a little under 40% from 200</w:t>
      </w:r>
      <w:r w:rsidR="002648A8">
        <w:rPr>
          <w:rFonts w:cs="Arial"/>
          <w:b/>
          <w:sz w:val="20"/>
        </w:rPr>
        <w:t>4</w:t>
      </w:r>
      <w:r w:rsidR="007B3E55">
        <w:rPr>
          <w:rFonts w:cs="Arial"/>
          <w:b/>
          <w:sz w:val="20"/>
        </w:rPr>
        <w:t xml:space="preserve"> to 201</w:t>
      </w:r>
      <w:r w:rsidR="002648A8">
        <w:rPr>
          <w:rFonts w:cs="Arial"/>
          <w:b/>
          <w:sz w:val="20"/>
        </w:rPr>
        <w:t>0</w:t>
      </w:r>
      <w:r w:rsidR="007B3E55">
        <w:rPr>
          <w:rFonts w:cs="Arial"/>
          <w:b/>
          <w:sz w:val="20"/>
        </w:rPr>
        <w:t xml:space="preserve">, much lower than the peak of 52% in 1994.  There is evidence of rising housing stress in the second and third quintiles from HES 2004 to HES 2009. </w:t>
      </w:r>
    </w:p>
    <w:p w:rsidR="007B3E55" w:rsidRPr="000370BC" w:rsidRDefault="007B3E55" w:rsidP="007B3E55">
      <w:pPr>
        <w:numPr>
          <w:ilvl w:val="0"/>
          <w:numId w:val="15"/>
        </w:numPr>
        <w:tabs>
          <w:tab w:val="clear" w:pos="720"/>
          <w:tab w:val="num" w:pos="900"/>
        </w:tabs>
        <w:spacing w:before="120"/>
        <w:ind w:left="900"/>
        <w:jc w:val="both"/>
        <w:rPr>
          <w:rFonts w:cs="Arial"/>
          <w:sz w:val="20"/>
        </w:rPr>
      </w:pPr>
      <w:r>
        <w:rPr>
          <w:rFonts w:cs="Arial"/>
          <w:sz w:val="20"/>
        </w:rPr>
        <w:t xml:space="preserve">In HES 2009, </w:t>
      </w:r>
      <w:r w:rsidRPr="000370BC">
        <w:rPr>
          <w:rFonts w:cs="Arial"/>
          <w:sz w:val="20"/>
        </w:rPr>
        <w:t>2</w:t>
      </w:r>
      <w:r>
        <w:rPr>
          <w:rFonts w:cs="Arial"/>
          <w:sz w:val="20"/>
        </w:rPr>
        <w:t>8</w:t>
      </w:r>
      <w:r w:rsidRPr="000370BC">
        <w:rPr>
          <w:rFonts w:cs="Arial"/>
          <w:sz w:val="20"/>
        </w:rPr>
        <w:t xml:space="preserve">% of </w:t>
      </w:r>
      <w:r>
        <w:rPr>
          <w:rFonts w:cs="Arial"/>
          <w:sz w:val="20"/>
        </w:rPr>
        <w:t>the population lived in households with high OTIs, a little above the rate for the late 1990s (25%), but</w:t>
      </w:r>
      <w:r w:rsidRPr="000370BC">
        <w:rPr>
          <w:rFonts w:cs="Arial"/>
          <w:sz w:val="20"/>
        </w:rPr>
        <w:t xml:space="preserve"> </w:t>
      </w:r>
      <w:r>
        <w:rPr>
          <w:rFonts w:cs="Arial"/>
          <w:sz w:val="20"/>
        </w:rPr>
        <w:t xml:space="preserve">much higher than in </w:t>
      </w:r>
      <w:r w:rsidRPr="000370BC">
        <w:rPr>
          <w:rFonts w:cs="Arial"/>
          <w:sz w:val="20"/>
        </w:rPr>
        <w:t>1988</w:t>
      </w:r>
      <w:r>
        <w:rPr>
          <w:rFonts w:cs="Arial"/>
          <w:sz w:val="20"/>
        </w:rPr>
        <w:t xml:space="preserve"> (11%).  In HES 2011, 25% had high OTIs.</w:t>
      </w:r>
    </w:p>
    <w:p w:rsidR="007B3E55" w:rsidRDefault="007B3E55" w:rsidP="007B3E55">
      <w:pPr>
        <w:numPr>
          <w:ilvl w:val="0"/>
          <w:numId w:val="15"/>
        </w:numPr>
        <w:tabs>
          <w:tab w:val="clear" w:pos="720"/>
          <w:tab w:val="num" w:pos="900"/>
        </w:tabs>
        <w:spacing w:before="120"/>
        <w:ind w:left="900"/>
        <w:jc w:val="both"/>
        <w:rPr>
          <w:rFonts w:cs="Arial"/>
          <w:sz w:val="20"/>
        </w:rPr>
      </w:pPr>
      <w:r>
        <w:rPr>
          <w:rFonts w:cs="Arial"/>
          <w:sz w:val="20"/>
        </w:rPr>
        <w:t>T</w:t>
      </w:r>
      <w:r w:rsidRPr="000370BC">
        <w:rPr>
          <w:rFonts w:cs="Arial"/>
          <w:sz w:val="20"/>
        </w:rPr>
        <w:t>his rising long-run trend applies to all income groups, but high OTIs are of particular concern for low-income households as this can mean there is insufficient income left to properly meet other basic needs such as food, clothing, transport, medical care and education</w:t>
      </w:r>
      <w:r>
        <w:rPr>
          <w:rFonts w:cs="Arial"/>
          <w:sz w:val="20"/>
        </w:rPr>
        <w:t>.</w:t>
      </w:r>
    </w:p>
    <w:p w:rsidR="007B3E55" w:rsidRDefault="007B3E55" w:rsidP="007B3E55">
      <w:pPr>
        <w:numPr>
          <w:ilvl w:val="0"/>
          <w:numId w:val="15"/>
        </w:numPr>
        <w:tabs>
          <w:tab w:val="clear" w:pos="720"/>
          <w:tab w:val="num" w:pos="900"/>
        </w:tabs>
        <w:spacing w:before="120"/>
        <w:ind w:left="900"/>
        <w:jc w:val="both"/>
        <w:rPr>
          <w:rFonts w:cs="Arial"/>
          <w:sz w:val="20"/>
        </w:rPr>
      </w:pPr>
      <w:r w:rsidRPr="002A46E4">
        <w:rPr>
          <w:rFonts w:cs="Arial"/>
          <w:b/>
          <w:sz w:val="20"/>
        </w:rPr>
        <w:t>Figure S.2</w:t>
      </w:r>
      <w:r>
        <w:rPr>
          <w:rFonts w:cs="Arial"/>
          <w:sz w:val="20"/>
        </w:rPr>
        <w:t xml:space="preserve"> shows that f</w:t>
      </w:r>
      <w:r w:rsidRPr="00C24E5F">
        <w:rPr>
          <w:rFonts w:cs="Arial"/>
          <w:sz w:val="20"/>
        </w:rPr>
        <w:t>or the bottom quintile</w:t>
      </w:r>
      <w:r>
        <w:rPr>
          <w:rFonts w:cs="Arial"/>
          <w:sz w:val="20"/>
        </w:rPr>
        <w:t xml:space="preserve"> (Q1)</w:t>
      </w:r>
      <w:r w:rsidRPr="00C24E5F">
        <w:rPr>
          <w:rFonts w:cs="Arial"/>
          <w:sz w:val="20"/>
        </w:rPr>
        <w:t>, the proportion with high OTIs steadily reduced from 52% in 1994 to 40% in 2004, as unemployment fell, employment and income rose, and income-related rental policies were introduced in 2000 for those in HNZC houses.  It then remained steady at 40% or a little less through to 2011</w:t>
      </w:r>
      <w:r>
        <w:rPr>
          <w:sz w:val="20"/>
        </w:rPr>
        <w:t xml:space="preserve">.  </w:t>
      </w:r>
    </w:p>
    <w:p w:rsidR="007B3E55" w:rsidRPr="00C24E5F" w:rsidRDefault="007B3E55" w:rsidP="007B3E55">
      <w:pPr>
        <w:numPr>
          <w:ilvl w:val="0"/>
          <w:numId w:val="15"/>
        </w:numPr>
        <w:tabs>
          <w:tab w:val="clear" w:pos="720"/>
          <w:tab w:val="num" w:pos="900"/>
        </w:tabs>
        <w:spacing w:before="120"/>
        <w:ind w:left="900"/>
        <w:jc w:val="both"/>
        <w:rPr>
          <w:rFonts w:cs="Arial"/>
          <w:sz w:val="20"/>
        </w:rPr>
      </w:pPr>
      <w:r>
        <w:rPr>
          <w:rFonts w:cs="Arial"/>
          <w:sz w:val="20"/>
        </w:rPr>
        <w:t>For those in households with incomes in</w:t>
      </w:r>
      <w:r w:rsidRPr="00C24E5F">
        <w:rPr>
          <w:rFonts w:cs="Arial"/>
          <w:sz w:val="20"/>
        </w:rPr>
        <w:t xml:space="preserve"> the second quintile</w:t>
      </w:r>
      <w:r w:rsidR="002648A8">
        <w:rPr>
          <w:rFonts w:cs="Arial"/>
          <w:sz w:val="20"/>
        </w:rPr>
        <w:t xml:space="preserve"> (Q2)</w:t>
      </w:r>
      <w:r w:rsidRPr="00C24E5F">
        <w:rPr>
          <w:rFonts w:cs="Arial"/>
          <w:sz w:val="20"/>
        </w:rPr>
        <w:t xml:space="preserve"> there has been a steady rise from the 1980s through to 2011, with </w:t>
      </w:r>
      <w:r>
        <w:rPr>
          <w:rFonts w:cs="Arial"/>
          <w:sz w:val="20"/>
        </w:rPr>
        <w:t>a strong</w:t>
      </w:r>
      <w:r w:rsidRPr="00C24E5F">
        <w:rPr>
          <w:rFonts w:cs="Arial"/>
          <w:sz w:val="20"/>
        </w:rPr>
        <w:t xml:space="preserve"> increase from 2004 to 2009.  The rate more than doubled from 1988 (13%) to 2001 (31%), and peaked at 34% in 2009.</w:t>
      </w:r>
    </w:p>
    <w:p w:rsidR="007B3E55" w:rsidRPr="00C24E5F" w:rsidRDefault="007B3E55" w:rsidP="007B3E55">
      <w:pPr>
        <w:numPr>
          <w:ilvl w:val="0"/>
          <w:numId w:val="15"/>
        </w:numPr>
        <w:tabs>
          <w:tab w:val="clear" w:pos="720"/>
          <w:tab w:val="num" w:pos="900"/>
        </w:tabs>
        <w:spacing w:before="120"/>
        <w:ind w:left="900"/>
        <w:jc w:val="both"/>
        <w:rPr>
          <w:rFonts w:cs="Arial"/>
          <w:sz w:val="20"/>
        </w:rPr>
      </w:pPr>
      <w:r w:rsidRPr="00C24E5F">
        <w:rPr>
          <w:rFonts w:cs="Arial"/>
          <w:sz w:val="20"/>
        </w:rPr>
        <w:t>The rise for the third quintile</w:t>
      </w:r>
      <w:r w:rsidR="002648A8">
        <w:rPr>
          <w:rFonts w:cs="Arial"/>
          <w:sz w:val="20"/>
        </w:rPr>
        <w:t xml:space="preserve"> (Q3)</w:t>
      </w:r>
      <w:r w:rsidRPr="00C24E5F">
        <w:rPr>
          <w:rFonts w:cs="Arial"/>
          <w:sz w:val="20"/>
        </w:rPr>
        <w:t xml:space="preserve"> from 2004 (18%) to 2010 and 2011 (29%) is the strongest rise for any quintile in recent years.</w:t>
      </w:r>
    </w:p>
    <w:p w:rsidR="007B3E55" w:rsidRPr="000370BC" w:rsidRDefault="007B3E55" w:rsidP="007B3E55">
      <w:pPr>
        <w:ind w:left="360" w:hanging="360"/>
        <w:jc w:val="both"/>
        <w:rPr>
          <w:rFonts w:cs="Arial"/>
          <w:b/>
        </w:rPr>
      </w:pPr>
    </w:p>
    <w:p w:rsidR="007B3E55" w:rsidRPr="000370BC" w:rsidRDefault="007B3E55" w:rsidP="007B3E55">
      <w:pPr>
        <w:jc w:val="center"/>
        <w:rPr>
          <w:rFonts w:cs="Arial"/>
          <w:b/>
          <w:sz w:val="18"/>
          <w:szCs w:val="18"/>
        </w:rPr>
      </w:pPr>
      <w:r w:rsidRPr="000370BC">
        <w:rPr>
          <w:rFonts w:cs="Arial"/>
          <w:b/>
          <w:sz w:val="18"/>
          <w:szCs w:val="18"/>
        </w:rPr>
        <w:t>Figure S.2</w:t>
      </w:r>
    </w:p>
    <w:p w:rsidR="007B3E55" w:rsidRPr="000370BC" w:rsidRDefault="007B3E55" w:rsidP="007B3E55">
      <w:pPr>
        <w:jc w:val="center"/>
        <w:rPr>
          <w:rFonts w:cs="Arial"/>
          <w:b/>
          <w:sz w:val="18"/>
          <w:szCs w:val="18"/>
        </w:rPr>
      </w:pPr>
      <w:r w:rsidRPr="000370BC">
        <w:rPr>
          <w:rFonts w:cs="Arial"/>
          <w:b/>
          <w:sz w:val="18"/>
          <w:szCs w:val="18"/>
        </w:rPr>
        <w:t xml:space="preserve">Proportion of </w:t>
      </w:r>
      <w:r w:rsidR="002E32A2">
        <w:rPr>
          <w:rFonts w:cs="Arial"/>
          <w:b/>
          <w:sz w:val="18"/>
          <w:szCs w:val="18"/>
        </w:rPr>
        <w:t xml:space="preserve">individuals in </w:t>
      </w:r>
      <w:r w:rsidRPr="000370BC">
        <w:rPr>
          <w:rFonts w:cs="Arial"/>
          <w:b/>
          <w:sz w:val="18"/>
          <w:szCs w:val="18"/>
        </w:rPr>
        <w:t>HHs with housing cost OTIs greater than 30%, by income quintile</w:t>
      </w:r>
    </w:p>
    <w:p w:rsidR="007B3E55" w:rsidRPr="000E7168" w:rsidRDefault="00EC0BE0" w:rsidP="007B3E55">
      <w:pPr>
        <w:ind w:left="360" w:hanging="360"/>
        <w:jc w:val="center"/>
        <w:rPr>
          <w:rFonts w:cs="Arial"/>
          <w:b/>
        </w:rPr>
      </w:pPr>
      <w:r>
        <w:rPr>
          <w:noProof/>
          <w:lang w:val="en-US"/>
        </w:rPr>
        <w:drawing>
          <wp:inline distT="0" distB="0" distL="0" distR="0">
            <wp:extent cx="3533775"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33775" cy="2171700"/>
                    </a:xfrm>
                    <a:prstGeom prst="rect">
                      <a:avLst/>
                    </a:prstGeom>
                    <a:noFill/>
                    <a:ln w="9525">
                      <a:noFill/>
                      <a:miter lim="800000"/>
                      <a:headEnd/>
                      <a:tailEnd/>
                    </a:ln>
                  </pic:spPr>
                </pic:pic>
              </a:graphicData>
            </a:graphic>
          </wp:inline>
        </w:drawing>
      </w:r>
    </w:p>
    <w:p w:rsidR="007B3E55" w:rsidRPr="00ED2099" w:rsidRDefault="007B3E55" w:rsidP="007B3E55">
      <w:pPr>
        <w:numPr>
          <w:ilvl w:val="0"/>
          <w:numId w:val="15"/>
        </w:numPr>
        <w:tabs>
          <w:tab w:val="clear" w:pos="720"/>
          <w:tab w:val="num" w:pos="900"/>
        </w:tabs>
        <w:spacing w:before="120"/>
        <w:ind w:left="900"/>
        <w:jc w:val="both"/>
        <w:rPr>
          <w:rFonts w:cs="Arial"/>
          <w:sz w:val="20"/>
        </w:rPr>
      </w:pPr>
      <w:r w:rsidRPr="00ED2099">
        <w:rPr>
          <w:rFonts w:cs="Arial"/>
          <w:sz w:val="20"/>
        </w:rPr>
        <w:t xml:space="preserve">From the mid 1990s to 2011, around 12 to 14% of individuals lived in households with an even higher OTI – </w:t>
      </w:r>
      <w:r w:rsidRPr="00ED2099">
        <w:rPr>
          <w:rFonts w:cs="Arial"/>
          <w:sz w:val="20"/>
          <w:u w:val="single"/>
        </w:rPr>
        <w:t>greater than 40%</w:t>
      </w:r>
      <w:r w:rsidRPr="00ED2099">
        <w:rPr>
          <w:rFonts w:cs="Arial"/>
          <w:sz w:val="20"/>
        </w:rPr>
        <w:t xml:space="preserve"> - up from 5% in the late 1980s.  For those in Q1 (</w:t>
      </w:r>
      <w:r>
        <w:rPr>
          <w:rFonts w:cs="Arial"/>
          <w:sz w:val="20"/>
        </w:rPr>
        <w:t>bottom quintile</w:t>
      </w:r>
      <w:r w:rsidRPr="00ED2099">
        <w:rPr>
          <w:rFonts w:cs="Arial"/>
          <w:sz w:val="20"/>
        </w:rPr>
        <w:t xml:space="preserve">), the proportion with these very high OTIs peaked in the mid-1990s at 35% but </w:t>
      </w:r>
      <w:r>
        <w:rPr>
          <w:rFonts w:cs="Arial"/>
          <w:sz w:val="20"/>
        </w:rPr>
        <w:t>was lower at</w:t>
      </w:r>
      <w:r w:rsidRPr="00ED2099">
        <w:rPr>
          <w:rFonts w:cs="Arial"/>
          <w:sz w:val="20"/>
        </w:rPr>
        <w:t xml:space="preserve"> 25 to 30% from 2004 to 2011</w:t>
      </w:r>
      <w:r>
        <w:rPr>
          <w:rFonts w:cs="Arial"/>
          <w:sz w:val="20"/>
        </w:rPr>
        <w:t xml:space="preserve">.  Over the last decade or so, 16 to 17% of those in </w:t>
      </w:r>
      <w:r w:rsidR="002648A8">
        <w:rPr>
          <w:rFonts w:cs="Arial"/>
          <w:sz w:val="20"/>
        </w:rPr>
        <w:t>Q2</w:t>
      </w:r>
      <w:r>
        <w:rPr>
          <w:rFonts w:cs="Arial"/>
          <w:sz w:val="20"/>
        </w:rPr>
        <w:t xml:space="preserve"> have had an OTI of greater than 40%, compared with 6% in the late 1980s.</w:t>
      </w:r>
    </w:p>
    <w:p w:rsidR="007B3E55" w:rsidRDefault="007B3E55" w:rsidP="007B3E55">
      <w:pPr>
        <w:jc w:val="both"/>
        <w:rPr>
          <w:rFonts w:cs="Arial"/>
          <w:b/>
          <w:sz w:val="20"/>
        </w:rPr>
      </w:pPr>
    </w:p>
    <w:p w:rsidR="007B3E55" w:rsidRDefault="007B3E55" w:rsidP="007B3E55">
      <w:pPr>
        <w:ind w:left="360" w:hanging="360"/>
        <w:jc w:val="both"/>
        <w:rPr>
          <w:rFonts w:cs="Arial"/>
          <w:b/>
          <w:sz w:val="20"/>
        </w:rPr>
      </w:pPr>
    </w:p>
    <w:p w:rsidR="007B3E55" w:rsidRPr="00A2446A" w:rsidRDefault="007B3E55" w:rsidP="007B3E55">
      <w:pPr>
        <w:ind w:left="360" w:hanging="360"/>
        <w:jc w:val="both"/>
        <w:rPr>
          <w:rFonts w:cs="Arial"/>
          <w:b/>
        </w:rPr>
      </w:pPr>
      <w:r>
        <w:rPr>
          <w:rFonts w:cs="Arial"/>
          <w:b/>
          <w:sz w:val="20"/>
        </w:rPr>
        <w:br w:type="page"/>
      </w:r>
      <w:r w:rsidRPr="00A2446A">
        <w:rPr>
          <w:rFonts w:cs="Arial"/>
          <w:b/>
        </w:rPr>
        <w:lastRenderedPageBreak/>
        <w:t>Poverty and hardship trends</w:t>
      </w:r>
    </w:p>
    <w:p w:rsidR="007B3E55" w:rsidRDefault="007B3E55" w:rsidP="007B3E55">
      <w:pPr>
        <w:ind w:left="360" w:hanging="360"/>
        <w:jc w:val="both"/>
        <w:rPr>
          <w:rFonts w:cs="Arial"/>
          <w:b/>
          <w:sz w:val="20"/>
        </w:rPr>
      </w:pPr>
    </w:p>
    <w:p w:rsidR="007B3E55" w:rsidRDefault="008319E2" w:rsidP="007B3E55">
      <w:pPr>
        <w:ind w:left="360" w:hanging="360"/>
        <w:jc w:val="both"/>
        <w:rPr>
          <w:rFonts w:cs="Arial"/>
          <w:b/>
          <w:sz w:val="20"/>
        </w:rPr>
      </w:pPr>
      <w:r>
        <w:rPr>
          <w:rFonts w:cs="Arial"/>
          <w:b/>
          <w:sz w:val="20"/>
        </w:rPr>
        <w:t>9</w:t>
      </w:r>
      <w:r w:rsidR="007B3E55">
        <w:rPr>
          <w:rFonts w:cs="Arial"/>
          <w:b/>
          <w:sz w:val="20"/>
        </w:rPr>
        <w:tab/>
        <w:t xml:space="preserve">Both the incomes (AHC) and the NMI approaches identify the same population groups that </w:t>
      </w:r>
      <w:r w:rsidR="00DE4A2A">
        <w:rPr>
          <w:rFonts w:cs="Arial"/>
          <w:b/>
          <w:sz w:val="20"/>
        </w:rPr>
        <w:t>have high and low poverty or hardship rates.</w:t>
      </w:r>
      <w:r w:rsidR="007B3E55">
        <w:rPr>
          <w:rFonts w:cs="Arial"/>
          <w:b/>
          <w:sz w:val="20"/>
        </w:rPr>
        <w:t xml:space="preserve">  However the actual overlap of the ‘income poor’ and ‘those in material hardship’ is only around 50%, a finding in line with international research.  This has implications</w:t>
      </w:r>
      <w:r w:rsidR="00F12FD0">
        <w:rPr>
          <w:rFonts w:cs="Arial"/>
          <w:b/>
          <w:sz w:val="20"/>
        </w:rPr>
        <w:t xml:space="preserve"> </w:t>
      </w:r>
      <w:r w:rsidR="007B3E55">
        <w:rPr>
          <w:rFonts w:cs="Arial"/>
          <w:b/>
          <w:sz w:val="20"/>
        </w:rPr>
        <w:t>for comparing trends over time.</w:t>
      </w:r>
    </w:p>
    <w:p w:rsidR="007B3E55" w:rsidRPr="00AC5C24" w:rsidRDefault="007B3E55" w:rsidP="007B3E55">
      <w:pPr>
        <w:numPr>
          <w:ilvl w:val="0"/>
          <w:numId w:val="16"/>
        </w:numPr>
        <w:tabs>
          <w:tab w:val="clear" w:pos="1080"/>
          <w:tab w:val="num" w:pos="900"/>
        </w:tabs>
        <w:spacing w:before="120"/>
        <w:ind w:left="900"/>
        <w:jc w:val="both"/>
        <w:rPr>
          <w:rFonts w:cs="Arial"/>
          <w:sz w:val="20"/>
        </w:rPr>
      </w:pPr>
      <w:r>
        <w:rPr>
          <w:rFonts w:cs="Arial"/>
          <w:sz w:val="20"/>
        </w:rPr>
        <w:t>The limited overlap is not unexpected as day-to-day living standards for a household are determined by much more than just current income: for example past income, the state of repair and range of household goods and appliances in the household, the support in cash and kind from people outside the household, the extra demands on the budget from special health costs and high debt servicing commitments all have an impact over and above current income.</w:t>
      </w:r>
      <w:r w:rsidR="00C90F4C">
        <w:rPr>
          <w:rStyle w:val="FootnoteReference"/>
          <w:rFonts w:cs="Arial"/>
          <w:sz w:val="20"/>
        </w:rPr>
        <w:footnoteReference w:id="5"/>
      </w:r>
    </w:p>
    <w:p w:rsidR="007B3E55" w:rsidRPr="00A54149"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The </w:t>
      </w:r>
      <w:r>
        <w:rPr>
          <w:rFonts w:cs="Arial"/>
          <w:sz w:val="20"/>
          <w:szCs w:val="22"/>
        </w:rPr>
        <w:t>limited overlap means that only half of those in material hardship are in income pove</w:t>
      </w:r>
      <w:r w:rsidR="008319E2">
        <w:rPr>
          <w:rFonts w:cs="Arial"/>
          <w:sz w:val="20"/>
          <w:szCs w:val="22"/>
        </w:rPr>
        <w:t xml:space="preserve">rty: </w:t>
      </w:r>
      <w:r>
        <w:rPr>
          <w:rFonts w:cs="Arial"/>
          <w:sz w:val="20"/>
          <w:szCs w:val="22"/>
        </w:rPr>
        <w:t xml:space="preserve">the other half have incomes above the poverty line, but generally below the median. </w:t>
      </w:r>
      <w:r>
        <w:rPr>
          <w:rFonts w:cs="Arial"/>
          <w:sz w:val="20"/>
        </w:rPr>
        <w:t xml:space="preserve"> In other words, some of the ‘non-poor’ experience material hardship and some of the ‘poor’ do not.  </w:t>
      </w:r>
      <w:r>
        <w:rPr>
          <w:rFonts w:cs="Arial"/>
          <w:sz w:val="20"/>
          <w:szCs w:val="22"/>
        </w:rPr>
        <w:t>One consequence of this and of the different way each approach looks at disadvantage is that it is possible at times to have income poverty and material hardship moving in different directions.</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The findings reported below show that from the 2009 to the 2011 HES, the child poverty trend was flat, but the material hardship rate increased.  One of the main reasons for this difference of trend is that families with children w</w:t>
      </w:r>
      <w:r w:rsidR="002648A8">
        <w:rPr>
          <w:rFonts w:cs="Arial"/>
          <w:sz w:val="20"/>
        </w:rPr>
        <w:t>hose</w:t>
      </w:r>
      <w:r>
        <w:rPr>
          <w:rFonts w:cs="Arial"/>
          <w:sz w:val="20"/>
        </w:rPr>
        <w:t xml:space="preserve"> family incomes</w:t>
      </w:r>
      <w:r w:rsidR="002648A8">
        <w:rPr>
          <w:rFonts w:cs="Arial"/>
          <w:sz w:val="20"/>
        </w:rPr>
        <w:t xml:space="preserve"> </w:t>
      </w:r>
      <w:r w:rsidR="00BB5534">
        <w:rPr>
          <w:rFonts w:cs="Arial"/>
          <w:sz w:val="20"/>
        </w:rPr>
        <w:t>were</w:t>
      </w:r>
      <w:r>
        <w:rPr>
          <w:rFonts w:cs="Arial"/>
          <w:sz w:val="20"/>
        </w:rPr>
        <w:t xml:space="preserve"> </w:t>
      </w:r>
      <w:r w:rsidRPr="005A4C9A">
        <w:rPr>
          <w:rFonts w:cs="Arial"/>
          <w:sz w:val="20"/>
          <w:u w:val="single"/>
        </w:rPr>
        <w:t>above</w:t>
      </w:r>
      <w:r w:rsidR="002648A8">
        <w:rPr>
          <w:rFonts w:cs="Arial"/>
          <w:sz w:val="20"/>
        </w:rPr>
        <w:t xml:space="preserve"> the poverty line </w:t>
      </w:r>
      <w:r>
        <w:rPr>
          <w:rFonts w:cs="Arial"/>
          <w:sz w:val="20"/>
        </w:rPr>
        <w:t>reported increased hardship, thus increasing measured hardship irrespective of what the income poverty trend was.</w:t>
      </w:r>
      <w:r w:rsidR="002648A8">
        <w:rPr>
          <w:rFonts w:cs="Arial"/>
          <w:sz w:val="20"/>
        </w:rPr>
        <w:t xml:space="preserve">  In addition</w:t>
      </w:r>
      <w:r w:rsidR="00BB5534">
        <w:rPr>
          <w:rFonts w:cs="Arial"/>
          <w:sz w:val="20"/>
        </w:rPr>
        <w:t>,</w:t>
      </w:r>
      <w:r w:rsidR="002648A8">
        <w:rPr>
          <w:rFonts w:cs="Arial"/>
          <w:sz w:val="20"/>
        </w:rPr>
        <w:t xml:space="preserve"> some of those with income below the poverty line</w:t>
      </w:r>
      <w:r w:rsidR="00BB5534">
        <w:rPr>
          <w:rFonts w:cs="Arial"/>
          <w:sz w:val="20"/>
        </w:rPr>
        <w:t xml:space="preserve"> but not previously in hardship will have experienced a decline in daily living standards as other resources dwindle.  For those on very tight budgets it takes only a relatively small loss of income or other resource to tip the household from barely getting by into more serious hardship. </w:t>
      </w:r>
    </w:p>
    <w:p w:rsidR="007B3E55" w:rsidRDefault="007B3E55" w:rsidP="007B3E55">
      <w:pPr>
        <w:ind w:left="360" w:hanging="360"/>
        <w:jc w:val="both"/>
        <w:rPr>
          <w:rFonts w:cs="Arial"/>
          <w:b/>
          <w:sz w:val="20"/>
        </w:rPr>
      </w:pPr>
    </w:p>
    <w:p w:rsidR="007B3E55" w:rsidRDefault="008319E2" w:rsidP="007B3E55">
      <w:pPr>
        <w:ind w:left="360" w:hanging="360"/>
        <w:jc w:val="both"/>
        <w:rPr>
          <w:rFonts w:cs="Arial"/>
          <w:b/>
          <w:sz w:val="20"/>
        </w:rPr>
      </w:pPr>
      <w:r>
        <w:rPr>
          <w:rFonts w:cs="Arial"/>
          <w:b/>
          <w:sz w:val="20"/>
        </w:rPr>
        <w:t>10</w:t>
      </w:r>
      <w:r w:rsidR="007B3E55">
        <w:rPr>
          <w:rFonts w:cs="Arial"/>
          <w:b/>
          <w:sz w:val="20"/>
        </w:rPr>
        <w:tab/>
        <w:t>The main feature of trends in income poverty rates from HES 2009 to HES 2011 for the population as a whole and for most population groups is that they remained much the same, despite the impact on incomes of the GFC and the economic downturn (see #1</w:t>
      </w:r>
      <w:r>
        <w:rPr>
          <w:rFonts w:cs="Arial"/>
          <w:b/>
          <w:sz w:val="20"/>
        </w:rPr>
        <w:t>1</w:t>
      </w:r>
      <w:r w:rsidR="007B3E55">
        <w:rPr>
          <w:rFonts w:cs="Arial"/>
          <w:b/>
          <w:sz w:val="20"/>
        </w:rPr>
        <w:t xml:space="preserve"> and #1</w:t>
      </w:r>
      <w:r>
        <w:rPr>
          <w:rFonts w:cs="Arial"/>
          <w:b/>
          <w:sz w:val="20"/>
        </w:rPr>
        <w:t>2</w:t>
      </w:r>
      <w:r w:rsidR="007B3E55">
        <w:rPr>
          <w:rFonts w:cs="Arial"/>
          <w:b/>
          <w:sz w:val="20"/>
        </w:rPr>
        <w:t xml:space="preserve"> below).  </w:t>
      </w:r>
    </w:p>
    <w:p w:rsidR="007B3E55" w:rsidRDefault="007B3E55" w:rsidP="007B3E55">
      <w:pPr>
        <w:ind w:left="357" w:hanging="357"/>
        <w:jc w:val="both"/>
        <w:rPr>
          <w:rFonts w:cs="Arial"/>
          <w:b/>
          <w:sz w:val="20"/>
        </w:rPr>
      </w:pPr>
    </w:p>
    <w:p w:rsidR="007B3E55" w:rsidRPr="00131E0E" w:rsidRDefault="007B3E55" w:rsidP="00614C04">
      <w:pPr>
        <w:numPr>
          <w:ilvl w:val="0"/>
          <w:numId w:val="87"/>
        </w:numPr>
        <w:tabs>
          <w:tab w:val="clear" w:pos="1260"/>
          <w:tab w:val="num" w:pos="851"/>
          <w:tab w:val="num" w:pos="1134"/>
        </w:tabs>
        <w:ind w:left="851" w:hanging="284"/>
        <w:jc w:val="both"/>
        <w:rPr>
          <w:rFonts w:cs="Arial"/>
          <w:sz w:val="20"/>
          <w:szCs w:val="22"/>
        </w:rPr>
      </w:pPr>
      <w:r w:rsidRPr="00CD4C91">
        <w:rPr>
          <w:rFonts w:cs="Arial"/>
          <w:sz w:val="20"/>
        </w:rPr>
        <w:t>This is at first sight a counter-intuitive finding – why did poverty rates not increase from 2008-09 to 2010-11?</w:t>
      </w:r>
    </w:p>
    <w:p w:rsidR="007B3E55" w:rsidRDefault="007B3E55" w:rsidP="00614C04">
      <w:pPr>
        <w:numPr>
          <w:ilvl w:val="0"/>
          <w:numId w:val="87"/>
        </w:numPr>
        <w:tabs>
          <w:tab w:val="clear" w:pos="1260"/>
          <w:tab w:val="num" w:pos="851"/>
          <w:tab w:val="num" w:pos="1134"/>
        </w:tabs>
        <w:spacing w:before="120"/>
        <w:ind w:left="851" w:hanging="284"/>
        <w:jc w:val="both"/>
        <w:rPr>
          <w:rFonts w:cs="Arial"/>
          <w:sz w:val="20"/>
          <w:szCs w:val="22"/>
        </w:rPr>
      </w:pPr>
      <w:r>
        <w:rPr>
          <w:rFonts w:cs="Arial"/>
          <w:sz w:val="20"/>
          <w:szCs w:val="22"/>
        </w:rPr>
        <w:t xml:space="preserve">Those identified as ‘in poverty’ on the standard measures used are all in households with incomes in the lower quintile, </w:t>
      </w:r>
      <w:r w:rsidRPr="00131E0E">
        <w:rPr>
          <w:rFonts w:cs="Arial"/>
          <w:sz w:val="20"/>
          <w:szCs w:val="22"/>
        </w:rPr>
        <w:t>so it is the</w:t>
      </w:r>
      <w:r>
        <w:rPr>
          <w:rFonts w:cs="Arial"/>
          <w:sz w:val="20"/>
          <w:szCs w:val="22"/>
        </w:rPr>
        <w:t xml:space="preserve"> trends in</w:t>
      </w:r>
      <w:r w:rsidRPr="00131E0E">
        <w:rPr>
          <w:rFonts w:cs="Arial"/>
          <w:sz w:val="20"/>
          <w:szCs w:val="22"/>
        </w:rPr>
        <w:t xml:space="preserve"> incomes </w:t>
      </w:r>
      <w:r>
        <w:rPr>
          <w:rFonts w:cs="Arial"/>
          <w:sz w:val="20"/>
          <w:szCs w:val="22"/>
        </w:rPr>
        <w:t>in</w:t>
      </w:r>
      <w:r w:rsidRPr="00131E0E">
        <w:rPr>
          <w:rFonts w:cs="Arial"/>
          <w:sz w:val="20"/>
          <w:szCs w:val="22"/>
        </w:rPr>
        <w:t xml:space="preserve"> </w:t>
      </w:r>
      <w:r>
        <w:rPr>
          <w:rFonts w:cs="Arial"/>
          <w:sz w:val="20"/>
          <w:szCs w:val="22"/>
        </w:rPr>
        <w:t>this range</w:t>
      </w:r>
      <w:r w:rsidRPr="00131E0E">
        <w:rPr>
          <w:rFonts w:cs="Arial"/>
          <w:sz w:val="20"/>
          <w:szCs w:val="22"/>
        </w:rPr>
        <w:t xml:space="preserve"> that are of primary interest</w:t>
      </w:r>
      <w:r>
        <w:rPr>
          <w:rFonts w:cs="Arial"/>
          <w:sz w:val="20"/>
          <w:szCs w:val="22"/>
        </w:rPr>
        <w:t>.</w:t>
      </w:r>
    </w:p>
    <w:p w:rsidR="007B3E55" w:rsidRPr="00131E0E" w:rsidRDefault="007B3E55" w:rsidP="00614C04">
      <w:pPr>
        <w:numPr>
          <w:ilvl w:val="0"/>
          <w:numId w:val="87"/>
        </w:numPr>
        <w:tabs>
          <w:tab w:val="clear" w:pos="1260"/>
          <w:tab w:val="num" w:pos="851"/>
          <w:tab w:val="num" w:pos="1134"/>
        </w:tabs>
        <w:spacing w:before="120"/>
        <w:ind w:left="851" w:hanging="284"/>
        <w:jc w:val="both"/>
        <w:rPr>
          <w:rFonts w:cs="Arial"/>
          <w:sz w:val="20"/>
          <w:szCs w:val="22"/>
        </w:rPr>
      </w:pPr>
      <w:r>
        <w:rPr>
          <w:rFonts w:cs="Arial"/>
          <w:sz w:val="20"/>
          <w:szCs w:val="22"/>
        </w:rPr>
        <w:t>T</w:t>
      </w:r>
      <w:r w:rsidRPr="00131E0E">
        <w:rPr>
          <w:rFonts w:cs="Arial"/>
          <w:sz w:val="20"/>
          <w:szCs w:val="22"/>
        </w:rPr>
        <w:t>he main source of income for around 65% of those in the lower quintile is a main benefit or NZS, and these all either had their incomes protected in real terms (working age) or raised in real terms</w:t>
      </w:r>
      <w:r>
        <w:rPr>
          <w:rFonts w:cs="Arial"/>
          <w:sz w:val="20"/>
          <w:szCs w:val="22"/>
        </w:rPr>
        <w:t xml:space="preserve"> (65+) as </w:t>
      </w:r>
      <w:r w:rsidRPr="00131E0E">
        <w:rPr>
          <w:rFonts w:cs="Arial"/>
          <w:sz w:val="20"/>
          <w:szCs w:val="22"/>
        </w:rPr>
        <w:t>NZS increased as a result of the impact of the income tax changes on the after-tax wage benchmark</w:t>
      </w:r>
      <w:r>
        <w:rPr>
          <w:rFonts w:cs="Arial"/>
          <w:sz w:val="20"/>
          <w:szCs w:val="22"/>
        </w:rPr>
        <w:t>.</w:t>
      </w:r>
      <w:r w:rsidRPr="00131E0E">
        <w:rPr>
          <w:rFonts w:cs="Arial"/>
          <w:sz w:val="20"/>
          <w:szCs w:val="22"/>
        </w:rPr>
        <w:t xml:space="preserve"> </w:t>
      </w:r>
    </w:p>
    <w:p w:rsidR="007B3E55" w:rsidRPr="00131E0E" w:rsidRDefault="00BB5534" w:rsidP="00614C04">
      <w:pPr>
        <w:numPr>
          <w:ilvl w:val="0"/>
          <w:numId w:val="87"/>
        </w:numPr>
        <w:tabs>
          <w:tab w:val="clear" w:pos="1260"/>
          <w:tab w:val="num" w:pos="851"/>
          <w:tab w:val="num" w:pos="1134"/>
        </w:tabs>
        <w:spacing w:before="120"/>
        <w:ind w:left="851" w:hanging="284"/>
        <w:jc w:val="both"/>
        <w:rPr>
          <w:rFonts w:cs="Arial"/>
          <w:sz w:val="20"/>
          <w:szCs w:val="22"/>
        </w:rPr>
      </w:pPr>
      <w:r>
        <w:rPr>
          <w:rFonts w:cs="Arial"/>
          <w:sz w:val="20"/>
          <w:szCs w:val="22"/>
        </w:rPr>
        <w:t>For</w:t>
      </w:r>
      <w:r w:rsidR="007B3E55" w:rsidRPr="00131E0E">
        <w:rPr>
          <w:rFonts w:cs="Arial"/>
          <w:sz w:val="20"/>
          <w:szCs w:val="22"/>
        </w:rPr>
        <w:t xml:space="preserve"> </w:t>
      </w:r>
      <w:r>
        <w:rPr>
          <w:rFonts w:cs="Arial"/>
          <w:sz w:val="20"/>
          <w:szCs w:val="22"/>
        </w:rPr>
        <w:t xml:space="preserve">the 60% BHC fixed line measure, </w:t>
      </w:r>
      <w:r w:rsidR="007B3E55" w:rsidRPr="00131E0E">
        <w:rPr>
          <w:rFonts w:cs="Arial"/>
          <w:sz w:val="20"/>
          <w:szCs w:val="22"/>
        </w:rPr>
        <w:t xml:space="preserve">the above factors </w:t>
      </w:r>
      <w:r w:rsidR="007B3E55">
        <w:rPr>
          <w:rFonts w:cs="Arial"/>
          <w:sz w:val="20"/>
          <w:szCs w:val="22"/>
        </w:rPr>
        <w:t xml:space="preserve">explain why </w:t>
      </w:r>
      <w:r w:rsidR="007B3E55" w:rsidRPr="00131E0E">
        <w:rPr>
          <w:rFonts w:cs="Arial"/>
          <w:sz w:val="20"/>
          <w:szCs w:val="22"/>
        </w:rPr>
        <w:t>measured poverty</w:t>
      </w:r>
      <w:r>
        <w:rPr>
          <w:rFonts w:cs="Arial"/>
          <w:sz w:val="20"/>
          <w:szCs w:val="22"/>
        </w:rPr>
        <w:t xml:space="preserve"> remained steady at 14%</w:t>
      </w:r>
      <w:r w:rsidR="007B3E55">
        <w:rPr>
          <w:rFonts w:cs="Arial"/>
          <w:sz w:val="20"/>
          <w:szCs w:val="22"/>
        </w:rPr>
        <w:t xml:space="preserve"> from 2009 to 2011.</w:t>
      </w:r>
    </w:p>
    <w:p w:rsidR="007B3E55" w:rsidRPr="00131E0E" w:rsidRDefault="007B3E55" w:rsidP="00614C04">
      <w:pPr>
        <w:numPr>
          <w:ilvl w:val="0"/>
          <w:numId w:val="87"/>
        </w:numPr>
        <w:tabs>
          <w:tab w:val="clear" w:pos="1260"/>
          <w:tab w:val="num" w:pos="851"/>
          <w:tab w:val="num" w:pos="1134"/>
        </w:tabs>
        <w:spacing w:before="120"/>
        <w:ind w:left="851" w:hanging="284"/>
        <w:jc w:val="both"/>
        <w:rPr>
          <w:rFonts w:cs="Arial"/>
          <w:sz w:val="20"/>
          <w:szCs w:val="22"/>
        </w:rPr>
      </w:pPr>
      <w:r>
        <w:rPr>
          <w:rFonts w:cs="Arial"/>
          <w:sz w:val="20"/>
          <w:szCs w:val="22"/>
        </w:rPr>
        <w:t>O</w:t>
      </w:r>
      <w:r w:rsidRPr="00131E0E">
        <w:rPr>
          <w:rFonts w:cs="Arial"/>
          <w:sz w:val="20"/>
          <w:szCs w:val="22"/>
        </w:rPr>
        <w:t>n the 60% BHC moving line measure, there is an additional factor – the median fell a little from HES 2009 to HES 2011, thus lowering the poverty line a little which if anything would lead to a reduction in measured poverty (there was a slight fall but this is not statistically significant)</w:t>
      </w:r>
      <w:r>
        <w:rPr>
          <w:rFonts w:cs="Arial"/>
          <w:sz w:val="20"/>
          <w:szCs w:val="22"/>
        </w:rPr>
        <w:t>.</w:t>
      </w:r>
    </w:p>
    <w:p w:rsidR="007B3E55" w:rsidRPr="00131E0E" w:rsidRDefault="007B3E55" w:rsidP="00614C04">
      <w:pPr>
        <w:numPr>
          <w:ilvl w:val="0"/>
          <w:numId w:val="87"/>
        </w:numPr>
        <w:tabs>
          <w:tab w:val="clear" w:pos="1260"/>
          <w:tab w:val="num" w:pos="851"/>
        </w:tabs>
        <w:spacing w:before="120"/>
        <w:ind w:left="851" w:hanging="284"/>
        <w:jc w:val="both"/>
        <w:rPr>
          <w:rFonts w:cs="Arial"/>
          <w:sz w:val="20"/>
          <w:szCs w:val="22"/>
        </w:rPr>
      </w:pPr>
      <w:r>
        <w:rPr>
          <w:rFonts w:cs="Arial"/>
          <w:sz w:val="20"/>
          <w:szCs w:val="22"/>
        </w:rPr>
        <w:t>T</w:t>
      </w:r>
      <w:r w:rsidRPr="00131E0E">
        <w:rPr>
          <w:rFonts w:cs="Arial"/>
          <w:sz w:val="20"/>
          <w:szCs w:val="22"/>
        </w:rPr>
        <w:t xml:space="preserve">he impact of the downturn and </w:t>
      </w:r>
      <w:r>
        <w:rPr>
          <w:rFonts w:cs="Arial"/>
          <w:sz w:val="20"/>
          <w:szCs w:val="22"/>
        </w:rPr>
        <w:t>the GFC</w:t>
      </w:r>
      <w:r w:rsidRPr="00131E0E">
        <w:rPr>
          <w:rFonts w:cs="Arial"/>
          <w:sz w:val="20"/>
          <w:szCs w:val="22"/>
        </w:rPr>
        <w:t xml:space="preserve"> on</w:t>
      </w:r>
      <w:r>
        <w:rPr>
          <w:rFonts w:cs="Arial"/>
          <w:sz w:val="20"/>
          <w:szCs w:val="22"/>
        </w:rPr>
        <w:t xml:space="preserve"> incomes of</w:t>
      </w:r>
      <w:r w:rsidRPr="00131E0E">
        <w:rPr>
          <w:rFonts w:cs="Arial"/>
          <w:sz w:val="20"/>
          <w:szCs w:val="22"/>
        </w:rPr>
        <w:t xml:space="preserve"> </w:t>
      </w:r>
      <w:r>
        <w:rPr>
          <w:rFonts w:cs="Arial"/>
          <w:sz w:val="20"/>
          <w:szCs w:val="22"/>
        </w:rPr>
        <w:t xml:space="preserve">low to middle </w:t>
      </w:r>
      <w:r w:rsidRPr="00131E0E">
        <w:rPr>
          <w:rFonts w:cs="Arial"/>
          <w:sz w:val="20"/>
          <w:szCs w:val="22"/>
        </w:rPr>
        <w:t>income</w:t>
      </w:r>
      <w:r>
        <w:rPr>
          <w:rFonts w:cs="Arial"/>
          <w:sz w:val="20"/>
          <w:szCs w:val="22"/>
        </w:rPr>
        <w:t xml:space="preserve"> households</w:t>
      </w:r>
      <w:r w:rsidRPr="00131E0E">
        <w:rPr>
          <w:rFonts w:cs="Arial"/>
          <w:sz w:val="20"/>
          <w:szCs w:val="22"/>
        </w:rPr>
        <w:t xml:space="preserve"> is seen mainly in the fall </w:t>
      </w:r>
      <w:r>
        <w:rPr>
          <w:rFonts w:cs="Arial"/>
          <w:sz w:val="20"/>
          <w:szCs w:val="22"/>
        </w:rPr>
        <w:t xml:space="preserve">of </w:t>
      </w:r>
      <w:r w:rsidRPr="00131E0E">
        <w:rPr>
          <w:rFonts w:cs="Arial"/>
          <w:sz w:val="20"/>
          <w:szCs w:val="22"/>
        </w:rPr>
        <w:t xml:space="preserve">incomes of households in deciles </w:t>
      </w:r>
      <w:r>
        <w:rPr>
          <w:rFonts w:cs="Arial"/>
          <w:sz w:val="20"/>
          <w:szCs w:val="22"/>
        </w:rPr>
        <w:t xml:space="preserve">3 to 6 </w:t>
      </w:r>
      <w:r w:rsidRPr="00131E0E">
        <w:rPr>
          <w:rFonts w:cs="Arial"/>
          <w:sz w:val="20"/>
          <w:szCs w:val="22"/>
        </w:rPr>
        <w:t>–</w:t>
      </w:r>
      <w:r>
        <w:rPr>
          <w:rFonts w:cs="Arial"/>
          <w:sz w:val="20"/>
          <w:szCs w:val="22"/>
        </w:rPr>
        <w:t xml:space="preserve"> ie </w:t>
      </w:r>
      <w:r w:rsidRPr="00131E0E">
        <w:rPr>
          <w:rFonts w:cs="Arial"/>
          <w:sz w:val="20"/>
          <w:szCs w:val="22"/>
        </w:rPr>
        <w:t>those with low to middle incomes</w:t>
      </w:r>
      <w:r>
        <w:rPr>
          <w:rFonts w:cs="Arial"/>
          <w:sz w:val="20"/>
          <w:szCs w:val="22"/>
        </w:rPr>
        <w:t xml:space="preserve"> </w:t>
      </w:r>
      <w:r w:rsidRPr="00F037B0">
        <w:rPr>
          <w:rFonts w:cs="Arial"/>
          <w:b/>
          <w:sz w:val="20"/>
          <w:szCs w:val="22"/>
          <w:u w:val="single"/>
        </w:rPr>
        <w:t>above</w:t>
      </w:r>
      <w:r w:rsidRPr="00131E0E">
        <w:rPr>
          <w:rFonts w:cs="Arial"/>
          <w:sz w:val="20"/>
          <w:szCs w:val="22"/>
        </w:rPr>
        <w:t xml:space="preserve"> the </w:t>
      </w:r>
      <w:r>
        <w:rPr>
          <w:rFonts w:cs="Arial"/>
          <w:sz w:val="20"/>
          <w:szCs w:val="22"/>
        </w:rPr>
        <w:t xml:space="preserve">60% </w:t>
      </w:r>
      <w:r w:rsidRPr="00131E0E">
        <w:rPr>
          <w:rFonts w:cs="Arial"/>
          <w:sz w:val="20"/>
          <w:szCs w:val="22"/>
        </w:rPr>
        <w:t>poverty line</w:t>
      </w:r>
      <w:r>
        <w:rPr>
          <w:rFonts w:cs="Arial"/>
          <w:sz w:val="20"/>
          <w:szCs w:val="22"/>
        </w:rPr>
        <w:t xml:space="preserve"> threshold.</w:t>
      </w:r>
    </w:p>
    <w:p w:rsidR="007B3E55" w:rsidRDefault="007B3E55" w:rsidP="007B3E55">
      <w:pPr>
        <w:ind w:left="360" w:hanging="360"/>
        <w:jc w:val="both"/>
        <w:rPr>
          <w:rFonts w:cs="Arial"/>
          <w:b/>
          <w:sz w:val="20"/>
        </w:rPr>
      </w:pPr>
      <w:r>
        <w:rPr>
          <w:sz w:val="20"/>
          <w:szCs w:val="22"/>
        </w:rPr>
        <w:br w:type="page"/>
      </w:r>
      <w:r>
        <w:rPr>
          <w:rFonts w:cs="Arial"/>
          <w:b/>
          <w:sz w:val="20"/>
        </w:rPr>
        <w:lastRenderedPageBreak/>
        <w:t>1</w:t>
      </w:r>
      <w:r w:rsidR="008319E2">
        <w:rPr>
          <w:rFonts w:cs="Arial"/>
          <w:b/>
          <w:sz w:val="20"/>
        </w:rPr>
        <w:t>1</w:t>
      </w:r>
      <w:r>
        <w:rPr>
          <w:rFonts w:cs="Arial"/>
          <w:b/>
          <w:sz w:val="20"/>
        </w:rPr>
        <w:tab/>
        <w:t xml:space="preserve">Population poverty rates in </w:t>
      </w:r>
      <w:r w:rsidR="00D84374">
        <w:rPr>
          <w:rFonts w:cs="Arial"/>
          <w:b/>
          <w:sz w:val="20"/>
        </w:rPr>
        <w:t>2010-11 HES</w:t>
      </w:r>
      <w:r>
        <w:rPr>
          <w:rFonts w:cs="Arial"/>
          <w:b/>
          <w:sz w:val="20"/>
        </w:rPr>
        <w:t xml:space="preserve"> were much the same as in the previous two years using the fixed line AHC measure (16%), the 60% AHC moving line measure (19%), and the more stringent 50% AHC moving line measure (13%).   </w:t>
      </w:r>
    </w:p>
    <w:p w:rsidR="007B3E55" w:rsidRDefault="007B3E55" w:rsidP="007B3E55">
      <w:pPr>
        <w:ind w:left="360" w:hanging="360"/>
        <w:jc w:val="both"/>
        <w:rPr>
          <w:rFonts w:cs="Arial"/>
          <w:b/>
          <w:sz w:val="20"/>
        </w:rPr>
      </w:pPr>
    </w:p>
    <w:p w:rsidR="007B3E55" w:rsidRDefault="007B3E55" w:rsidP="007B3E55">
      <w:pPr>
        <w:numPr>
          <w:ilvl w:val="0"/>
          <w:numId w:val="16"/>
        </w:numPr>
        <w:tabs>
          <w:tab w:val="clear" w:pos="1080"/>
          <w:tab w:val="num" w:pos="900"/>
        </w:tabs>
        <w:ind w:left="896" w:hanging="357"/>
        <w:jc w:val="both"/>
        <w:rPr>
          <w:rFonts w:cs="Arial"/>
          <w:sz w:val="20"/>
        </w:rPr>
      </w:pPr>
      <w:r>
        <w:rPr>
          <w:rFonts w:cs="Arial"/>
          <w:sz w:val="20"/>
        </w:rPr>
        <w:t xml:space="preserve">Trends using fixed and </w:t>
      </w:r>
      <w:r w:rsidRPr="000370BC">
        <w:rPr>
          <w:rFonts w:cs="Arial"/>
          <w:sz w:val="20"/>
        </w:rPr>
        <w:t>moving line measure</w:t>
      </w:r>
      <w:r>
        <w:rPr>
          <w:rFonts w:cs="Arial"/>
          <w:sz w:val="20"/>
        </w:rPr>
        <w:t>s reflect</w:t>
      </w:r>
      <w:r w:rsidRPr="000370BC">
        <w:rPr>
          <w:rFonts w:cs="Arial"/>
          <w:sz w:val="20"/>
        </w:rPr>
        <w:t xml:space="preserve"> different notion</w:t>
      </w:r>
      <w:r>
        <w:rPr>
          <w:rFonts w:cs="Arial"/>
          <w:sz w:val="20"/>
        </w:rPr>
        <w:t>s</w:t>
      </w:r>
      <w:r w:rsidRPr="000370BC">
        <w:rPr>
          <w:rFonts w:cs="Arial"/>
          <w:sz w:val="20"/>
        </w:rPr>
        <w:t xml:space="preserve"> of poverty</w:t>
      </w:r>
      <w:r>
        <w:rPr>
          <w:rFonts w:cs="Arial"/>
          <w:sz w:val="20"/>
        </w:rPr>
        <w:t>:</w:t>
      </w:r>
      <w:r w:rsidR="008125E3">
        <w:rPr>
          <w:rFonts w:cs="Arial"/>
          <w:sz w:val="20"/>
        </w:rPr>
        <w:t xml:space="preserve"> </w:t>
      </w:r>
      <w:r w:rsidRPr="000370BC">
        <w:rPr>
          <w:rFonts w:cs="Arial"/>
          <w:sz w:val="20"/>
        </w:rPr>
        <w:t xml:space="preserve">for the </w:t>
      </w:r>
      <w:r>
        <w:rPr>
          <w:rFonts w:cs="Arial"/>
          <w:sz w:val="20"/>
        </w:rPr>
        <w:t xml:space="preserve">fixed line measure, the focus is on how low-income households are faring relative to a fixed benchmark, whereas for the </w:t>
      </w:r>
      <w:r w:rsidRPr="000370BC">
        <w:rPr>
          <w:rFonts w:cs="Arial"/>
          <w:sz w:val="20"/>
        </w:rPr>
        <w:t xml:space="preserve">moving line measure the focus is on how well low-income </w:t>
      </w:r>
      <w:r>
        <w:rPr>
          <w:rFonts w:cs="Arial"/>
          <w:sz w:val="20"/>
        </w:rPr>
        <w:t>households</w:t>
      </w:r>
      <w:r w:rsidRPr="000370BC">
        <w:rPr>
          <w:rFonts w:cs="Arial"/>
          <w:sz w:val="20"/>
        </w:rPr>
        <w:t xml:space="preserve"> are faring relative to the median </w:t>
      </w:r>
      <w:r>
        <w:rPr>
          <w:rFonts w:cs="Arial"/>
          <w:sz w:val="20"/>
        </w:rPr>
        <w:t>or middle household.</w:t>
      </w:r>
    </w:p>
    <w:p w:rsidR="007B3E55" w:rsidRPr="000370BC" w:rsidRDefault="007B3E55" w:rsidP="007B3E55">
      <w:pPr>
        <w:numPr>
          <w:ilvl w:val="0"/>
          <w:numId w:val="16"/>
        </w:numPr>
        <w:tabs>
          <w:tab w:val="clear" w:pos="1080"/>
          <w:tab w:val="num" w:pos="900"/>
        </w:tabs>
        <w:spacing w:before="120"/>
        <w:ind w:left="900"/>
        <w:jc w:val="both"/>
        <w:rPr>
          <w:rFonts w:cs="Arial"/>
          <w:sz w:val="20"/>
        </w:rPr>
      </w:pPr>
      <w:r w:rsidRPr="00D0358F">
        <w:rPr>
          <w:rFonts w:cs="Arial"/>
          <w:sz w:val="20"/>
          <w:u w:val="single"/>
        </w:rPr>
        <w:t xml:space="preserve">Using the </w:t>
      </w:r>
      <w:smartTag w:uri="urn:schemas-microsoft-com:office:smarttags" w:element="stockticker">
        <w:r w:rsidRPr="00D0358F">
          <w:rPr>
            <w:rFonts w:cs="Arial"/>
            <w:sz w:val="20"/>
            <w:u w:val="single"/>
          </w:rPr>
          <w:t>AHC</w:t>
        </w:r>
      </w:smartTag>
      <w:r w:rsidRPr="00D0358F">
        <w:rPr>
          <w:rFonts w:cs="Arial"/>
          <w:sz w:val="20"/>
          <w:u w:val="single"/>
        </w:rPr>
        <w:t xml:space="preserve"> fixed line measure</w:t>
      </w:r>
      <w:r w:rsidRPr="000370BC">
        <w:rPr>
          <w:rFonts w:cs="Arial"/>
          <w:sz w:val="20"/>
        </w:rPr>
        <w:t xml:space="preserve"> (60% of median</w:t>
      </w:r>
      <w:r>
        <w:rPr>
          <w:rFonts w:cs="Arial"/>
          <w:sz w:val="20"/>
        </w:rPr>
        <w:t>, 2007 reference year</w:t>
      </w:r>
      <w:r w:rsidRPr="000370BC">
        <w:rPr>
          <w:rFonts w:cs="Arial"/>
          <w:sz w:val="20"/>
        </w:rPr>
        <w:t xml:space="preserve">), the </w:t>
      </w:r>
      <w:r w:rsidR="008125E3">
        <w:rPr>
          <w:rFonts w:cs="Arial"/>
          <w:sz w:val="20"/>
        </w:rPr>
        <w:t xml:space="preserve">population </w:t>
      </w:r>
      <w:r w:rsidRPr="000370BC">
        <w:rPr>
          <w:rFonts w:cs="Arial"/>
          <w:sz w:val="20"/>
        </w:rPr>
        <w:t xml:space="preserve">poverty rate fell from 2007 (18%) to 2009 (15%), continuing the downward trend that began </w:t>
      </w:r>
      <w:r>
        <w:rPr>
          <w:rFonts w:cs="Arial"/>
          <w:sz w:val="20"/>
        </w:rPr>
        <w:t xml:space="preserve">from 1994.  </w:t>
      </w:r>
      <w:r w:rsidR="00F12FD0">
        <w:rPr>
          <w:rFonts w:cs="Arial"/>
          <w:sz w:val="20"/>
        </w:rPr>
        <w:t>The rate flattened out at 15-16%</w:t>
      </w:r>
      <w:r>
        <w:rPr>
          <w:rFonts w:cs="Arial"/>
          <w:sz w:val="20"/>
        </w:rPr>
        <w:t xml:space="preserve"> from 2009 to </w:t>
      </w:r>
      <w:r w:rsidR="00F12FD0">
        <w:rPr>
          <w:rFonts w:cs="Arial"/>
          <w:sz w:val="20"/>
        </w:rPr>
        <w:t>2011.</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The</w:t>
      </w:r>
      <w:r w:rsidRPr="000370BC">
        <w:rPr>
          <w:rFonts w:cs="Arial"/>
          <w:sz w:val="20"/>
        </w:rPr>
        <w:t xml:space="preserve"> </w:t>
      </w:r>
      <w:r>
        <w:rPr>
          <w:rFonts w:cs="Arial"/>
          <w:sz w:val="20"/>
        </w:rPr>
        <w:t xml:space="preserve">lower rates from 2009 to 2011 </w:t>
      </w:r>
      <w:r w:rsidRPr="000370BC">
        <w:rPr>
          <w:rFonts w:cs="Arial"/>
          <w:sz w:val="20"/>
        </w:rPr>
        <w:t xml:space="preserve">using the fixed line measure </w:t>
      </w:r>
      <w:r w:rsidR="00F12FD0">
        <w:rPr>
          <w:rFonts w:cs="Arial"/>
          <w:sz w:val="20"/>
        </w:rPr>
        <w:t>reflect the fact</w:t>
      </w:r>
      <w:r w:rsidRPr="000370BC">
        <w:rPr>
          <w:rFonts w:cs="Arial"/>
          <w:sz w:val="20"/>
        </w:rPr>
        <w:t xml:space="preserve"> that average </w:t>
      </w:r>
      <w:smartTag w:uri="urn:schemas-microsoft-com:office:smarttags" w:element="stockticker">
        <w:r w:rsidRPr="000370BC">
          <w:rPr>
            <w:rFonts w:cs="Arial"/>
            <w:sz w:val="20"/>
          </w:rPr>
          <w:t>AHC</w:t>
        </w:r>
      </w:smartTag>
      <w:r w:rsidRPr="000370BC">
        <w:rPr>
          <w:rFonts w:cs="Arial"/>
          <w:sz w:val="20"/>
        </w:rPr>
        <w:t xml:space="preserve"> income for low-income households </w:t>
      </w:r>
      <w:r>
        <w:rPr>
          <w:rFonts w:cs="Arial"/>
          <w:sz w:val="20"/>
        </w:rPr>
        <w:t>was</w:t>
      </w:r>
      <w:r w:rsidRPr="000370BC">
        <w:rPr>
          <w:rFonts w:cs="Arial"/>
          <w:sz w:val="20"/>
        </w:rPr>
        <w:t xml:space="preserve"> higher in real terms in </w:t>
      </w:r>
      <w:r>
        <w:rPr>
          <w:rFonts w:cs="Arial"/>
          <w:sz w:val="20"/>
        </w:rPr>
        <w:t>2009 to 2011</w:t>
      </w:r>
      <w:r w:rsidRPr="000370BC">
        <w:rPr>
          <w:rFonts w:cs="Arial"/>
          <w:sz w:val="20"/>
        </w:rPr>
        <w:t xml:space="preserve"> than in 2007</w:t>
      </w:r>
      <w:r>
        <w:rPr>
          <w:rFonts w:cs="Arial"/>
          <w:sz w:val="20"/>
        </w:rPr>
        <w:t xml:space="preserve"> and earlier years.  The plateauing of the rate at 15-16% from 2009 to 2011 </w:t>
      </w:r>
      <w:r w:rsidR="00F12FD0">
        <w:rPr>
          <w:rFonts w:cs="Arial"/>
          <w:sz w:val="20"/>
        </w:rPr>
        <w:t>reflects the fact</w:t>
      </w:r>
      <w:r>
        <w:rPr>
          <w:rFonts w:cs="Arial"/>
          <w:sz w:val="20"/>
        </w:rPr>
        <w:t xml:space="preserve"> that there was no net improvement in average low incomes in that period, </w:t>
      </w:r>
      <w:r w:rsidR="00F12FD0">
        <w:rPr>
          <w:rFonts w:cs="Arial"/>
          <w:sz w:val="20"/>
        </w:rPr>
        <w:t>a consequence of</w:t>
      </w:r>
      <w:r>
        <w:rPr>
          <w:rFonts w:cs="Arial"/>
          <w:sz w:val="20"/>
        </w:rPr>
        <w:t xml:space="preserve"> the impact of both the economic downturn (no net improvement in AHC incomes) and the</w:t>
      </w:r>
      <w:r w:rsidR="00F12FD0">
        <w:rPr>
          <w:rFonts w:cs="Arial"/>
          <w:sz w:val="20"/>
        </w:rPr>
        <w:t xml:space="preserve"> protection from the</w:t>
      </w:r>
      <w:r>
        <w:rPr>
          <w:rFonts w:cs="Arial"/>
          <w:sz w:val="20"/>
        </w:rPr>
        <w:t xml:space="preserve"> income support system for those</w:t>
      </w:r>
      <w:r w:rsidR="00F12FD0">
        <w:rPr>
          <w:rFonts w:cs="Arial"/>
          <w:sz w:val="20"/>
        </w:rPr>
        <w:t xml:space="preserve"> in low-paid jobs or</w:t>
      </w:r>
      <w:r>
        <w:rPr>
          <w:rFonts w:cs="Arial"/>
          <w:sz w:val="20"/>
        </w:rPr>
        <w:t xml:space="preserve"> not in paid employment</w:t>
      </w:r>
      <w:r w:rsidR="00F12FD0">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H</w:t>
      </w:r>
      <w:r w:rsidRPr="000370BC">
        <w:rPr>
          <w:rFonts w:cs="Arial"/>
          <w:sz w:val="20"/>
        </w:rPr>
        <w:t xml:space="preserve">ousing costs </w:t>
      </w:r>
      <w:r w:rsidR="00F12FD0">
        <w:rPr>
          <w:rFonts w:cs="Arial"/>
          <w:sz w:val="20"/>
        </w:rPr>
        <w:t>accounted</w:t>
      </w:r>
      <w:r w:rsidRPr="000370BC">
        <w:rPr>
          <w:rFonts w:cs="Arial"/>
          <w:sz w:val="20"/>
        </w:rPr>
        <w:t xml:space="preserve"> </w:t>
      </w:r>
      <w:r>
        <w:rPr>
          <w:rFonts w:cs="Arial"/>
          <w:sz w:val="20"/>
        </w:rPr>
        <w:t xml:space="preserve">on average </w:t>
      </w:r>
      <w:r w:rsidR="00F12FD0">
        <w:rPr>
          <w:rFonts w:cs="Arial"/>
          <w:sz w:val="20"/>
        </w:rPr>
        <w:t xml:space="preserve">for </w:t>
      </w:r>
      <w:r w:rsidRPr="000370BC">
        <w:rPr>
          <w:rFonts w:cs="Arial"/>
          <w:sz w:val="20"/>
        </w:rPr>
        <w:t xml:space="preserve">a much greater proportion of </w:t>
      </w:r>
      <w:r>
        <w:rPr>
          <w:rFonts w:cs="Arial"/>
          <w:sz w:val="20"/>
        </w:rPr>
        <w:t>household</w:t>
      </w:r>
      <w:r w:rsidRPr="000370BC">
        <w:rPr>
          <w:rFonts w:cs="Arial"/>
          <w:sz w:val="20"/>
        </w:rPr>
        <w:t xml:space="preserve"> income for low</w:t>
      </w:r>
      <w:r>
        <w:rPr>
          <w:rFonts w:cs="Arial"/>
          <w:sz w:val="20"/>
        </w:rPr>
        <w:t>-</w:t>
      </w:r>
      <w:r w:rsidRPr="000370BC">
        <w:rPr>
          <w:rFonts w:cs="Arial"/>
          <w:sz w:val="20"/>
        </w:rPr>
        <w:t>income HHs in 20</w:t>
      </w:r>
      <w:r>
        <w:rPr>
          <w:rFonts w:cs="Arial"/>
          <w:sz w:val="20"/>
        </w:rPr>
        <w:t>11</w:t>
      </w:r>
      <w:r w:rsidRPr="000370BC">
        <w:rPr>
          <w:rFonts w:cs="Arial"/>
          <w:sz w:val="20"/>
        </w:rPr>
        <w:t xml:space="preserve"> than in </w:t>
      </w:r>
      <w:r w:rsidR="00F12FD0">
        <w:rPr>
          <w:rFonts w:cs="Arial"/>
          <w:sz w:val="20"/>
        </w:rPr>
        <w:t xml:space="preserve">the </w:t>
      </w:r>
      <w:r w:rsidRPr="000370BC">
        <w:rPr>
          <w:rFonts w:cs="Arial"/>
          <w:sz w:val="20"/>
        </w:rPr>
        <w:t>198</w:t>
      </w:r>
      <w:r>
        <w:rPr>
          <w:rFonts w:cs="Arial"/>
          <w:sz w:val="20"/>
        </w:rPr>
        <w:t xml:space="preserve">0s.  This </w:t>
      </w:r>
      <w:r w:rsidRPr="000370BC">
        <w:rPr>
          <w:rFonts w:cs="Arial"/>
          <w:sz w:val="20"/>
        </w:rPr>
        <w:t xml:space="preserve">increase cancelled out the gains in </w:t>
      </w:r>
      <w:smartTag w:uri="urn:schemas-microsoft-com:office:smarttags" w:element="stockticker">
        <w:r w:rsidRPr="000370BC">
          <w:rPr>
            <w:rFonts w:cs="Arial"/>
            <w:sz w:val="20"/>
          </w:rPr>
          <w:t>BHC</w:t>
        </w:r>
      </w:smartTag>
      <w:r w:rsidRPr="000370BC">
        <w:rPr>
          <w:rFonts w:cs="Arial"/>
          <w:sz w:val="20"/>
        </w:rPr>
        <w:t xml:space="preserve"> incomes for low-income </w:t>
      </w:r>
      <w:r>
        <w:rPr>
          <w:rFonts w:cs="Arial"/>
          <w:sz w:val="20"/>
        </w:rPr>
        <w:t>households</w:t>
      </w:r>
      <w:r w:rsidRPr="000370BC">
        <w:rPr>
          <w:rFonts w:cs="Arial"/>
          <w:sz w:val="20"/>
        </w:rPr>
        <w:t xml:space="preserve">, leaving </w:t>
      </w:r>
      <w:r>
        <w:rPr>
          <w:rFonts w:cs="Arial"/>
          <w:sz w:val="20"/>
        </w:rPr>
        <w:t>AHC incomes for low-income households much the same in real terms in 2011 as in the 1980s.</w:t>
      </w:r>
    </w:p>
    <w:p w:rsidR="007B3E55" w:rsidRPr="000370BC" w:rsidRDefault="007B3E55" w:rsidP="007B3E55">
      <w:pPr>
        <w:numPr>
          <w:ilvl w:val="0"/>
          <w:numId w:val="16"/>
        </w:numPr>
        <w:tabs>
          <w:tab w:val="clear" w:pos="1080"/>
          <w:tab w:val="num" w:pos="900"/>
        </w:tabs>
        <w:spacing w:before="120"/>
        <w:ind w:left="900"/>
        <w:jc w:val="both"/>
        <w:rPr>
          <w:rFonts w:cs="Arial"/>
          <w:sz w:val="20"/>
        </w:rPr>
      </w:pPr>
      <w:r w:rsidRPr="00D0358F">
        <w:rPr>
          <w:rFonts w:cs="Arial"/>
          <w:sz w:val="20"/>
          <w:u w:val="single"/>
        </w:rPr>
        <w:t xml:space="preserve">Using the </w:t>
      </w:r>
      <w:r>
        <w:rPr>
          <w:rFonts w:cs="Arial"/>
          <w:sz w:val="20"/>
          <w:u w:val="single"/>
        </w:rPr>
        <w:t xml:space="preserve">60% of median </w:t>
      </w:r>
      <w:r w:rsidRPr="00D0358F">
        <w:rPr>
          <w:rFonts w:cs="Arial"/>
          <w:sz w:val="20"/>
          <w:u w:val="single"/>
        </w:rPr>
        <w:t>AHC moving line measure</w:t>
      </w:r>
      <w:r w:rsidRPr="000370BC">
        <w:rPr>
          <w:rFonts w:cs="Arial"/>
          <w:sz w:val="20"/>
        </w:rPr>
        <w:t>, the population poverty rate remained steady at 18</w:t>
      </w:r>
      <w:r>
        <w:rPr>
          <w:rFonts w:cs="Arial"/>
          <w:sz w:val="20"/>
        </w:rPr>
        <w:t>-19</w:t>
      </w:r>
      <w:r w:rsidRPr="000370BC">
        <w:rPr>
          <w:rFonts w:cs="Arial"/>
          <w:sz w:val="20"/>
        </w:rPr>
        <w:t>% from 2007 to 20</w:t>
      </w:r>
      <w:r>
        <w:rPr>
          <w:rFonts w:cs="Arial"/>
          <w:sz w:val="20"/>
        </w:rPr>
        <w:t>11</w:t>
      </w:r>
      <w:r w:rsidRPr="000370BC">
        <w:rPr>
          <w:rFonts w:cs="Arial"/>
          <w:sz w:val="20"/>
        </w:rPr>
        <w:t xml:space="preserve">, much the same as it was through the mid 1990s, but double what it was in </w:t>
      </w:r>
      <w:r>
        <w:rPr>
          <w:rFonts w:cs="Arial"/>
          <w:sz w:val="20"/>
        </w:rPr>
        <w:t>the mid 1980s</w:t>
      </w:r>
      <w:r w:rsidRPr="000370BC">
        <w:rPr>
          <w:rFonts w:cs="Arial"/>
          <w:sz w:val="20"/>
        </w:rPr>
        <w:t xml:space="preserve"> (9%)</w:t>
      </w:r>
      <w:r>
        <w:rPr>
          <w:rFonts w:cs="Arial"/>
          <w:sz w:val="20"/>
        </w:rPr>
        <w:t>.  The more stringent 50% of median AHC measure shows a similar long-run change:  steady at around 13% from the mid 1990s to 2011, double the rate of the mid 1980s (6%).</w:t>
      </w:r>
    </w:p>
    <w:p w:rsidR="00E5533B" w:rsidRPr="00305465" w:rsidRDefault="007B3E55" w:rsidP="008125E3">
      <w:pPr>
        <w:numPr>
          <w:ilvl w:val="0"/>
          <w:numId w:val="16"/>
        </w:numPr>
        <w:tabs>
          <w:tab w:val="clear" w:pos="1080"/>
          <w:tab w:val="num" w:pos="900"/>
        </w:tabs>
        <w:spacing w:before="120"/>
        <w:ind w:left="900"/>
        <w:jc w:val="both"/>
        <w:rPr>
          <w:rFonts w:cs="Arial"/>
          <w:sz w:val="20"/>
        </w:rPr>
      </w:pPr>
      <w:r>
        <w:rPr>
          <w:rFonts w:cs="Arial"/>
          <w:sz w:val="20"/>
        </w:rPr>
        <w:t xml:space="preserve">Moving line AHC poverty rates remained steady from 1994 to 2011 because </w:t>
      </w:r>
      <w:r w:rsidRPr="000370BC">
        <w:rPr>
          <w:rFonts w:cs="Arial"/>
          <w:sz w:val="20"/>
        </w:rPr>
        <w:t xml:space="preserve">AHC incomes for low-income </w:t>
      </w:r>
      <w:r>
        <w:rPr>
          <w:rFonts w:cs="Arial"/>
          <w:sz w:val="20"/>
        </w:rPr>
        <w:t>households</w:t>
      </w:r>
      <w:r w:rsidRPr="000370BC">
        <w:rPr>
          <w:rFonts w:cs="Arial"/>
          <w:sz w:val="20"/>
        </w:rPr>
        <w:t xml:space="preserve"> </w:t>
      </w:r>
      <w:r>
        <w:rPr>
          <w:rFonts w:cs="Arial"/>
          <w:sz w:val="20"/>
        </w:rPr>
        <w:t>changed</w:t>
      </w:r>
      <w:r w:rsidRPr="000370BC">
        <w:rPr>
          <w:rFonts w:cs="Arial"/>
          <w:sz w:val="20"/>
        </w:rPr>
        <w:t xml:space="preserve"> at about the same rate as the </w:t>
      </w:r>
      <w:r>
        <w:rPr>
          <w:rFonts w:cs="Arial"/>
          <w:sz w:val="20"/>
        </w:rPr>
        <w:t>change in the median.</w:t>
      </w:r>
    </w:p>
    <w:p w:rsidR="00AC05B0" w:rsidRDefault="00AC05B0" w:rsidP="007B3E55">
      <w:pPr>
        <w:ind w:left="360"/>
        <w:jc w:val="center"/>
        <w:rPr>
          <w:rFonts w:cs="Arial"/>
          <w:b/>
          <w:sz w:val="18"/>
          <w:szCs w:val="18"/>
        </w:rPr>
      </w:pPr>
    </w:p>
    <w:p w:rsidR="007B3E55" w:rsidRPr="00AB5AA5" w:rsidRDefault="007B3E55" w:rsidP="007B3E55">
      <w:pPr>
        <w:ind w:left="360"/>
        <w:jc w:val="center"/>
        <w:rPr>
          <w:rFonts w:cs="Arial"/>
          <w:sz w:val="20"/>
        </w:rPr>
      </w:pPr>
      <w:r w:rsidRPr="000370BC">
        <w:rPr>
          <w:rFonts w:cs="Arial"/>
          <w:b/>
          <w:sz w:val="18"/>
          <w:szCs w:val="18"/>
        </w:rPr>
        <w:t>Table S.1:</w:t>
      </w:r>
    </w:p>
    <w:p w:rsidR="007B3E55" w:rsidRPr="00901CD3" w:rsidRDefault="007B3E55" w:rsidP="007B3E55">
      <w:pPr>
        <w:spacing w:after="120"/>
        <w:ind w:left="360"/>
        <w:jc w:val="center"/>
        <w:rPr>
          <w:rFonts w:cs="Arial"/>
          <w:b/>
          <w:sz w:val="18"/>
          <w:szCs w:val="18"/>
        </w:rPr>
      </w:pPr>
      <w:r w:rsidRPr="000370BC">
        <w:rPr>
          <w:rFonts w:cs="Arial"/>
          <w:b/>
          <w:sz w:val="18"/>
          <w:szCs w:val="18"/>
        </w:rPr>
        <w:t>Population poverty rates (%) on four measures</w:t>
      </w:r>
    </w:p>
    <w:tbl>
      <w:tblPr>
        <w:tblStyle w:val="TableGrid"/>
        <w:tblW w:w="0" w:type="auto"/>
        <w:jc w:val="center"/>
        <w:tblInd w:w="264" w:type="dxa"/>
        <w:tblLook w:val="01E0"/>
      </w:tblPr>
      <w:tblGrid>
        <w:gridCol w:w="706"/>
        <w:gridCol w:w="1326"/>
        <w:gridCol w:w="1440"/>
        <w:gridCol w:w="1350"/>
        <w:gridCol w:w="1614"/>
      </w:tblGrid>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p>
        </w:tc>
        <w:tc>
          <w:tcPr>
            <w:tcW w:w="4116" w:type="dxa"/>
            <w:gridSpan w:val="3"/>
            <w:vAlign w:val="center"/>
          </w:tcPr>
          <w:p w:rsidR="007B3E55" w:rsidRPr="007016E9" w:rsidRDefault="007B3E55" w:rsidP="00614C04">
            <w:pPr>
              <w:spacing w:before="40" w:after="40"/>
              <w:jc w:val="center"/>
              <w:rPr>
                <w:rFonts w:cs="Arial"/>
                <w:b/>
                <w:sz w:val="16"/>
                <w:szCs w:val="16"/>
              </w:rPr>
            </w:pPr>
            <w:smartTag w:uri="urn:schemas-microsoft-com:office:smarttags" w:element="stockticker">
              <w:r w:rsidRPr="007016E9">
                <w:rPr>
                  <w:rFonts w:cs="Arial"/>
                  <w:b/>
                  <w:sz w:val="16"/>
                  <w:szCs w:val="16"/>
                </w:rPr>
                <w:t>AHC</w:t>
              </w:r>
            </w:smartTag>
          </w:p>
        </w:tc>
        <w:tc>
          <w:tcPr>
            <w:tcW w:w="1614" w:type="dxa"/>
            <w:vAlign w:val="center"/>
          </w:tcPr>
          <w:p w:rsidR="007B3E55" w:rsidRPr="007016E9" w:rsidRDefault="007B3E55" w:rsidP="00614C04">
            <w:pPr>
              <w:spacing w:before="40" w:after="40"/>
              <w:jc w:val="center"/>
              <w:rPr>
                <w:rFonts w:cs="Arial"/>
                <w:b/>
                <w:sz w:val="16"/>
                <w:szCs w:val="16"/>
              </w:rPr>
            </w:pPr>
            <w:smartTag w:uri="urn:schemas-microsoft-com:office:smarttags" w:element="stockticker">
              <w:r w:rsidRPr="007016E9">
                <w:rPr>
                  <w:rFonts w:cs="Arial"/>
                  <w:b/>
                  <w:sz w:val="16"/>
                  <w:szCs w:val="16"/>
                </w:rPr>
                <w:t>BHC</w:t>
              </w:r>
            </w:smartTag>
          </w:p>
        </w:tc>
      </w:tr>
      <w:tr w:rsidR="007B3E55" w:rsidRPr="000370BC">
        <w:trPr>
          <w:jc w:val="center"/>
        </w:trPr>
        <w:tc>
          <w:tcPr>
            <w:tcW w:w="706" w:type="dxa"/>
            <w:tcMar>
              <w:left w:w="29" w:type="dxa"/>
              <w:right w:w="29" w:type="dxa"/>
            </w:tcMar>
            <w:vAlign w:val="center"/>
          </w:tcPr>
          <w:p w:rsidR="007B3E55" w:rsidRPr="007016E9" w:rsidRDefault="007B3E55" w:rsidP="00614C04">
            <w:pPr>
              <w:spacing w:before="40" w:after="40"/>
              <w:jc w:val="center"/>
              <w:rPr>
                <w:rFonts w:cs="Arial"/>
                <w:sz w:val="16"/>
                <w:szCs w:val="16"/>
              </w:rPr>
            </w:pPr>
          </w:p>
        </w:tc>
        <w:tc>
          <w:tcPr>
            <w:tcW w:w="1326" w:type="dxa"/>
            <w:shd w:val="clear" w:color="auto" w:fill="E0E0E0"/>
            <w:tcMar>
              <w:left w:w="29" w:type="dxa"/>
              <w:right w:w="29" w:type="dxa"/>
            </w:tcMar>
            <w:vAlign w:val="center"/>
          </w:tcPr>
          <w:p w:rsidR="007B3E55" w:rsidRPr="007016E9" w:rsidRDefault="007B3E55" w:rsidP="00614C04">
            <w:pPr>
              <w:spacing w:before="40" w:after="40"/>
              <w:jc w:val="center"/>
              <w:rPr>
                <w:rFonts w:cs="Arial"/>
                <w:sz w:val="16"/>
                <w:szCs w:val="16"/>
              </w:rPr>
            </w:pPr>
            <w:smartTag w:uri="urn:schemas-microsoft-com:office:smarttags" w:element="stockticker">
              <w:r w:rsidRPr="007016E9">
                <w:rPr>
                  <w:rFonts w:cs="Arial"/>
                  <w:sz w:val="16"/>
                  <w:szCs w:val="16"/>
                </w:rPr>
                <w:t>AHC</w:t>
              </w:r>
            </w:smartTag>
            <w:r w:rsidRPr="007016E9">
              <w:rPr>
                <w:rFonts w:cs="Arial"/>
                <w:sz w:val="16"/>
                <w:szCs w:val="16"/>
              </w:rPr>
              <w:t xml:space="preserve"> ‘fixed line’ 60%</w:t>
            </w:r>
          </w:p>
        </w:tc>
        <w:tc>
          <w:tcPr>
            <w:tcW w:w="1440" w:type="dxa"/>
            <w:tcMar>
              <w:left w:w="29" w:type="dxa"/>
              <w:right w:w="29" w:type="dxa"/>
            </w:tcMar>
            <w:vAlign w:val="center"/>
          </w:tcPr>
          <w:p w:rsidR="007B3E55" w:rsidRPr="007016E9" w:rsidRDefault="007B3E55" w:rsidP="00614C04">
            <w:pPr>
              <w:spacing w:before="40" w:after="40"/>
              <w:jc w:val="center"/>
              <w:rPr>
                <w:rFonts w:cs="Arial"/>
                <w:sz w:val="16"/>
                <w:szCs w:val="16"/>
              </w:rPr>
            </w:pPr>
            <w:smartTag w:uri="urn:schemas-microsoft-com:office:smarttags" w:element="stockticker">
              <w:r w:rsidRPr="007016E9">
                <w:rPr>
                  <w:rFonts w:cs="Arial"/>
                  <w:sz w:val="16"/>
                  <w:szCs w:val="16"/>
                </w:rPr>
                <w:t>AHC</w:t>
              </w:r>
            </w:smartTag>
            <w:r w:rsidRPr="007016E9">
              <w:rPr>
                <w:rFonts w:cs="Arial"/>
                <w:sz w:val="16"/>
                <w:szCs w:val="16"/>
              </w:rPr>
              <w:t xml:space="preserve"> ‘moving line’ 60%</w:t>
            </w:r>
          </w:p>
        </w:tc>
        <w:tc>
          <w:tcPr>
            <w:tcW w:w="1350" w:type="dxa"/>
            <w:tcMar>
              <w:left w:w="29" w:type="dxa"/>
              <w:right w:w="29" w:type="dxa"/>
            </w:tcMar>
            <w:vAlign w:val="center"/>
          </w:tcPr>
          <w:p w:rsidR="007B3E55" w:rsidRPr="007016E9" w:rsidRDefault="007B3E55" w:rsidP="00614C04">
            <w:pPr>
              <w:spacing w:before="40" w:after="40"/>
              <w:jc w:val="center"/>
              <w:rPr>
                <w:rFonts w:cs="Arial"/>
                <w:sz w:val="16"/>
                <w:szCs w:val="16"/>
              </w:rPr>
            </w:pPr>
            <w:smartTag w:uri="urn:schemas-microsoft-com:office:smarttags" w:element="stockticker">
              <w:r w:rsidRPr="007016E9">
                <w:rPr>
                  <w:rFonts w:cs="Arial"/>
                  <w:sz w:val="16"/>
                  <w:szCs w:val="16"/>
                </w:rPr>
                <w:t>AHC</w:t>
              </w:r>
            </w:smartTag>
            <w:r w:rsidRPr="007016E9">
              <w:rPr>
                <w:rFonts w:cs="Arial"/>
                <w:sz w:val="16"/>
                <w:szCs w:val="16"/>
              </w:rPr>
              <w:t xml:space="preserve"> ‘moving line’ 50%</w:t>
            </w:r>
          </w:p>
        </w:tc>
        <w:tc>
          <w:tcPr>
            <w:tcW w:w="1614" w:type="dxa"/>
            <w:tcMar>
              <w:left w:w="29" w:type="dxa"/>
              <w:right w:w="29" w:type="dxa"/>
            </w:tcMar>
            <w:vAlign w:val="center"/>
          </w:tcPr>
          <w:p w:rsidR="007B3E55" w:rsidRPr="007016E9" w:rsidRDefault="007B3E55" w:rsidP="00614C04">
            <w:pPr>
              <w:spacing w:before="40" w:after="40"/>
              <w:jc w:val="center"/>
              <w:rPr>
                <w:rFonts w:cs="Arial"/>
                <w:sz w:val="16"/>
                <w:szCs w:val="16"/>
              </w:rPr>
            </w:pPr>
            <w:smartTag w:uri="urn:schemas-microsoft-com:office:smarttags" w:element="stockticker">
              <w:r w:rsidRPr="007016E9">
                <w:rPr>
                  <w:rFonts w:cs="Arial"/>
                  <w:sz w:val="16"/>
                  <w:szCs w:val="16"/>
                </w:rPr>
                <w:t>BHC</w:t>
              </w:r>
            </w:smartTag>
            <w:r w:rsidRPr="007016E9">
              <w:rPr>
                <w:rFonts w:cs="Arial"/>
                <w:sz w:val="16"/>
                <w:szCs w:val="16"/>
              </w:rPr>
              <w:t xml:space="preserve"> ‘moving line’ 60%</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1998</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13</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16</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2001</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25</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13</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2004</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22</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14</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21</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2007</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13</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2009</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15</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13</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2010</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15</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11</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18</w:t>
            </w:r>
          </w:p>
        </w:tc>
      </w:tr>
      <w:tr w:rsidR="007B3E55" w:rsidRPr="000370BC">
        <w:trPr>
          <w:jc w:val="center"/>
        </w:trPr>
        <w:tc>
          <w:tcPr>
            <w:tcW w:w="706"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2011</w:t>
            </w:r>
          </w:p>
        </w:tc>
        <w:tc>
          <w:tcPr>
            <w:tcW w:w="1326" w:type="dxa"/>
            <w:shd w:val="clear" w:color="auto" w:fill="E0E0E0"/>
            <w:vAlign w:val="center"/>
          </w:tcPr>
          <w:p w:rsidR="007B3E55" w:rsidRPr="007016E9" w:rsidRDefault="007B3E55" w:rsidP="00614C04">
            <w:pPr>
              <w:spacing w:before="40" w:after="40"/>
              <w:jc w:val="center"/>
              <w:rPr>
                <w:rFonts w:cs="Arial"/>
                <w:sz w:val="16"/>
                <w:szCs w:val="16"/>
              </w:rPr>
            </w:pPr>
            <w:r w:rsidRPr="007016E9">
              <w:rPr>
                <w:rFonts w:cs="Arial"/>
                <w:sz w:val="16"/>
                <w:szCs w:val="16"/>
              </w:rPr>
              <w:t>16</w:t>
            </w:r>
          </w:p>
        </w:tc>
        <w:tc>
          <w:tcPr>
            <w:tcW w:w="144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19</w:t>
            </w:r>
          </w:p>
        </w:tc>
        <w:tc>
          <w:tcPr>
            <w:tcW w:w="1350"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13</w:t>
            </w:r>
          </w:p>
        </w:tc>
        <w:tc>
          <w:tcPr>
            <w:tcW w:w="1614" w:type="dxa"/>
            <w:vAlign w:val="center"/>
          </w:tcPr>
          <w:p w:rsidR="007B3E55" w:rsidRPr="007016E9" w:rsidRDefault="007B3E55" w:rsidP="00614C04">
            <w:pPr>
              <w:spacing w:before="40" w:after="40"/>
              <w:jc w:val="center"/>
              <w:rPr>
                <w:rFonts w:cs="Arial"/>
                <w:sz w:val="16"/>
                <w:szCs w:val="16"/>
              </w:rPr>
            </w:pPr>
            <w:r w:rsidRPr="007016E9">
              <w:rPr>
                <w:rFonts w:cs="Arial"/>
                <w:sz w:val="16"/>
                <w:szCs w:val="16"/>
              </w:rPr>
              <w:t>17</w:t>
            </w:r>
          </w:p>
        </w:tc>
      </w:tr>
    </w:tbl>
    <w:p w:rsidR="007B3E55" w:rsidRPr="007016E9" w:rsidRDefault="007B3E55" w:rsidP="007B3E55">
      <w:pPr>
        <w:tabs>
          <w:tab w:val="left" w:pos="1980"/>
        </w:tabs>
        <w:spacing w:before="120"/>
        <w:ind w:left="2340" w:right="1019" w:hanging="990"/>
        <w:jc w:val="both"/>
        <w:rPr>
          <w:rFonts w:cs="Arial"/>
          <w:sz w:val="16"/>
          <w:szCs w:val="16"/>
        </w:rPr>
      </w:pPr>
      <w:r w:rsidRPr="007016E9">
        <w:rPr>
          <w:rFonts w:cs="Arial"/>
          <w:sz w:val="16"/>
          <w:szCs w:val="16"/>
        </w:rPr>
        <w:t xml:space="preserve">Notes: </w:t>
      </w:r>
      <w:r w:rsidRPr="007016E9">
        <w:rPr>
          <w:rFonts w:cs="Arial"/>
          <w:sz w:val="16"/>
          <w:szCs w:val="16"/>
        </w:rPr>
        <w:tab/>
        <w:t xml:space="preserve">(1) </w:t>
      </w:r>
      <w:r w:rsidRPr="007016E9">
        <w:rPr>
          <w:rFonts w:cs="Arial"/>
          <w:sz w:val="16"/>
          <w:szCs w:val="16"/>
        </w:rPr>
        <w:tab/>
        <w:t>The reference year for the fixed line figures is 2007.</w:t>
      </w:r>
    </w:p>
    <w:p w:rsidR="007B3E55" w:rsidRPr="007016E9" w:rsidRDefault="007B3E55" w:rsidP="007B3E55">
      <w:pPr>
        <w:tabs>
          <w:tab w:val="left" w:pos="1980"/>
        </w:tabs>
        <w:spacing w:before="60"/>
        <w:ind w:left="2348" w:right="1022" w:hanging="994"/>
        <w:jc w:val="both"/>
        <w:rPr>
          <w:rFonts w:cs="Arial"/>
          <w:sz w:val="16"/>
          <w:szCs w:val="16"/>
        </w:rPr>
      </w:pPr>
      <w:r w:rsidRPr="007016E9">
        <w:rPr>
          <w:rFonts w:cs="Arial"/>
          <w:sz w:val="16"/>
          <w:szCs w:val="16"/>
        </w:rPr>
        <w:tab/>
        <w:t>(2)</w:t>
      </w:r>
      <w:r w:rsidRPr="007016E9">
        <w:rPr>
          <w:rFonts w:cs="Arial"/>
          <w:sz w:val="16"/>
          <w:szCs w:val="16"/>
        </w:rPr>
        <w:tab/>
        <w:t xml:space="preserve">The </w:t>
      </w:r>
      <w:smartTag w:uri="urn:schemas-microsoft-com:office:smarttags" w:element="stockticker">
        <w:r w:rsidRPr="007016E9">
          <w:rPr>
            <w:rFonts w:cs="Arial"/>
            <w:sz w:val="16"/>
            <w:szCs w:val="16"/>
          </w:rPr>
          <w:t>BHC</w:t>
        </w:r>
      </w:smartTag>
      <w:r w:rsidRPr="007016E9">
        <w:rPr>
          <w:rFonts w:cs="Arial"/>
          <w:sz w:val="16"/>
          <w:szCs w:val="16"/>
        </w:rPr>
        <w:t xml:space="preserve"> 60% moving line measure is the one used by the EU – the median EU population poverty rate in 2010 was 16% on this measure.</w:t>
      </w:r>
    </w:p>
    <w:p w:rsidR="00E5533B" w:rsidRPr="007016E9" w:rsidRDefault="007B3E55" w:rsidP="00E5533B">
      <w:pPr>
        <w:tabs>
          <w:tab w:val="left" w:pos="1980"/>
        </w:tabs>
        <w:spacing w:before="60"/>
        <w:ind w:left="2348" w:right="1022" w:hanging="994"/>
        <w:jc w:val="both"/>
        <w:rPr>
          <w:rFonts w:cs="Arial"/>
          <w:sz w:val="16"/>
          <w:szCs w:val="16"/>
        </w:rPr>
      </w:pPr>
      <w:r w:rsidRPr="007016E9">
        <w:rPr>
          <w:rFonts w:cs="Arial"/>
          <w:sz w:val="16"/>
          <w:szCs w:val="16"/>
        </w:rPr>
        <w:tab/>
        <w:t>(3)</w:t>
      </w:r>
      <w:r w:rsidRPr="007016E9">
        <w:rPr>
          <w:rFonts w:cs="Arial"/>
          <w:sz w:val="16"/>
          <w:szCs w:val="16"/>
        </w:rPr>
        <w:tab/>
        <w:t xml:space="preserve">The rising rate from 1998 to 2004 on the </w:t>
      </w:r>
      <w:smartTag w:uri="urn:schemas-microsoft-com:office:smarttags" w:element="stockticker">
        <w:r w:rsidRPr="007016E9">
          <w:rPr>
            <w:rFonts w:cs="Arial"/>
            <w:sz w:val="16"/>
            <w:szCs w:val="16"/>
          </w:rPr>
          <w:t>BHC</w:t>
        </w:r>
      </w:smartTag>
      <w:r w:rsidRPr="007016E9">
        <w:rPr>
          <w:rFonts w:cs="Arial"/>
          <w:sz w:val="16"/>
          <w:szCs w:val="16"/>
        </w:rPr>
        <w:t xml:space="preserve"> measure reflects the fact that median household income increased much more rapidly than low incomes did in the period.  Without WFF the population poverty rate on this measure would have continued to rise from 2004 to 2009.</w:t>
      </w:r>
    </w:p>
    <w:p w:rsidR="008125E3" w:rsidRDefault="008125E3" w:rsidP="008125E3">
      <w:pPr>
        <w:ind w:left="539"/>
        <w:jc w:val="both"/>
        <w:rPr>
          <w:rFonts w:cs="Arial"/>
          <w:sz w:val="20"/>
        </w:rPr>
      </w:pPr>
    </w:p>
    <w:p w:rsidR="007B3E55" w:rsidRPr="000370BC" w:rsidRDefault="007B3E55" w:rsidP="007B3E55">
      <w:pPr>
        <w:numPr>
          <w:ilvl w:val="0"/>
          <w:numId w:val="16"/>
        </w:numPr>
        <w:tabs>
          <w:tab w:val="clear" w:pos="1080"/>
          <w:tab w:val="num" w:pos="900"/>
        </w:tabs>
        <w:ind w:left="896" w:hanging="357"/>
        <w:jc w:val="both"/>
        <w:rPr>
          <w:rFonts w:cs="Arial"/>
          <w:sz w:val="20"/>
        </w:rPr>
      </w:pPr>
      <w:r>
        <w:rPr>
          <w:rFonts w:cs="Arial"/>
          <w:sz w:val="20"/>
        </w:rPr>
        <w:t>In</w:t>
      </w:r>
      <w:r w:rsidRPr="000370BC">
        <w:rPr>
          <w:rFonts w:cs="Arial"/>
          <w:sz w:val="20"/>
        </w:rPr>
        <w:t xml:space="preserve"> 20</w:t>
      </w:r>
      <w:r>
        <w:rPr>
          <w:rFonts w:cs="Arial"/>
          <w:sz w:val="20"/>
        </w:rPr>
        <w:t>11</w:t>
      </w:r>
      <w:r w:rsidRPr="000370BC">
        <w:rPr>
          <w:rFonts w:cs="Arial"/>
          <w:sz w:val="20"/>
        </w:rPr>
        <w:t>, the total population figure was 4.</w:t>
      </w:r>
      <w:r>
        <w:rPr>
          <w:rFonts w:cs="Arial"/>
          <w:sz w:val="20"/>
        </w:rPr>
        <w:t>31</w:t>
      </w:r>
      <w:r w:rsidRPr="000370BC">
        <w:rPr>
          <w:rFonts w:cs="Arial"/>
          <w:sz w:val="20"/>
        </w:rPr>
        <w:t xml:space="preserve">m – on the measures in Table S.1, between </w:t>
      </w:r>
      <w:r>
        <w:rPr>
          <w:rFonts w:cs="Arial"/>
          <w:sz w:val="20"/>
        </w:rPr>
        <w:t>550</w:t>
      </w:r>
      <w:r w:rsidRPr="000370BC">
        <w:rPr>
          <w:rFonts w:cs="Arial"/>
          <w:sz w:val="20"/>
        </w:rPr>
        <w:t xml:space="preserve">,000 and </w:t>
      </w:r>
      <w:r>
        <w:rPr>
          <w:rFonts w:cs="Arial"/>
          <w:sz w:val="20"/>
        </w:rPr>
        <w:t>800</w:t>
      </w:r>
      <w:r w:rsidRPr="000370BC">
        <w:rPr>
          <w:rFonts w:cs="Arial"/>
          <w:sz w:val="20"/>
        </w:rPr>
        <w:t>,000 people were in households with incomes below the low-income thresholds (ie ‘in poverty’)</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I</w:t>
      </w:r>
      <w:r w:rsidRPr="000370BC">
        <w:rPr>
          <w:rFonts w:cs="Arial"/>
          <w:sz w:val="20"/>
        </w:rPr>
        <w:t>n 20</w:t>
      </w:r>
      <w:r w:rsidR="00F12FD0">
        <w:rPr>
          <w:rFonts w:cs="Arial"/>
          <w:sz w:val="20"/>
        </w:rPr>
        <w:t>11</w:t>
      </w:r>
      <w:r w:rsidRPr="000370BC">
        <w:rPr>
          <w:rFonts w:cs="Arial"/>
          <w:sz w:val="20"/>
        </w:rPr>
        <w:t xml:space="preserve">, on the </w:t>
      </w:r>
      <w:r w:rsidR="00F12FD0">
        <w:rPr>
          <w:rFonts w:cs="Arial"/>
          <w:sz w:val="20"/>
        </w:rPr>
        <w:t>AHC ‘fixed line’ 60% measure</w:t>
      </w:r>
      <w:r w:rsidRPr="000370BC">
        <w:rPr>
          <w:rFonts w:cs="Arial"/>
          <w:sz w:val="20"/>
        </w:rPr>
        <w:t>, there were 6</w:t>
      </w:r>
      <w:r w:rsidR="00F12FD0">
        <w:rPr>
          <w:rFonts w:cs="Arial"/>
          <w:sz w:val="20"/>
        </w:rPr>
        <w:t>9</w:t>
      </w:r>
      <w:r w:rsidRPr="000370BC">
        <w:rPr>
          <w:rFonts w:cs="Arial"/>
          <w:sz w:val="20"/>
        </w:rPr>
        <w:t>0,000 (1</w:t>
      </w:r>
      <w:r w:rsidR="00F12FD0">
        <w:rPr>
          <w:rFonts w:cs="Arial"/>
          <w:sz w:val="20"/>
        </w:rPr>
        <w:t>6</w:t>
      </w:r>
      <w:r w:rsidRPr="000370BC">
        <w:rPr>
          <w:rFonts w:cs="Arial"/>
          <w:sz w:val="20"/>
        </w:rPr>
        <w:t>%) below the low-income threshold (ie ‘in poverty’</w:t>
      </w:r>
      <w:r>
        <w:rPr>
          <w:rFonts w:cs="Arial"/>
          <w:sz w:val="20"/>
        </w:rPr>
        <w:t>)</w:t>
      </w:r>
      <w:r w:rsidRPr="000370BC">
        <w:rPr>
          <w:rFonts w:cs="Arial"/>
          <w:sz w:val="20"/>
        </w:rPr>
        <w:t xml:space="preserve">, down from 930,000 (25%) in 2001. </w:t>
      </w:r>
    </w:p>
    <w:p w:rsidR="007B3E55" w:rsidRPr="000370BC" w:rsidRDefault="007B3E55" w:rsidP="007B3E55">
      <w:pPr>
        <w:ind w:left="360" w:hanging="360"/>
        <w:jc w:val="both"/>
        <w:rPr>
          <w:rFonts w:cs="Arial"/>
          <w:b/>
          <w:sz w:val="20"/>
        </w:rPr>
      </w:pPr>
      <w:r w:rsidRPr="000370BC">
        <w:rPr>
          <w:rFonts w:cs="Arial"/>
          <w:b/>
        </w:rPr>
        <w:br w:type="page"/>
      </w:r>
      <w:r>
        <w:rPr>
          <w:rFonts w:cs="Arial"/>
          <w:b/>
          <w:sz w:val="20"/>
        </w:rPr>
        <w:lastRenderedPageBreak/>
        <w:t>1</w:t>
      </w:r>
      <w:r w:rsidR="008319E2">
        <w:rPr>
          <w:rFonts w:cs="Arial"/>
          <w:b/>
          <w:sz w:val="20"/>
        </w:rPr>
        <w:t>2</w:t>
      </w:r>
      <w:r w:rsidRPr="000370BC">
        <w:rPr>
          <w:rFonts w:cs="Arial"/>
          <w:b/>
          <w:sz w:val="20"/>
        </w:rPr>
        <w:tab/>
      </w:r>
      <w:r>
        <w:rPr>
          <w:rFonts w:cs="Arial"/>
          <w:b/>
          <w:sz w:val="20"/>
        </w:rPr>
        <w:t>Poverty rates for children</w:t>
      </w:r>
      <w:r w:rsidRPr="000370BC">
        <w:rPr>
          <w:rFonts w:cs="Arial"/>
          <w:b/>
          <w:sz w:val="20"/>
        </w:rPr>
        <w:t xml:space="preserve"> </w:t>
      </w:r>
      <w:r>
        <w:rPr>
          <w:rFonts w:cs="Arial"/>
          <w:b/>
          <w:sz w:val="20"/>
        </w:rPr>
        <w:t xml:space="preserve">in </w:t>
      </w:r>
      <w:r w:rsidR="00D84374">
        <w:rPr>
          <w:rFonts w:cs="Arial"/>
          <w:b/>
          <w:sz w:val="20"/>
        </w:rPr>
        <w:t>2010-11 HES</w:t>
      </w:r>
      <w:r>
        <w:rPr>
          <w:rFonts w:cs="Arial"/>
          <w:b/>
          <w:sz w:val="20"/>
        </w:rPr>
        <w:t xml:space="preserve"> </w:t>
      </w:r>
      <w:r w:rsidRPr="000370BC">
        <w:rPr>
          <w:rFonts w:cs="Arial"/>
          <w:b/>
          <w:sz w:val="20"/>
        </w:rPr>
        <w:t xml:space="preserve">were </w:t>
      </w:r>
      <w:r>
        <w:rPr>
          <w:rFonts w:cs="Arial"/>
          <w:b/>
          <w:sz w:val="20"/>
        </w:rPr>
        <w:t xml:space="preserve">much </w:t>
      </w:r>
      <w:r w:rsidRPr="000370BC">
        <w:rPr>
          <w:rFonts w:cs="Arial"/>
          <w:b/>
          <w:sz w:val="20"/>
        </w:rPr>
        <w:t xml:space="preserve">the same as in </w:t>
      </w:r>
      <w:r w:rsidR="00D84374">
        <w:rPr>
          <w:rFonts w:cs="Arial"/>
          <w:b/>
          <w:sz w:val="20"/>
        </w:rPr>
        <w:t>the previous two years</w:t>
      </w:r>
      <w:r w:rsidRPr="000370BC">
        <w:rPr>
          <w:rFonts w:cs="Arial"/>
          <w:b/>
          <w:sz w:val="20"/>
        </w:rPr>
        <w:t xml:space="preserve"> using the fixed line </w:t>
      </w:r>
      <w:smartTag w:uri="urn:schemas-microsoft-com:office:smarttags" w:element="stockticker">
        <w:r>
          <w:rPr>
            <w:rFonts w:cs="Arial"/>
            <w:b/>
            <w:sz w:val="20"/>
          </w:rPr>
          <w:t>AHC</w:t>
        </w:r>
      </w:smartTag>
      <w:r>
        <w:rPr>
          <w:rFonts w:cs="Arial"/>
          <w:b/>
          <w:sz w:val="20"/>
        </w:rPr>
        <w:t xml:space="preserve"> </w:t>
      </w:r>
      <w:r w:rsidRPr="000370BC">
        <w:rPr>
          <w:rFonts w:cs="Arial"/>
          <w:b/>
          <w:sz w:val="20"/>
        </w:rPr>
        <w:t>measure</w:t>
      </w:r>
      <w:r>
        <w:rPr>
          <w:rFonts w:cs="Arial"/>
          <w:b/>
          <w:sz w:val="20"/>
        </w:rPr>
        <w:t xml:space="preserve"> (21%)</w:t>
      </w:r>
      <w:r w:rsidRPr="000370BC">
        <w:rPr>
          <w:rFonts w:cs="Arial"/>
          <w:b/>
          <w:sz w:val="20"/>
        </w:rPr>
        <w:t xml:space="preserve">, </w:t>
      </w:r>
      <w:r>
        <w:rPr>
          <w:rFonts w:cs="Arial"/>
          <w:b/>
          <w:sz w:val="20"/>
        </w:rPr>
        <w:t xml:space="preserve">the 60% </w:t>
      </w:r>
      <w:smartTag w:uri="urn:schemas-microsoft-com:office:smarttags" w:element="stockticker">
        <w:r>
          <w:rPr>
            <w:rFonts w:cs="Arial"/>
            <w:b/>
            <w:sz w:val="20"/>
          </w:rPr>
          <w:t>AHC</w:t>
        </w:r>
      </w:smartTag>
      <w:r w:rsidRPr="000370BC">
        <w:rPr>
          <w:rFonts w:cs="Arial"/>
          <w:b/>
          <w:sz w:val="20"/>
        </w:rPr>
        <w:t xml:space="preserve"> moving line measure</w:t>
      </w:r>
      <w:r>
        <w:rPr>
          <w:rFonts w:cs="Arial"/>
          <w:b/>
          <w:sz w:val="20"/>
        </w:rPr>
        <w:t xml:space="preserve"> (25%), and the more stringent 50% AHC moving line measure (16%).</w:t>
      </w:r>
      <w:r w:rsidRPr="000370BC">
        <w:rPr>
          <w:rFonts w:cs="Arial"/>
          <w:b/>
          <w:sz w:val="20"/>
        </w:rPr>
        <w:t xml:space="preserve"> </w:t>
      </w:r>
    </w:p>
    <w:p w:rsidR="007B3E55" w:rsidRDefault="007B3E55" w:rsidP="007B3E55">
      <w:pPr>
        <w:ind w:left="539"/>
        <w:jc w:val="both"/>
        <w:rPr>
          <w:rFonts w:cs="Arial"/>
          <w:sz w:val="20"/>
        </w:rPr>
      </w:pPr>
    </w:p>
    <w:p w:rsidR="007B3E55" w:rsidRDefault="007B3E55" w:rsidP="007B3E55">
      <w:pPr>
        <w:numPr>
          <w:ilvl w:val="0"/>
          <w:numId w:val="16"/>
        </w:numPr>
        <w:tabs>
          <w:tab w:val="clear" w:pos="1080"/>
          <w:tab w:val="num" w:pos="900"/>
        </w:tabs>
        <w:ind w:left="896" w:hanging="357"/>
        <w:jc w:val="both"/>
        <w:rPr>
          <w:rFonts w:cs="Arial"/>
          <w:sz w:val="20"/>
        </w:rPr>
      </w:pPr>
      <w:r>
        <w:rPr>
          <w:rFonts w:cs="Arial"/>
          <w:sz w:val="20"/>
        </w:rPr>
        <w:t xml:space="preserve">Trends using fixed and </w:t>
      </w:r>
      <w:r w:rsidRPr="000370BC">
        <w:rPr>
          <w:rFonts w:cs="Arial"/>
          <w:sz w:val="20"/>
        </w:rPr>
        <w:t>moving line measure</w:t>
      </w:r>
      <w:r>
        <w:rPr>
          <w:rFonts w:cs="Arial"/>
          <w:sz w:val="20"/>
        </w:rPr>
        <w:t>s reflect</w:t>
      </w:r>
      <w:r w:rsidRPr="000370BC">
        <w:rPr>
          <w:rFonts w:cs="Arial"/>
          <w:sz w:val="20"/>
        </w:rPr>
        <w:t xml:space="preserve"> different notion</w:t>
      </w:r>
      <w:r>
        <w:rPr>
          <w:rFonts w:cs="Arial"/>
          <w:sz w:val="20"/>
        </w:rPr>
        <w:t>s</w:t>
      </w:r>
      <w:r w:rsidRPr="000370BC">
        <w:rPr>
          <w:rFonts w:cs="Arial"/>
          <w:sz w:val="20"/>
        </w:rPr>
        <w:t xml:space="preserve"> of poverty</w:t>
      </w:r>
      <w:r>
        <w:rPr>
          <w:rFonts w:cs="Arial"/>
          <w:sz w:val="20"/>
        </w:rPr>
        <w:t>:</w:t>
      </w:r>
      <w:r w:rsidRPr="000370BC">
        <w:rPr>
          <w:rFonts w:cs="Arial"/>
          <w:sz w:val="20"/>
        </w:rPr>
        <w:t xml:space="preserve"> for the </w:t>
      </w:r>
      <w:r>
        <w:rPr>
          <w:rFonts w:cs="Arial"/>
          <w:sz w:val="20"/>
        </w:rPr>
        <w:t xml:space="preserve">fixed line measure, the focus is on how low-income households are faring relative to a fixed benchmark, whereas for the </w:t>
      </w:r>
      <w:r w:rsidRPr="000370BC">
        <w:rPr>
          <w:rFonts w:cs="Arial"/>
          <w:sz w:val="20"/>
        </w:rPr>
        <w:t xml:space="preserve">moving line measure the focus is on how well low-income </w:t>
      </w:r>
      <w:r>
        <w:rPr>
          <w:rFonts w:cs="Arial"/>
          <w:sz w:val="20"/>
        </w:rPr>
        <w:t>households</w:t>
      </w:r>
      <w:r w:rsidRPr="000370BC">
        <w:rPr>
          <w:rFonts w:cs="Arial"/>
          <w:sz w:val="20"/>
        </w:rPr>
        <w:t xml:space="preserve"> are faring relative to the median </w:t>
      </w:r>
      <w:r>
        <w:rPr>
          <w:rFonts w:cs="Arial"/>
          <w:sz w:val="20"/>
        </w:rPr>
        <w:t>or middle household.</w:t>
      </w:r>
    </w:p>
    <w:p w:rsidR="007B3E55" w:rsidRPr="000370BC" w:rsidRDefault="007B3E55" w:rsidP="007B3E55">
      <w:pPr>
        <w:numPr>
          <w:ilvl w:val="0"/>
          <w:numId w:val="16"/>
        </w:numPr>
        <w:tabs>
          <w:tab w:val="clear" w:pos="1080"/>
          <w:tab w:val="num" w:pos="900"/>
        </w:tabs>
        <w:spacing w:before="120"/>
        <w:ind w:left="900"/>
        <w:jc w:val="both"/>
        <w:rPr>
          <w:rFonts w:cs="Arial"/>
          <w:sz w:val="20"/>
        </w:rPr>
      </w:pPr>
      <w:r w:rsidRPr="00754B79">
        <w:rPr>
          <w:rFonts w:cs="Arial"/>
          <w:sz w:val="20"/>
          <w:u w:val="single"/>
        </w:rPr>
        <w:t xml:space="preserve">Using the </w:t>
      </w:r>
      <w:smartTag w:uri="urn:schemas-microsoft-com:office:smarttags" w:element="stockticker">
        <w:r w:rsidRPr="00754B79">
          <w:rPr>
            <w:rFonts w:cs="Arial"/>
            <w:sz w:val="20"/>
            <w:u w:val="single"/>
          </w:rPr>
          <w:t>AHC</w:t>
        </w:r>
      </w:smartTag>
      <w:r w:rsidRPr="00754B79">
        <w:rPr>
          <w:rFonts w:cs="Arial"/>
          <w:sz w:val="20"/>
          <w:u w:val="single"/>
        </w:rPr>
        <w:t xml:space="preserve"> fixed line measure</w:t>
      </w:r>
      <w:r w:rsidRPr="000370BC">
        <w:rPr>
          <w:rFonts w:cs="Arial"/>
          <w:sz w:val="20"/>
        </w:rPr>
        <w:t>, the child poverty rate fell strongly from 1994 to 2007, but plateaued from 2007 to 20</w:t>
      </w:r>
      <w:r>
        <w:rPr>
          <w:rFonts w:cs="Arial"/>
          <w:sz w:val="20"/>
        </w:rPr>
        <w:t>11 at 21-22%.  This is around the rate that prevailed in the 1980s if the same 2007 reference year standard is used.</w:t>
      </w:r>
    </w:p>
    <w:p w:rsidR="007B3E55" w:rsidRPr="000370BC" w:rsidRDefault="007B3E55" w:rsidP="007B3E55">
      <w:pPr>
        <w:numPr>
          <w:ilvl w:val="0"/>
          <w:numId w:val="16"/>
        </w:numPr>
        <w:tabs>
          <w:tab w:val="clear" w:pos="1080"/>
          <w:tab w:val="num" w:pos="900"/>
        </w:tabs>
        <w:spacing w:before="120"/>
        <w:ind w:left="900"/>
        <w:jc w:val="both"/>
        <w:rPr>
          <w:rFonts w:cs="Arial"/>
          <w:sz w:val="20"/>
        </w:rPr>
      </w:pPr>
      <w:r w:rsidRPr="000370BC">
        <w:rPr>
          <w:rFonts w:cs="Arial"/>
          <w:sz w:val="20"/>
        </w:rPr>
        <w:t>BHC incomes</w:t>
      </w:r>
      <w:r>
        <w:rPr>
          <w:rFonts w:cs="Arial"/>
          <w:sz w:val="20"/>
        </w:rPr>
        <w:t xml:space="preserve"> in 2011 were higher than in 2007 f</w:t>
      </w:r>
      <w:r w:rsidRPr="000370BC">
        <w:rPr>
          <w:rFonts w:cs="Arial"/>
          <w:sz w:val="20"/>
        </w:rPr>
        <w:t xml:space="preserve">or low-income households with children, </w:t>
      </w:r>
      <w:r>
        <w:rPr>
          <w:rFonts w:cs="Arial"/>
          <w:sz w:val="20"/>
        </w:rPr>
        <w:t xml:space="preserve">but so were housing costs </w:t>
      </w:r>
      <w:r w:rsidRPr="000370BC">
        <w:rPr>
          <w:rFonts w:cs="Arial"/>
          <w:sz w:val="20"/>
        </w:rPr>
        <w:t xml:space="preserve">– these two factors cancelled each other out to give the ‘no change’ </w:t>
      </w:r>
      <w:r>
        <w:rPr>
          <w:rFonts w:cs="Arial"/>
          <w:sz w:val="20"/>
        </w:rPr>
        <w:t>outcome</w:t>
      </w:r>
      <w:r w:rsidRPr="000370BC">
        <w:rPr>
          <w:rFonts w:cs="Arial"/>
          <w:sz w:val="20"/>
        </w:rPr>
        <w:t xml:space="preserve"> on the fixed line </w:t>
      </w:r>
      <w:smartTag w:uri="urn:schemas-microsoft-com:office:smarttags" w:element="stockticker">
        <w:r>
          <w:rPr>
            <w:rFonts w:cs="Arial"/>
            <w:sz w:val="20"/>
          </w:rPr>
          <w:t>AHC</w:t>
        </w:r>
      </w:smartTag>
      <w:r>
        <w:rPr>
          <w:rFonts w:cs="Arial"/>
          <w:sz w:val="20"/>
        </w:rPr>
        <w:t xml:space="preserve"> </w:t>
      </w:r>
      <w:r w:rsidRPr="000370BC">
        <w:rPr>
          <w:rFonts w:cs="Arial"/>
          <w:sz w:val="20"/>
        </w:rPr>
        <w:t>measure</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sidRPr="00754B79">
        <w:rPr>
          <w:rFonts w:cs="Arial"/>
          <w:sz w:val="20"/>
          <w:u w:val="single"/>
        </w:rPr>
        <w:t xml:space="preserve">On the </w:t>
      </w:r>
      <w:smartTag w:uri="urn:schemas-microsoft-com:office:smarttags" w:element="stockticker">
        <w:r w:rsidRPr="00754B79">
          <w:rPr>
            <w:rFonts w:cs="Arial"/>
            <w:sz w:val="20"/>
            <w:u w:val="single"/>
          </w:rPr>
          <w:t>AHC</w:t>
        </w:r>
      </w:smartTag>
      <w:r w:rsidRPr="00754B79">
        <w:rPr>
          <w:rFonts w:cs="Arial"/>
          <w:sz w:val="20"/>
          <w:u w:val="single"/>
        </w:rPr>
        <w:t xml:space="preserve"> moving line measure</w:t>
      </w:r>
      <w:r w:rsidRPr="000370BC">
        <w:rPr>
          <w:rFonts w:cs="Arial"/>
          <w:sz w:val="20"/>
        </w:rPr>
        <w:t xml:space="preserve">, the child poverty rate increased from </w:t>
      </w:r>
      <w:r>
        <w:rPr>
          <w:rFonts w:cs="Arial"/>
          <w:sz w:val="20"/>
        </w:rPr>
        <w:t xml:space="preserve">22% in </w:t>
      </w:r>
      <w:r w:rsidRPr="000370BC">
        <w:rPr>
          <w:rFonts w:cs="Arial"/>
          <w:sz w:val="20"/>
        </w:rPr>
        <w:t xml:space="preserve">2007 </w:t>
      </w:r>
      <w:r>
        <w:rPr>
          <w:rFonts w:cs="Arial"/>
          <w:sz w:val="20"/>
        </w:rPr>
        <w:t>to 25-26% for 2009 to 2011</w:t>
      </w:r>
      <w:r w:rsidRPr="000370BC">
        <w:rPr>
          <w:rFonts w:cs="Arial"/>
          <w:sz w:val="20"/>
        </w:rPr>
        <w:t xml:space="preserve">, reflecting the rise in the proportion of households with children </w:t>
      </w:r>
      <w:r>
        <w:rPr>
          <w:rFonts w:cs="Arial"/>
          <w:sz w:val="20"/>
        </w:rPr>
        <w:t>which had</w:t>
      </w:r>
      <w:r w:rsidRPr="000370BC">
        <w:rPr>
          <w:rFonts w:cs="Arial"/>
          <w:sz w:val="20"/>
        </w:rPr>
        <w:t xml:space="preserve"> high </w:t>
      </w:r>
      <w:r>
        <w:rPr>
          <w:rFonts w:cs="Arial"/>
          <w:sz w:val="20"/>
        </w:rPr>
        <w:t>housing costs relative to income.</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On this moving line measure, the 2011</w:t>
      </w:r>
      <w:r w:rsidRPr="000370BC">
        <w:rPr>
          <w:rFonts w:cs="Arial"/>
          <w:sz w:val="20"/>
        </w:rPr>
        <w:t xml:space="preserve"> child poverty rate</w:t>
      </w:r>
      <w:r>
        <w:rPr>
          <w:rFonts w:cs="Arial"/>
          <w:sz w:val="20"/>
        </w:rPr>
        <w:t xml:space="preserve"> (25%)</w:t>
      </w:r>
      <w:r w:rsidRPr="000370BC">
        <w:rPr>
          <w:rFonts w:cs="Arial"/>
          <w:sz w:val="20"/>
        </w:rPr>
        <w:t xml:space="preserve"> is </w:t>
      </w:r>
      <w:r>
        <w:rPr>
          <w:rFonts w:cs="Arial"/>
          <w:sz w:val="20"/>
        </w:rPr>
        <w:t>around</w:t>
      </w:r>
      <w:r w:rsidRPr="000370BC">
        <w:rPr>
          <w:rFonts w:cs="Arial"/>
          <w:sz w:val="20"/>
        </w:rPr>
        <w:t xml:space="preserve"> double the rate that prevailed in the </w:t>
      </w:r>
      <w:r>
        <w:rPr>
          <w:rFonts w:cs="Arial"/>
          <w:sz w:val="20"/>
        </w:rPr>
        <w:t>mid</w:t>
      </w:r>
      <w:r w:rsidR="00D84374">
        <w:rPr>
          <w:rFonts w:cs="Arial"/>
          <w:sz w:val="20"/>
        </w:rPr>
        <w:t xml:space="preserve"> 1980s </w:t>
      </w:r>
      <w:r>
        <w:rPr>
          <w:rFonts w:cs="Arial"/>
          <w:sz w:val="20"/>
        </w:rPr>
        <w:t>(13%).  On the more stringent 50% of median AHC measure a similar long-run change has occurred: steady at around 16% from 2007 to 2011, also double the rate of the mid 1980s (8%).</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The</w:t>
      </w:r>
      <w:r w:rsidRPr="000370BC">
        <w:rPr>
          <w:rFonts w:cs="Arial"/>
          <w:sz w:val="20"/>
        </w:rPr>
        <w:t xml:space="preserve"> longer-run findings on child poverty reflect the fact that </w:t>
      </w:r>
      <w:smartTag w:uri="urn:schemas-microsoft-com:office:smarttags" w:element="stockticker">
        <w:r w:rsidRPr="000370BC">
          <w:rPr>
            <w:rFonts w:cs="Arial"/>
            <w:sz w:val="20"/>
          </w:rPr>
          <w:t>AHC</w:t>
        </w:r>
      </w:smartTag>
      <w:r w:rsidRPr="000370BC">
        <w:rPr>
          <w:rFonts w:cs="Arial"/>
          <w:sz w:val="20"/>
        </w:rPr>
        <w:t xml:space="preserve"> incomes in 20</w:t>
      </w:r>
      <w:r>
        <w:rPr>
          <w:rFonts w:cs="Arial"/>
          <w:sz w:val="20"/>
        </w:rPr>
        <w:t>11</w:t>
      </w:r>
      <w:r w:rsidRPr="000370BC">
        <w:rPr>
          <w:rFonts w:cs="Arial"/>
          <w:sz w:val="20"/>
        </w:rPr>
        <w:t xml:space="preserve"> for low-income households were around the same as they were in the early 1980s in real terms</w:t>
      </w:r>
      <w:r>
        <w:rPr>
          <w:rFonts w:cs="Arial"/>
          <w:sz w:val="20"/>
        </w:rPr>
        <w:t>,</w:t>
      </w:r>
      <w:r w:rsidRPr="000370BC">
        <w:rPr>
          <w:rFonts w:cs="Arial"/>
          <w:sz w:val="20"/>
        </w:rPr>
        <w:t xml:space="preserve"> but that relative to the median the incomes of lower</w:t>
      </w:r>
      <w:r>
        <w:rPr>
          <w:rFonts w:cs="Arial"/>
          <w:sz w:val="20"/>
        </w:rPr>
        <w:t>-</w:t>
      </w:r>
      <w:r w:rsidRPr="000370BC">
        <w:rPr>
          <w:rFonts w:cs="Arial"/>
          <w:sz w:val="20"/>
        </w:rPr>
        <w:t>income households with children had fallen away (ie higher inequality in 20</w:t>
      </w:r>
      <w:r>
        <w:rPr>
          <w:rFonts w:cs="Arial"/>
          <w:sz w:val="20"/>
        </w:rPr>
        <w:t>11</w:t>
      </w:r>
      <w:r w:rsidRPr="000370BC">
        <w:rPr>
          <w:rFonts w:cs="Arial"/>
          <w:sz w:val="20"/>
        </w:rPr>
        <w:t xml:space="preserve"> than in the </w:t>
      </w:r>
      <w:r>
        <w:rPr>
          <w:rFonts w:cs="Arial"/>
          <w:sz w:val="20"/>
        </w:rPr>
        <w:t>mid</w:t>
      </w:r>
      <w:r w:rsidRPr="000370BC">
        <w:rPr>
          <w:rFonts w:cs="Arial"/>
          <w:sz w:val="20"/>
        </w:rPr>
        <w:t xml:space="preserve"> 1980s)</w:t>
      </w:r>
      <w:r>
        <w:rPr>
          <w:rFonts w:cs="Arial"/>
          <w:sz w:val="20"/>
        </w:rPr>
        <w:t>.</w:t>
      </w:r>
    </w:p>
    <w:p w:rsidR="007B3E55" w:rsidRPr="00F40EFA" w:rsidRDefault="007B3E55" w:rsidP="007B3E55">
      <w:pPr>
        <w:ind w:left="720"/>
        <w:jc w:val="both"/>
        <w:rPr>
          <w:rFonts w:cs="Arial"/>
          <w:sz w:val="20"/>
        </w:rPr>
      </w:pPr>
    </w:p>
    <w:p w:rsidR="007B3E55" w:rsidRPr="000370BC" w:rsidRDefault="007B3E55" w:rsidP="007B3E55">
      <w:pPr>
        <w:jc w:val="center"/>
        <w:rPr>
          <w:rFonts w:cs="Arial"/>
          <w:b/>
          <w:sz w:val="18"/>
          <w:szCs w:val="18"/>
        </w:rPr>
      </w:pPr>
      <w:r w:rsidRPr="000370BC">
        <w:rPr>
          <w:rFonts w:cs="Arial"/>
          <w:b/>
          <w:sz w:val="18"/>
          <w:szCs w:val="18"/>
        </w:rPr>
        <w:t xml:space="preserve">Table S.2: </w:t>
      </w:r>
    </w:p>
    <w:p w:rsidR="007B3E55" w:rsidRPr="000370BC" w:rsidRDefault="007B3E55" w:rsidP="007B3E55">
      <w:pPr>
        <w:spacing w:after="120"/>
        <w:jc w:val="center"/>
        <w:rPr>
          <w:rFonts w:cs="Arial"/>
          <w:sz w:val="18"/>
          <w:szCs w:val="18"/>
        </w:rPr>
      </w:pPr>
      <w:r w:rsidRPr="000370BC">
        <w:rPr>
          <w:rFonts w:cs="Arial"/>
          <w:b/>
          <w:sz w:val="18"/>
          <w:szCs w:val="18"/>
        </w:rPr>
        <w:t>Child poverty rates (%) on four measures</w:t>
      </w:r>
    </w:p>
    <w:tbl>
      <w:tblPr>
        <w:tblStyle w:val="TableGrid"/>
        <w:tblW w:w="0" w:type="auto"/>
        <w:jc w:val="center"/>
        <w:tblInd w:w="65" w:type="dxa"/>
        <w:tblLook w:val="01E0"/>
      </w:tblPr>
      <w:tblGrid>
        <w:gridCol w:w="724"/>
        <w:gridCol w:w="1289"/>
        <w:gridCol w:w="1440"/>
        <w:gridCol w:w="1440"/>
        <w:gridCol w:w="1364"/>
      </w:tblGrid>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p>
        </w:tc>
        <w:tc>
          <w:tcPr>
            <w:tcW w:w="4169" w:type="dxa"/>
            <w:gridSpan w:val="3"/>
            <w:vAlign w:val="center"/>
          </w:tcPr>
          <w:p w:rsidR="007B3E55" w:rsidRPr="000370BC" w:rsidRDefault="007B3E55" w:rsidP="00614C04">
            <w:pPr>
              <w:spacing w:before="40" w:after="40"/>
              <w:jc w:val="center"/>
              <w:rPr>
                <w:rFonts w:cs="Arial"/>
                <w:b/>
                <w:sz w:val="16"/>
                <w:szCs w:val="18"/>
              </w:rPr>
            </w:pPr>
            <w:smartTag w:uri="urn:schemas-microsoft-com:office:smarttags" w:element="stockticker">
              <w:r w:rsidRPr="000370BC">
                <w:rPr>
                  <w:rFonts w:cs="Arial"/>
                  <w:b/>
                  <w:sz w:val="16"/>
                  <w:szCs w:val="18"/>
                </w:rPr>
                <w:t>AHC</w:t>
              </w:r>
            </w:smartTag>
          </w:p>
        </w:tc>
        <w:tc>
          <w:tcPr>
            <w:tcW w:w="1364" w:type="dxa"/>
            <w:vAlign w:val="center"/>
          </w:tcPr>
          <w:p w:rsidR="007B3E55" w:rsidRPr="000370BC" w:rsidRDefault="007B3E55" w:rsidP="00614C04">
            <w:pPr>
              <w:spacing w:before="40" w:after="40"/>
              <w:jc w:val="center"/>
              <w:rPr>
                <w:rFonts w:cs="Arial"/>
                <w:b/>
                <w:sz w:val="16"/>
                <w:szCs w:val="18"/>
              </w:rPr>
            </w:pPr>
            <w:smartTag w:uri="urn:schemas-microsoft-com:office:smarttags" w:element="stockticker">
              <w:r w:rsidRPr="000370BC">
                <w:rPr>
                  <w:rFonts w:cs="Arial"/>
                  <w:b/>
                  <w:sz w:val="16"/>
                  <w:szCs w:val="18"/>
                </w:rPr>
                <w:t>BHC</w:t>
              </w:r>
            </w:smartTag>
          </w:p>
        </w:tc>
      </w:tr>
      <w:tr w:rsidR="007B3E55" w:rsidRPr="000370BC">
        <w:trPr>
          <w:jc w:val="center"/>
        </w:trPr>
        <w:tc>
          <w:tcPr>
            <w:tcW w:w="724" w:type="dxa"/>
            <w:tcMar>
              <w:left w:w="29" w:type="dxa"/>
              <w:right w:w="29" w:type="dxa"/>
            </w:tcMar>
            <w:vAlign w:val="center"/>
          </w:tcPr>
          <w:p w:rsidR="007B3E55" w:rsidRPr="000370BC" w:rsidRDefault="007B3E55" w:rsidP="00614C04">
            <w:pPr>
              <w:spacing w:before="40" w:after="40"/>
              <w:jc w:val="center"/>
              <w:rPr>
                <w:rFonts w:cs="Arial"/>
                <w:sz w:val="16"/>
                <w:szCs w:val="18"/>
              </w:rPr>
            </w:pPr>
          </w:p>
        </w:tc>
        <w:tc>
          <w:tcPr>
            <w:tcW w:w="1289" w:type="dxa"/>
            <w:shd w:val="clear" w:color="auto" w:fill="E0E0E0"/>
            <w:tcMar>
              <w:left w:w="29" w:type="dxa"/>
              <w:right w:w="29" w:type="dxa"/>
            </w:tcMar>
            <w:vAlign w:val="center"/>
          </w:tcPr>
          <w:p w:rsidR="007B3E55" w:rsidRPr="000370BC" w:rsidRDefault="007B3E55" w:rsidP="00614C04">
            <w:pPr>
              <w:spacing w:before="40" w:after="40"/>
              <w:jc w:val="center"/>
              <w:rPr>
                <w:rFonts w:cs="Arial"/>
                <w:sz w:val="16"/>
                <w:szCs w:val="18"/>
              </w:rPr>
            </w:pPr>
            <w:smartTag w:uri="urn:schemas-microsoft-com:office:smarttags" w:element="stockticker">
              <w:r w:rsidRPr="000370BC">
                <w:rPr>
                  <w:rFonts w:cs="Arial"/>
                  <w:sz w:val="16"/>
                  <w:szCs w:val="18"/>
                </w:rPr>
                <w:t>AHC</w:t>
              </w:r>
            </w:smartTag>
            <w:r w:rsidRPr="000370BC">
              <w:rPr>
                <w:rFonts w:cs="Arial"/>
                <w:sz w:val="16"/>
                <w:szCs w:val="18"/>
              </w:rPr>
              <w:t xml:space="preserve"> ‘fixed line’ </w:t>
            </w:r>
            <w:r>
              <w:rPr>
                <w:rFonts w:cs="Arial"/>
                <w:sz w:val="16"/>
                <w:szCs w:val="18"/>
              </w:rPr>
              <w:t>6</w:t>
            </w:r>
            <w:r w:rsidRPr="000370BC">
              <w:rPr>
                <w:rFonts w:cs="Arial"/>
                <w:sz w:val="16"/>
                <w:szCs w:val="18"/>
              </w:rPr>
              <w:t>0%</w:t>
            </w:r>
          </w:p>
        </w:tc>
        <w:tc>
          <w:tcPr>
            <w:tcW w:w="1440" w:type="dxa"/>
            <w:tcMar>
              <w:left w:w="29" w:type="dxa"/>
              <w:right w:w="29" w:type="dxa"/>
            </w:tcMar>
            <w:vAlign w:val="center"/>
          </w:tcPr>
          <w:p w:rsidR="007B3E55" w:rsidRPr="000370BC" w:rsidRDefault="007B3E55" w:rsidP="00614C04">
            <w:pPr>
              <w:spacing w:before="40" w:after="40"/>
              <w:jc w:val="center"/>
              <w:rPr>
                <w:rFonts w:cs="Arial"/>
                <w:sz w:val="16"/>
                <w:szCs w:val="18"/>
              </w:rPr>
            </w:pPr>
            <w:smartTag w:uri="urn:schemas-microsoft-com:office:smarttags" w:element="stockticker">
              <w:r w:rsidRPr="000370BC">
                <w:rPr>
                  <w:rFonts w:cs="Arial"/>
                  <w:sz w:val="16"/>
                  <w:szCs w:val="18"/>
                </w:rPr>
                <w:t>AHC</w:t>
              </w:r>
            </w:smartTag>
            <w:r w:rsidRPr="000370BC">
              <w:rPr>
                <w:rFonts w:cs="Arial"/>
                <w:sz w:val="16"/>
                <w:szCs w:val="18"/>
              </w:rPr>
              <w:t xml:space="preserve"> ‘</w:t>
            </w:r>
            <w:r>
              <w:rPr>
                <w:rFonts w:cs="Arial"/>
                <w:sz w:val="16"/>
                <w:szCs w:val="18"/>
              </w:rPr>
              <w:t xml:space="preserve">moving </w:t>
            </w:r>
            <w:r w:rsidRPr="000370BC">
              <w:rPr>
                <w:rFonts w:cs="Arial"/>
                <w:sz w:val="16"/>
                <w:szCs w:val="18"/>
              </w:rPr>
              <w:t>line’ 60%</w:t>
            </w:r>
          </w:p>
        </w:tc>
        <w:tc>
          <w:tcPr>
            <w:tcW w:w="1440" w:type="dxa"/>
            <w:tcMar>
              <w:left w:w="29" w:type="dxa"/>
              <w:right w:w="29" w:type="dxa"/>
            </w:tcMar>
            <w:vAlign w:val="center"/>
          </w:tcPr>
          <w:p w:rsidR="007B3E55" w:rsidRPr="000370BC" w:rsidRDefault="007B3E55" w:rsidP="00614C04">
            <w:pPr>
              <w:spacing w:before="40" w:after="40"/>
              <w:jc w:val="center"/>
              <w:rPr>
                <w:rFonts w:cs="Arial"/>
                <w:sz w:val="16"/>
                <w:szCs w:val="18"/>
              </w:rPr>
            </w:pPr>
            <w:smartTag w:uri="urn:schemas-microsoft-com:office:smarttags" w:element="stockticker">
              <w:r w:rsidRPr="000370BC">
                <w:rPr>
                  <w:rFonts w:cs="Arial"/>
                  <w:sz w:val="16"/>
                  <w:szCs w:val="18"/>
                </w:rPr>
                <w:t>AHC</w:t>
              </w:r>
            </w:smartTag>
            <w:r w:rsidRPr="000370BC">
              <w:rPr>
                <w:rFonts w:cs="Arial"/>
                <w:sz w:val="16"/>
                <w:szCs w:val="18"/>
              </w:rPr>
              <w:t xml:space="preserve"> ‘moving line’ </w:t>
            </w:r>
            <w:r>
              <w:rPr>
                <w:rFonts w:cs="Arial"/>
                <w:sz w:val="16"/>
                <w:szCs w:val="18"/>
              </w:rPr>
              <w:t>5</w:t>
            </w:r>
            <w:r w:rsidRPr="000370BC">
              <w:rPr>
                <w:rFonts w:cs="Arial"/>
                <w:sz w:val="16"/>
                <w:szCs w:val="18"/>
              </w:rPr>
              <w:t>0%</w:t>
            </w:r>
          </w:p>
        </w:tc>
        <w:tc>
          <w:tcPr>
            <w:tcW w:w="1364" w:type="dxa"/>
            <w:tcMar>
              <w:left w:w="29" w:type="dxa"/>
              <w:right w:w="29" w:type="dxa"/>
            </w:tcMar>
            <w:vAlign w:val="center"/>
          </w:tcPr>
          <w:p w:rsidR="007B3E55" w:rsidRPr="000370BC" w:rsidRDefault="007B3E55" w:rsidP="00614C04">
            <w:pPr>
              <w:spacing w:before="40" w:after="40"/>
              <w:jc w:val="center"/>
              <w:rPr>
                <w:rFonts w:cs="Arial"/>
                <w:sz w:val="16"/>
                <w:szCs w:val="18"/>
              </w:rPr>
            </w:pPr>
            <w:smartTag w:uri="urn:schemas-microsoft-com:office:smarttags" w:element="stockticker">
              <w:r w:rsidRPr="000370BC">
                <w:rPr>
                  <w:rFonts w:cs="Arial"/>
                  <w:sz w:val="16"/>
                  <w:szCs w:val="18"/>
                </w:rPr>
                <w:t>BHC</w:t>
              </w:r>
            </w:smartTag>
            <w:r w:rsidRPr="000370BC">
              <w:rPr>
                <w:rFonts w:cs="Arial"/>
                <w:sz w:val="16"/>
                <w:szCs w:val="18"/>
              </w:rPr>
              <w:t xml:space="preserve"> ‘moving line’ 60%</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Pr>
                <w:rFonts w:cs="Arial"/>
                <w:sz w:val="16"/>
                <w:szCs w:val="18"/>
              </w:rPr>
              <w:t>1998</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Pr>
                <w:rFonts w:cs="Arial"/>
                <w:sz w:val="16"/>
                <w:szCs w:val="18"/>
              </w:rPr>
              <w:t>-</w:t>
            </w:r>
          </w:p>
        </w:tc>
        <w:tc>
          <w:tcPr>
            <w:tcW w:w="1440" w:type="dxa"/>
            <w:vAlign w:val="center"/>
          </w:tcPr>
          <w:p w:rsidR="007B3E55" w:rsidRDefault="007B3E55" w:rsidP="00614C04">
            <w:pPr>
              <w:spacing w:before="40" w:after="40"/>
              <w:jc w:val="center"/>
              <w:rPr>
                <w:rFonts w:cs="Arial"/>
                <w:sz w:val="16"/>
                <w:szCs w:val="18"/>
              </w:rPr>
            </w:pPr>
            <w:r>
              <w:rPr>
                <w:rFonts w:cs="Arial"/>
                <w:sz w:val="16"/>
                <w:szCs w:val="18"/>
              </w:rPr>
              <w:t>28</w:t>
            </w:r>
          </w:p>
        </w:tc>
        <w:tc>
          <w:tcPr>
            <w:tcW w:w="1440" w:type="dxa"/>
            <w:vAlign w:val="center"/>
          </w:tcPr>
          <w:p w:rsidR="007B3E55" w:rsidRDefault="007B3E55" w:rsidP="00614C04">
            <w:pPr>
              <w:spacing w:before="40" w:after="40"/>
              <w:jc w:val="center"/>
              <w:rPr>
                <w:rFonts w:cs="Arial"/>
                <w:sz w:val="16"/>
                <w:szCs w:val="18"/>
              </w:rPr>
            </w:pPr>
            <w:r>
              <w:rPr>
                <w:rFonts w:cs="Arial"/>
                <w:sz w:val="16"/>
                <w:szCs w:val="18"/>
              </w:rPr>
              <w:t>20</w:t>
            </w:r>
          </w:p>
        </w:tc>
        <w:tc>
          <w:tcPr>
            <w:tcW w:w="1364" w:type="dxa"/>
            <w:vAlign w:val="center"/>
          </w:tcPr>
          <w:p w:rsidR="007B3E55" w:rsidRPr="000370BC" w:rsidRDefault="007B3E55" w:rsidP="00614C04">
            <w:pPr>
              <w:spacing w:before="40" w:after="40"/>
              <w:jc w:val="center"/>
              <w:rPr>
                <w:rFonts w:cs="Arial"/>
                <w:sz w:val="16"/>
                <w:szCs w:val="18"/>
              </w:rPr>
            </w:pPr>
            <w:r>
              <w:rPr>
                <w:rFonts w:cs="Arial"/>
                <w:sz w:val="16"/>
                <w:szCs w:val="18"/>
              </w:rPr>
              <w:t>20</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2001</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sidRPr="000370BC">
              <w:rPr>
                <w:rFonts w:cs="Arial"/>
                <w:sz w:val="16"/>
                <w:szCs w:val="18"/>
              </w:rPr>
              <w:t>37</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30</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21</w:t>
            </w:r>
          </w:p>
        </w:tc>
        <w:tc>
          <w:tcPr>
            <w:tcW w:w="136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24</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2004</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sidRPr="000370BC">
              <w:rPr>
                <w:rFonts w:cs="Arial"/>
                <w:sz w:val="16"/>
                <w:szCs w:val="18"/>
              </w:rPr>
              <w:t>31</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28</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19</w:t>
            </w:r>
          </w:p>
        </w:tc>
        <w:tc>
          <w:tcPr>
            <w:tcW w:w="136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26</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2007</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sidRPr="000370BC">
              <w:rPr>
                <w:rFonts w:cs="Arial"/>
                <w:sz w:val="16"/>
                <w:szCs w:val="18"/>
              </w:rPr>
              <w:t>22</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22</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16</w:t>
            </w:r>
          </w:p>
        </w:tc>
        <w:tc>
          <w:tcPr>
            <w:tcW w:w="136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20</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2009</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sidRPr="000370BC">
              <w:rPr>
                <w:rFonts w:cs="Arial"/>
                <w:sz w:val="16"/>
                <w:szCs w:val="18"/>
              </w:rPr>
              <w:t>22</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25</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18</w:t>
            </w:r>
          </w:p>
        </w:tc>
        <w:tc>
          <w:tcPr>
            <w:tcW w:w="1364" w:type="dxa"/>
            <w:vAlign w:val="center"/>
          </w:tcPr>
          <w:p w:rsidR="007B3E55" w:rsidRPr="000370BC" w:rsidRDefault="007B3E55" w:rsidP="00614C04">
            <w:pPr>
              <w:spacing w:before="40" w:after="40"/>
              <w:jc w:val="center"/>
              <w:rPr>
                <w:rFonts w:cs="Arial"/>
                <w:sz w:val="16"/>
                <w:szCs w:val="18"/>
              </w:rPr>
            </w:pPr>
            <w:r w:rsidRPr="000370BC">
              <w:rPr>
                <w:rFonts w:cs="Arial"/>
                <w:sz w:val="16"/>
                <w:szCs w:val="18"/>
              </w:rPr>
              <w:t>19</w:t>
            </w:r>
          </w:p>
        </w:tc>
      </w:tr>
      <w:tr w:rsidR="007B3E55" w:rsidRPr="000370BC">
        <w:trPr>
          <w:jc w:val="center"/>
        </w:trPr>
        <w:tc>
          <w:tcPr>
            <w:tcW w:w="724" w:type="dxa"/>
            <w:vAlign w:val="center"/>
          </w:tcPr>
          <w:p w:rsidR="007B3E55" w:rsidRPr="000370BC" w:rsidRDefault="007B3E55" w:rsidP="00614C04">
            <w:pPr>
              <w:spacing w:before="40" w:after="40"/>
              <w:jc w:val="center"/>
              <w:rPr>
                <w:rFonts w:cs="Arial"/>
                <w:sz w:val="16"/>
                <w:szCs w:val="18"/>
              </w:rPr>
            </w:pPr>
            <w:r>
              <w:rPr>
                <w:rFonts w:cs="Arial"/>
                <w:sz w:val="16"/>
                <w:szCs w:val="18"/>
              </w:rPr>
              <w:t>2010</w:t>
            </w:r>
          </w:p>
        </w:tc>
        <w:tc>
          <w:tcPr>
            <w:tcW w:w="1289" w:type="dxa"/>
            <w:shd w:val="clear" w:color="auto" w:fill="E0E0E0"/>
            <w:vAlign w:val="center"/>
          </w:tcPr>
          <w:p w:rsidR="007B3E55" w:rsidRPr="000370BC" w:rsidRDefault="007B3E55" w:rsidP="00614C04">
            <w:pPr>
              <w:spacing w:before="40" w:after="40"/>
              <w:jc w:val="center"/>
              <w:rPr>
                <w:rFonts w:cs="Arial"/>
                <w:sz w:val="16"/>
                <w:szCs w:val="18"/>
              </w:rPr>
            </w:pPr>
            <w:r>
              <w:rPr>
                <w:rFonts w:cs="Arial"/>
                <w:sz w:val="16"/>
                <w:szCs w:val="18"/>
              </w:rPr>
              <w:t>22</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26</w:t>
            </w:r>
          </w:p>
        </w:tc>
        <w:tc>
          <w:tcPr>
            <w:tcW w:w="1440" w:type="dxa"/>
            <w:vAlign w:val="center"/>
          </w:tcPr>
          <w:p w:rsidR="007B3E55" w:rsidRPr="000370BC" w:rsidRDefault="007B3E55" w:rsidP="00614C04">
            <w:pPr>
              <w:spacing w:before="40" w:after="40"/>
              <w:jc w:val="center"/>
              <w:rPr>
                <w:rFonts w:cs="Arial"/>
                <w:sz w:val="16"/>
                <w:szCs w:val="18"/>
              </w:rPr>
            </w:pPr>
            <w:r>
              <w:rPr>
                <w:rFonts w:cs="Arial"/>
                <w:sz w:val="16"/>
                <w:szCs w:val="18"/>
              </w:rPr>
              <w:t>16</w:t>
            </w:r>
          </w:p>
        </w:tc>
        <w:tc>
          <w:tcPr>
            <w:tcW w:w="1364" w:type="dxa"/>
            <w:vAlign w:val="center"/>
          </w:tcPr>
          <w:p w:rsidR="007B3E55" w:rsidRPr="000370BC" w:rsidRDefault="007B3E55" w:rsidP="00614C04">
            <w:pPr>
              <w:spacing w:before="40" w:after="40"/>
              <w:jc w:val="center"/>
              <w:rPr>
                <w:rFonts w:cs="Arial"/>
                <w:sz w:val="16"/>
                <w:szCs w:val="18"/>
              </w:rPr>
            </w:pPr>
            <w:r>
              <w:rPr>
                <w:rFonts w:cs="Arial"/>
                <w:sz w:val="16"/>
                <w:szCs w:val="18"/>
              </w:rPr>
              <w:t>20</w:t>
            </w:r>
          </w:p>
        </w:tc>
      </w:tr>
      <w:tr w:rsidR="007B3E55" w:rsidRPr="000370BC">
        <w:trPr>
          <w:jc w:val="center"/>
        </w:trPr>
        <w:tc>
          <w:tcPr>
            <w:tcW w:w="724" w:type="dxa"/>
            <w:vAlign w:val="center"/>
          </w:tcPr>
          <w:p w:rsidR="007B3E55" w:rsidRDefault="007B3E55" w:rsidP="00614C04">
            <w:pPr>
              <w:spacing w:before="40" w:after="40"/>
              <w:jc w:val="center"/>
              <w:rPr>
                <w:rFonts w:cs="Arial"/>
                <w:sz w:val="16"/>
                <w:szCs w:val="18"/>
              </w:rPr>
            </w:pPr>
            <w:r>
              <w:rPr>
                <w:rFonts w:cs="Arial"/>
                <w:sz w:val="16"/>
                <w:szCs w:val="18"/>
              </w:rPr>
              <w:t>2011</w:t>
            </w:r>
          </w:p>
        </w:tc>
        <w:tc>
          <w:tcPr>
            <w:tcW w:w="1289" w:type="dxa"/>
            <w:shd w:val="clear" w:color="auto" w:fill="E0E0E0"/>
            <w:vAlign w:val="center"/>
          </w:tcPr>
          <w:p w:rsidR="007B3E55" w:rsidRDefault="007B3E55" w:rsidP="00614C04">
            <w:pPr>
              <w:spacing w:before="40" w:after="40"/>
              <w:jc w:val="center"/>
              <w:rPr>
                <w:rFonts w:cs="Arial"/>
                <w:sz w:val="16"/>
                <w:szCs w:val="18"/>
              </w:rPr>
            </w:pPr>
            <w:r>
              <w:rPr>
                <w:rFonts w:cs="Arial"/>
                <w:sz w:val="16"/>
                <w:szCs w:val="18"/>
              </w:rPr>
              <w:t>21</w:t>
            </w:r>
          </w:p>
        </w:tc>
        <w:tc>
          <w:tcPr>
            <w:tcW w:w="1440" w:type="dxa"/>
            <w:vAlign w:val="center"/>
          </w:tcPr>
          <w:p w:rsidR="007B3E55" w:rsidRDefault="007B3E55" w:rsidP="00614C04">
            <w:pPr>
              <w:spacing w:before="40" w:after="40"/>
              <w:jc w:val="center"/>
              <w:rPr>
                <w:rFonts w:cs="Arial"/>
                <w:sz w:val="16"/>
                <w:szCs w:val="18"/>
              </w:rPr>
            </w:pPr>
            <w:r>
              <w:rPr>
                <w:rFonts w:cs="Arial"/>
                <w:sz w:val="16"/>
                <w:szCs w:val="18"/>
              </w:rPr>
              <w:t>25</w:t>
            </w:r>
          </w:p>
        </w:tc>
        <w:tc>
          <w:tcPr>
            <w:tcW w:w="1440" w:type="dxa"/>
            <w:vAlign w:val="center"/>
          </w:tcPr>
          <w:p w:rsidR="007B3E55" w:rsidRDefault="007B3E55" w:rsidP="00614C04">
            <w:pPr>
              <w:spacing w:before="40" w:after="40"/>
              <w:jc w:val="center"/>
              <w:rPr>
                <w:rFonts w:cs="Arial"/>
                <w:sz w:val="16"/>
                <w:szCs w:val="18"/>
              </w:rPr>
            </w:pPr>
            <w:r>
              <w:rPr>
                <w:rFonts w:cs="Arial"/>
                <w:sz w:val="16"/>
                <w:szCs w:val="18"/>
              </w:rPr>
              <w:t>16</w:t>
            </w:r>
          </w:p>
        </w:tc>
        <w:tc>
          <w:tcPr>
            <w:tcW w:w="1364" w:type="dxa"/>
            <w:vAlign w:val="center"/>
          </w:tcPr>
          <w:p w:rsidR="007B3E55" w:rsidRDefault="007B3E55" w:rsidP="00614C04">
            <w:pPr>
              <w:spacing w:before="40" w:after="40"/>
              <w:jc w:val="center"/>
              <w:rPr>
                <w:rFonts w:cs="Arial"/>
                <w:sz w:val="16"/>
                <w:szCs w:val="18"/>
              </w:rPr>
            </w:pPr>
            <w:r>
              <w:rPr>
                <w:rFonts w:cs="Arial"/>
                <w:sz w:val="16"/>
                <w:szCs w:val="18"/>
              </w:rPr>
              <w:t>19</w:t>
            </w:r>
          </w:p>
        </w:tc>
      </w:tr>
    </w:tbl>
    <w:p w:rsidR="007B3E55" w:rsidRPr="00F40EFA" w:rsidRDefault="007B3E55" w:rsidP="007B3E55">
      <w:pPr>
        <w:tabs>
          <w:tab w:val="left" w:pos="1980"/>
        </w:tabs>
        <w:spacing w:before="120"/>
        <w:ind w:left="2340" w:right="1109" w:hanging="990"/>
        <w:jc w:val="both"/>
        <w:rPr>
          <w:rFonts w:cs="Arial"/>
          <w:sz w:val="16"/>
          <w:szCs w:val="16"/>
        </w:rPr>
      </w:pPr>
      <w:r w:rsidRPr="00F40EFA">
        <w:rPr>
          <w:rFonts w:cs="Arial"/>
          <w:sz w:val="16"/>
          <w:szCs w:val="16"/>
        </w:rPr>
        <w:t xml:space="preserve">Notes: </w:t>
      </w:r>
      <w:r w:rsidRPr="00F40EFA">
        <w:rPr>
          <w:rFonts w:cs="Arial"/>
          <w:sz w:val="16"/>
          <w:szCs w:val="16"/>
        </w:rPr>
        <w:tab/>
        <w:t xml:space="preserve">(1) </w:t>
      </w:r>
      <w:r w:rsidRPr="00F40EFA">
        <w:rPr>
          <w:rFonts w:cs="Arial"/>
          <w:sz w:val="16"/>
          <w:szCs w:val="16"/>
        </w:rPr>
        <w:tab/>
        <w:t xml:space="preserve">The reference year for the fixed line figures is 2007. </w:t>
      </w:r>
    </w:p>
    <w:p w:rsidR="007B3E55" w:rsidRPr="00F40EFA" w:rsidRDefault="007B3E55" w:rsidP="007B3E55">
      <w:pPr>
        <w:tabs>
          <w:tab w:val="left" w:pos="1980"/>
        </w:tabs>
        <w:spacing w:before="60"/>
        <w:ind w:left="2348" w:right="1109" w:hanging="994"/>
        <w:jc w:val="both"/>
        <w:rPr>
          <w:rFonts w:cs="Arial"/>
          <w:sz w:val="16"/>
          <w:szCs w:val="16"/>
        </w:rPr>
      </w:pPr>
      <w:r w:rsidRPr="00F40EFA">
        <w:rPr>
          <w:rFonts w:cs="Arial"/>
          <w:sz w:val="16"/>
          <w:szCs w:val="16"/>
        </w:rPr>
        <w:tab/>
        <w:t xml:space="preserve">(2) </w:t>
      </w:r>
      <w:r w:rsidRPr="00F40EFA">
        <w:rPr>
          <w:rFonts w:cs="Arial"/>
          <w:sz w:val="16"/>
          <w:szCs w:val="16"/>
        </w:rPr>
        <w:tab/>
        <w:t xml:space="preserve">The </w:t>
      </w:r>
      <w:smartTag w:uri="urn:schemas-microsoft-com:office:smarttags" w:element="stockticker">
        <w:r w:rsidRPr="00F40EFA">
          <w:rPr>
            <w:rFonts w:cs="Arial"/>
            <w:sz w:val="16"/>
            <w:szCs w:val="16"/>
          </w:rPr>
          <w:t>BHC</w:t>
        </w:r>
      </w:smartTag>
      <w:r w:rsidRPr="00F40EFA">
        <w:rPr>
          <w:rFonts w:cs="Arial"/>
          <w:sz w:val="16"/>
          <w:szCs w:val="16"/>
        </w:rPr>
        <w:t xml:space="preserve"> 60% moving line measure is the one used by the EU – the median EU child poverty rate in 20</w:t>
      </w:r>
      <w:r>
        <w:rPr>
          <w:rFonts w:cs="Arial"/>
          <w:sz w:val="16"/>
          <w:szCs w:val="16"/>
        </w:rPr>
        <w:t>10</w:t>
      </w:r>
      <w:r w:rsidRPr="00F40EFA">
        <w:rPr>
          <w:rFonts w:cs="Arial"/>
          <w:sz w:val="16"/>
          <w:szCs w:val="16"/>
        </w:rPr>
        <w:t xml:space="preserve"> was 2</w:t>
      </w:r>
      <w:r>
        <w:rPr>
          <w:rFonts w:cs="Arial"/>
          <w:sz w:val="16"/>
          <w:szCs w:val="16"/>
        </w:rPr>
        <w:t>1</w:t>
      </w:r>
      <w:r w:rsidRPr="00F40EFA">
        <w:rPr>
          <w:rFonts w:cs="Arial"/>
          <w:sz w:val="16"/>
          <w:szCs w:val="16"/>
        </w:rPr>
        <w:t>% on this measure.</w:t>
      </w:r>
    </w:p>
    <w:p w:rsidR="007B3E55" w:rsidRPr="00F40EFA" w:rsidRDefault="007B3E55" w:rsidP="007B3E55">
      <w:pPr>
        <w:tabs>
          <w:tab w:val="left" w:pos="1980"/>
        </w:tabs>
        <w:spacing w:before="60"/>
        <w:ind w:left="2348" w:right="1109" w:hanging="994"/>
        <w:jc w:val="both"/>
        <w:rPr>
          <w:rFonts w:cs="Arial"/>
          <w:sz w:val="16"/>
          <w:szCs w:val="16"/>
        </w:rPr>
      </w:pPr>
      <w:r w:rsidRPr="00F40EFA">
        <w:rPr>
          <w:rFonts w:cs="Arial"/>
          <w:sz w:val="16"/>
          <w:szCs w:val="16"/>
        </w:rPr>
        <w:tab/>
        <w:t>(2)</w:t>
      </w:r>
      <w:r w:rsidRPr="00F40EFA">
        <w:rPr>
          <w:rFonts w:cs="Arial"/>
          <w:sz w:val="16"/>
          <w:szCs w:val="16"/>
        </w:rPr>
        <w:tab/>
        <w:t xml:space="preserve">The rising rate from 1998 to 2004 on the </w:t>
      </w:r>
      <w:smartTag w:uri="urn:schemas-microsoft-com:office:smarttags" w:element="stockticker">
        <w:r w:rsidRPr="00F40EFA">
          <w:rPr>
            <w:rFonts w:cs="Arial"/>
            <w:sz w:val="16"/>
            <w:szCs w:val="16"/>
          </w:rPr>
          <w:t>BHC</w:t>
        </w:r>
      </w:smartTag>
      <w:r w:rsidRPr="00F40EFA">
        <w:rPr>
          <w:rFonts w:cs="Arial"/>
          <w:sz w:val="16"/>
          <w:szCs w:val="16"/>
        </w:rPr>
        <w:t xml:space="preserve"> measure reflects the fact that median household income increased much more rapidly than low incomes did in the period – without WFF the child poverty rate on this measure would have continued to climb to around 30% by 2009.</w:t>
      </w:r>
    </w:p>
    <w:p w:rsidR="007B3E55" w:rsidRDefault="007B3E55" w:rsidP="007B3E55">
      <w:pPr>
        <w:spacing w:before="120"/>
        <w:ind w:left="539"/>
        <w:jc w:val="both"/>
        <w:rPr>
          <w:rFonts w:cs="Arial"/>
          <w:sz w:val="20"/>
        </w:rPr>
      </w:pPr>
    </w:p>
    <w:p w:rsidR="007B3E55" w:rsidRPr="000370BC" w:rsidRDefault="007B3E55" w:rsidP="007B3E55">
      <w:pPr>
        <w:numPr>
          <w:ilvl w:val="0"/>
          <w:numId w:val="16"/>
        </w:numPr>
        <w:tabs>
          <w:tab w:val="clear" w:pos="1080"/>
          <w:tab w:val="num" w:pos="900"/>
        </w:tabs>
        <w:ind w:left="896" w:hanging="357"/>
        <w:jc w:val="both"/>
        <w:rPr>
          <w:rFonts w:cs="Arial"/>
          <w:sz w:val="20"/>
        </w:rPr>
      </w:pPr>
      <w:r>
        <w:rPr>
          <w:rFonts w:cs="Arial"/>
          <w:sz w:val="20"/>
        </w:rPr>
        <w:t>In</w:t>
      </w:r>
      <w:r w:rsidRPr="000370BC">
        <w:rPr>
          <w:rFonts w:cs="Arial"/>
          <w:sz w:val="20"/>
        </w:rPr>
        <w:t xml:space="preserve"> 20</w:t>
      </w:r>
      <w:r>
        <w:rPr>
          <w:rFonts w:cs="Arial"/>
          <w:sz w:val="20"/>
        </w:rPr>
        <w:t>11,</w:t>
      </w:r>
      <w:r w:rsidRPr="000370BC">
        <w:rPr>
          <w:rFonts w:cs="Arial"/>
          <w:sz w:val="20"/>
        </w:rPr>
        <w:t xml:space="preserve"> there were 1.07m dependent children (under 18) – on the measures in Table S.2, between 170,000 and 270,000 children were in households with incomes below the low-income thresholds (ie ‘in poverty’)</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In</w:t>
      </w:r>
      <w:r w:rsidRPr="000370BC">
        <w:rPr>
          <w:rFonts w:cs="Arial"/>
          <w:sz w:val="20"/>
        </w:rPr>
        <w:t xml:space="preserve"> 20</w:t>
      </w:r>
      <w:r>
        <w:rPr>
          <w:rFonts w:cs="Arial"/>
          <w:sz w:val="20"/>
        </w:rPr>
        <w:t>11</w:t>
      </w:r>
      <w:r w:rsidRPr="000370BC">
        <w:rPr>
          <w:rFonts w:cs="Arial"/>
          <w:sz w:val="20"/>
        </w:rPr>
        <w:t xml:space="preserve">, on the </w:t>
      </w:r>
      <w:r w:rsidR="00D84374">
        <w:rPr>
          <w:rFonts w:cs="Arial"/>
          <w:sz w:val="20"/>
        </w:rPr>
        <w:t>AHC ‘fixed line’ 60% measure</w:t>
      </w:r>
      <w:r w:rsidR="008319E2">
        <w:rPr>
          <w:rFonts w:cs="Arial"/>
          <w:sz w:val="20"/>
        </w:rPr>
        <w:t xml:space="preserve">, there were 230,000 </w:t>
      </w:r>
      <w:r>
        <w:rPr>
          <w:rFonts w:cs="Arial"/>
          <w:sz w:val="20"/>
        </w:rPr>
        <w:t>children</w:t>
      </w:r>
      <w:r w:rsidR="008319E2">
        <w:rPr>
          <w:rFonts w:cs="Arial"/>
          <w:sz w:val="20"/>
        </w:rPr>
        <w:t xml:space="preserve"> (21%)</w:t>
      </w:r>
      <w:r>
        <w:rPr>
          <w:rFonts w:cs="Arial"/>
          <w:sz w:val="20"/>
        </w:rPr>
        <w:t xml:space="preserve"> in households</w:t>
      </w:r>
      <w:r w:rsidRPr="000370BC">
        <w:rPr>
          <w:rFonts w:cs="Arial"/>
          <w:sz w:val="20"/>
        </w:rPr>
        <w:t xml:space="preserve"> below the low-income threshold (ie ‘in poverty’), down from 380,000 (37%) in 2001. </w:t>
      </w:r>
    </w:p>
    <w:p w:rsidR="007B3E55" w:rsidRPr="000370BC" w:rsidRDefault="007B3E55" w:rsidP="007B3E55">
      <w:pPr>
        <w:spacing w:before="120"/>
        <w:ind w:left="720"/>
        <w:jc w:val="both"/>
        <w:rPr>
          <w:rFonts w:cs="Arial"/>
        </w:rPr>
      </w:pPr>
    </w:p>
    <w:p w:rsidR="007B3E55" w:rsidRPr="000370BC" w:rsidRDefault="007B3E55" w:rsidP="007B3E55">
      <w:pPr>
        <w:ind w:left="450" w:hanging="450"/>
        <w:jc w:val="both"/>
        <w:rPr>
          <w:rFonts w:cs="Arial"/>
          <w:b/>
          <w:sz w:val="20"/>
        </w:rPr>
      </w:pPr>
      <w:r>
        <w:rPr>
          <w:rFonts w:cs="Arial"/>
          <w:b/>
          <w:sz w:val="20"/>
        </w:rPr>
        <w:lastRenderedPageBreak/>
        <w:t>1</w:t>
      </w:r>
      <w:r w:rsidR="008319E2">
        <w:rPr>
          <w:rFonts w:cs="Arial"/>
          <w:b/>
          <w:sz w:val="20"/>
        </w:rPr>
        <w:t>3</w:t>
      </w:r>
      <w:r w:rsidRPr="000370BC">
        <w:rPr>
          <w:rFonts w:cs="Arial"/>
          <w:b/>
          <w:sz w:val="20"/>
        </w:rPr>
        <w:tab/>
        <w:t xml:space="preserve">The incomes approach for assessing relative material wellbeing has much to offer, but cannot on its own give a full picture – </w:t>
      </w:r>
      <w:r>
        <w:rPr>
          <w:rFonts w:cs="Arial"/>
          <w:b/>
          <w:sz w:val="20"/>
        </w:rPr>
        <w:t>a more comprehensive perspective is made possible by using information from non-monetary indicators (NMIs) as well.</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T</w:t>
      </w:r>
      <w:r w:rsidRPr="000370BC">
        <w:rPr>
          <w:rFonts w:cs="Arial"/>
          <w:sz w:val="20"/>
        </w:rPr>
        <w:t>he incomes approach has some well-known limitations for assessing material wellbeing of households</w:t>
      </w:r>
      <w:r>
        <w:rPr>
          <w:rFonts w:cs="Arial"/>
          <w:sz w:val="20"/>
        </w:rPr>
        <w:t>:</w:t>
      </w:r>
    </w:p>
    <w:p w:rsidR="007B3E55" w:rsidRPr="000370BC" w:rsidRDefault="007B3E55" w:rsidP="007B3E55">
      <w:pPr>
        <w:numPr>
          <w:ilvl w:val="0"/>
          <w:numId w:val="24"/>
        </w:numPr>
        <w:tabs>
          <w:tab w:val="clear" w:pos="720"/>
          <w:tab w:val="num" w:pos="1260"/>
        </w:tabs>
        <w:spacing w:before="60"/>
        <w:ind w:left="1260" w:hanging="180"/>
        <w:jc w:val="both"/>
        <w:rPr>
          <w:rFonts w:cs="Arial"/>
          <w:sz w:val="20"/>
        </w:rPr>
      </w:pPr>
      <w:r>
        <w:rPr>
          <w:rFonts w:cs="Arial"/>
          <w:sz w:val="20"/>
        </w:rPr>
        <w:t>it</w:t>
      </w:r>
      <w:r w:rsidRPr="000370BC">
        <w:rPr>
          <w:rFonts w:cs="Arial"/>
          <w:sz w:val="20"/>
        </w:rPr>
        <w:t xml:space="preserve"> does not take into account </w:t>
      </w:r>
      <w:r w:rsidR="00C71BE3">
        <w:rPr>
          <w:rFonts w:cs="Arial"/>
          <w:sz w:val="20"/>
        </w:rPr>
        <w:t xml:space="preserve">the impact of </w:t>
      </w:r>
      <w:r w:rsidRPr="000370BC">
        <w:rPr>
          <w:rFonts w:cs="Arial"/>
          <w:sz w:val="20"/>
        </w:rPr>
        <w:t>household assets and financial savings which can buffer against fluctuations in household income</w:t>
      </w:r>
    </w:p>
    <w:p w:rsidR="007B3E55" w:rsidRPr="000370BC" w:rsidRDefault="007B3E55" w:rsidP="007B3E55">
      <w:pPr>
        <w:numPr>
          <w:ilvl w:val="0"/>
          <w:numId w:val="24"/>
        </w:numPr>
        <w:tabs>
          <w:tab w:val="clear" w:pos="720"/>
          <w:tab w:val="num" w:pos="1260"/>
        </w:tabs>
        <w:spacing w:before="60"/>
        <w:ind w:left="1260" w:hanging="180"/>
        <w:jc w:val="both"/>
        <w:rPr>
          <w:rFonts w:cs="Arial"/>
          <w:sz w:val="20"/>
        </w:rPr>
      </w:pPr>
      <w:r>
        <w:rPr>
          <w:rFonts w:cs="Arial"/>
          <w:sz w:val="20"/>
        </w:rPr>
        <w:t>it</w:t>
      </w:r>
      <w:r w:rsidRPr="000370BC">
        <w:rPr>
          <w:rFonts w:cs="Arial"/>
          <w:sz w:val="20"/>
        </w:rPr>
        <w:t xml:space="preserve"> does not capture the impact of unusual costs (such as high health costs or high debt servicing costs), nor of assistance in </w:t>
      </w:r>
      <w:r>
        <w:rPr>
          <w:rFonts w:cs="Arial"/>
          <w:sz w:val="20"/>
        </w:rPr>
        <w:t xml:space="preserve">cash or </w:t>
      </w:r>
      <w:r w:rsidRPr="000370BC">
        <w:rPr>
          <w:rFonts w:cs="Arial"/>
          <w:sz w:val="20"/>
        </w:rPr>
        <w:t>kind</w:t>
      </w:r>
      <w:r>
        <w:rPr>
          <w:rFonts w:cs="Arial"/>
          <w:sz w:val="20"/>
        </w:rPr>
        <w:t xml:space="preserve"> from outside the household</w:t>
      </w:r>
    </w:p>
    <w:p w:rsidR="007B3E55" w:rsidRPr="000370BC" w:rsidRDefault="007B3E55" w:rsidP="007B3E55">
      <w:pPr>
        <w:numPr>
          <w:ilvl w:val="0"/>
          <w:numId w:val="24"/>
        </w:numPr>
        <w:tabs>
          <w:tab w:val="clear" w:pos="720"/>
          <w:tab w:val="num" w:pos="1260"/>
        </w:tabs>
        <w:spacing w:before="60"/>
        <w:ind w:left="1260" w:hanging="180"/>
        <w:jc w:val="both"/>
        <w:rPr>
          <w:rFonts w:cs="Arial"/>
          <w:sz w:val="20"/>
        </w:rPr>
      </w:pPr>
      <w:r>
        <w:rPr>
          <w:rFonts w:cs="Arial"/>
          <w:sz w:val="20"/>
        </w:rPr>
        <w:t>in</w:t>
      </w:r>
      <w:r w:rsidRPr="000370BC">
        <w:rPr>
          <w:rFonts w:cs="Arial"/>
          <w:sz w:val="20"/>
        </w:rPr>
        <w:t xml:space="preserve">ternational poverty comparisons are especially limited because of differing average incomes across </w:t>
      </w:r>
      <w:r>
        <w:rPr>
          <w:rFonts w:cs="Arial"/>
          <w:sz w:val="20"/>
        </w:rPr>
        <w:t xml:space="preserve">the </w:t>
      </w:r>
      <w:r w:rsidRPr="000370BC">
        <w:rPr>
          <w:rFonts w:cs="Arial"/>
          <w:sz w:val="20"/>
        </w:rPr>
        <w:t>countries being compared</w:t>
      </w:r>
      <w:r>
        <w:rPr>
          <w:rFonts w:cs="Arial"/>
          <w:sz w:val="20"/>
        </w:rPr>
        <w:t xml:space="preserve"> – see #2</w:t>
      </w:r>
      <w:r w:rsidR="008319E2">
        <w:rPr>
          <w:rFonts w:cs="Arial"/>
          <w:sz w:val="20"/>
        </w:rPr>
        <w:t>4</w:t>
      </w:r>
      <w:r>
        <w:rPr>
          <w:rFonts w:cs="Arial"/>
          <w:sz w:val="20"/>
        </w:rPr>
        <w:t xml:space="preserve"> </w:t>
      </w:r>
      <w:r w:rsidR="00C71BE3">
        <w:rPr>
          <w:rFonts w:cs="Arial"/>
          <w:sz w:val="20"/>
        </w:rPr>
        <w:t>below</w:t>
      </w:r>
    </w:p>
    <w:p w:rsidR="007B3E55" w:rsidRPr="000370BC" w:rsidRDefault="007B3E55" w:rsidP="007B3E55">
      <w:pPr>
        <w:numPr>
          <w:ilvl w:val="0"/>
          <w:numId w:val="16"/>
        </w:numPr>
        <w:tabs>
          <w:tab w:val="clear" w:pos="1080"/>
          <w:tab w:val="num" w:pos="993"/>
        </w:tabs>
        <w:spacing w:before="120"/>
        <w:ind w:left="993" w:hanging="426"/>
        <w:jc w:val="both"/>
        <w:rPr>
          <w:rFonts w:cs="Arial"/>
          <w:sz w:val="20"/>
        </w:rPr>
      </w:pPr>
      <w:r>
        <w:rPr>
          <w:rFonts w:cs="Arial"/>
          <w:sz w:val="20"/>
        </w:rPr>
        <w:t>A non-income</w:t>
      </w:r>
      <w:r w:rsidRPr="000370BC">
        <w:rPr>
          <w:rFonts w:cs="Arial"/>
          <w:sz w:val="20"/>
        </w:rPr>
        <w:t xml:space="preserve"> approach</w:t>
      </w:r>
      <w:r>
        <w:rPr>
          <w:rFonts w:cs="Arial"/>
          <w:sz w:val="20"/>
        </w:rPr>
        <w:t xml:space="preserve"> using NMIs</w:t>
      </w:r>
      <w:r w:rsidRPr="000370BC">
        <w:rPr>
          <w:rFonts w:cs="Arial"/>
          <w:sz w:val="20"/>
        </w:rPr>
        <w:t xml:space="preserve"> can provide supplementary information to give a more complete picture as well as providing more robust findings where the incomes</w:t>
      </w:r>
      <w:r>
        <w:rPr>
          <w:rFonts w:cs="Arial"/>
          <w:sz w:val="20"/>
        </w:rPr>
        <w:t xml:space="preserve"> approach is especially limited.  This information can be used in its own right or together with income data to monitor the material wellbeing of New Zealanders.</w:t>
      </w:r>
    </w:p>
    <w:p w:rsidR="007B3E55" w:rsidRDefault="007B3E55" w:rsidP="007B3E55">
      <w:pPr>
        <w:numPr>
          <w:ilvl w:val="0"/>
          <w:numId w:val="16"/>
        </w:numPr>
        <w:tabs>
          <w:tab w:val="clear" w:pos="1080"/>
          <w:tab w:val="num" w:pos="993"/>
        </w:tabs>
        <w:spacing w:before="120"/>
        <w:ind w:left="993" w:hanging="426"/>
        <w:jc w:val="both"/>
        <w:rPr>
          <w:rFonts w:cs="Arial"/>
          <w:sz w:val="20"/>
        </w:rPr>
      </w:pPr>
      <w:r>
        <w:rPr>
          <w:rFonts w:cs="Arial"/>
          <w:sz w:val="20"/>
        </w:rPr>
        <w:t>Three types of findings using NMIs are relevant to the central themes of this report.  The first two are summarised below (#1</w:t>
      </w:r>
      <w:r w:rsidR="008319E2">
        <w:rPr>
          <w:rFonts w:cs="Arial"/>
          <w:sz w:val="20"/>
        </w:rPr>
        <w:t>4</w:t>
      </w:r>
      <w:r>
        <w:rPr>
          <w:rFonts w:cs="Arial"/>
          <w:sz w:val="20"/>
        </w:rPr>
        <w:t xml:space="preserve"> and #1</w:t>
      </w:r>
      <w:r w:rsidR="008319E2">
        <w:rPr>
          <w:rFonts w:cs="Arial"/>
          <w:sz w:val="20"/>
        </w:rPr>
        <w:t>5</w:t>
      </w:r>
      <w:r>
        <w:rPr>
          <w:rFonts w:cs="Arial"/>
          <w:sz w:val="20"/>
        </w:rPr>
        <w:t>).  For the third and other findings, see the main report:</w:t>
      </w:r>
    </w:p>
    <w:p w:rsidR="007B3E55" w:rsidRDefault="007B3E55" w:rsidP="00614C04">
      <w:pPr>
        <w:numPr>
          <w:ilvl w:val="0"/>
          <w:numId w:val="85"/>
        </w:numPr>
        <w:tabs>
          <w:tab w:val="clear" w:pos="720"/>
          <w:tab w:val="num" w:pos="1701"/>
        </w:tabs>
        <w:spacing w:before="60"/>
        <w:ind w:left="1699"/>
        <w:jc w:val="both"/>
        <w:rPr>
          <w:rFonts w:cs="Arial"/>
          <w:sz w:val="20"/>
        </w:rPr>
      </w:pPr>
      <w:r>
        <w:rPr>
          <w:rFonts w:cs="Arial"/>
          <w:sz w:val="20"/>
        </w:rPr>
        <w:t>trends in material hardship, using NMIs on their own</w:t>
      </w:r>
    </w:p>
    <w:p w:rsidR="007B3E55" w:rsidRDefault="007B3E55" w:rsidP="00614C04">
      <w:pPr>
        <w:numPr>
          <w:ilvl w:val="0"/>
          <w:numId w:val="85"/>
        </w:numPr>
        <w:tabs>
          <w:tab w:val="clear" w:pos="720"/>
          <w:tab w:val="num" w:pos="1701"/>
        </w:tabs>
        <w:spacing w:before="60"/>
        <w:ind w:left="1699"/>
        <w:jc w:val="both"/>
        <w:rPr>
          <w:rFonts w:cs="Arial"/>
          <w:sz w:val="20"/>
        </w:rPr>
      </w:pPr>
      <w:r>
        <w:rPr>
          <w:rFonts w:cs="Arial"/>
          <w:sz w:val="20"/>
        </w:rPr>
        <w:t>trends in material hardship for those with low household incomes</w:t>
      </w:r>
    </w:p>
    <w:p w:rsidR="007B3E55" w:rsidRPr="000370BC" w:rsidRDefault="007B3E55" w:rsidP="00614C04">
      <w:pPr>
        <w:numPr>
          <w:ilvl w:val="0"/>
          <w:numId w:val="83"/>
        </w:numPr>
        <w:tabs>
          <w:tab w:val="clear" w:pos="720"/>
          <w:tab w:val="num" w:pos="1701"/>
        </w:tabs>
        <w:spacing w:before="60"/>
        <w:ind w:left="1699" w:hanging="357"/>
        <w:jc w:val="both"/>
        <w:rPr>
          <w:rFonts w:cs="Arial"/>
          <w:color w:val="000000"/>
          <w:sz w:val="20"/>
        </w:rPr>
      </w:pPr>
      <w:r>
        <w:rPr>
          <w:rFonts w:cs="Arial"/>
          <w:color w:val="000000"/>
          <w:sz w:val="20"/>
        </w:rPr>
        <w:t>the different living conditions for those in the lowest income quintile compared with those for the majority of households.</w:t>
      </w:r>
    </w:p>
    <w:p w:rsidR="007B3E55" w:rsidRPr="002936E0" w:rsidRDefault="007B3E55" w:rsidP="007B3E55">
      <w:pPr>
        <w:tabs>
          <w:tab w:val="left" w:pos="1080"/>
        </w:tabs>
        <w:ind w:left="1170" w:hanging="630"/>
        <w:jc w:val="both"/>
        <w:rPr>
          <w:rFonts w:cs="Arial"/>
          <w:color w:val="000000"/>
          <w:sz w:val="20"/>
        </w:rPr>
      </w:pPr>
    </w:p>
    <w:p w:rsidR="007B3E55" w:rsidRPr="002936E0" w:rsidRDefault="007B3E55" w:rsidP="007B3E55">
      <w:pPr>
        <w:jc w:val="both"/>
        <w:rPr>
          <w:rFonts w:cs="Arial"/>
          <w:b/>
          <w:color w:val="000000"/>
          <w:sz w:val="20"/>
        </w:rPr>
      </w:pPr>
    </w:p>
    <w:p w:rsidR="007B3E55" w:rsidRPr="00D562E1" w:rsidRDefault="007B3E55" w:rsidP="007B3E55">
      <w:pPr>
        <w:ind w:left="450" w:hanging="450"/>
        <w:jc w:val="both"/>
        <w:rPr>
          <w:rFonts w:cs="Arial"/>
          <w:b/>
          <w:color w:val="000000"/>
          <w:sz w:val="20"/>
        </w:rPr>
      </w:pPr>
      <w:r>
        <w:rPr>
          <w:rFonts w:cs="Arial"/>
          <w:b/>
          <w:color w:val="000000"/>
          <w:sz w:val="20"/>
        </w:rPr>
        <w:t>1</w:t>
      </w:r>
      <w:r w:rsidR="008319E2">
        <w:rPr>
          <w:rFonts w:cs="Arial"/>
          <w:b/>
          <w:color w:val="000000"/>
          <w:sz w:val="20"/>
        </w:rPr>
        <w:t>4</w:t>
      </w:r>
      <w:r w:rsidRPr="00D562E1">
        <w:rPr>
          <w:rFonts w:cs="Arial"/>
          <w:b/>
          <w:color w:val="000000"/>
          <w:sz w:val="20"/>
        </w:rPr>
        <w:tab/>
      </w:r>
      <w:r>
        <w:rPr>
          <w:rFonts w:cs="Arial"/>
          <w:b/>
          <w:color w:val="000000"/>
          <w:sz w:val="20"/>
        </w:rPr>
        <w:t>Material hardship rates increased for some groups from 2007 to 2011, notably for children and older working age adults living on their own.</w:t>
      </w:r>
    </w:p>
    <w:p w:rsidR="007B3E55" w:rsidRDefault="007B3E55" w:rsidP="007B3E55">
      <w:pPr>
        <w:ind w:right="29"/>
        <w:jc w:val="both"/>
        <w:rPr>
          <w:rFonts w:cs="Arial"/>
          <w:b/>
          <w:sz w:val="20"/>
        </w:rPr>
      </w:pPr>
    </w:p>
    <w:p w:rsidR="007B3E55" w:rsidRPr="004452B2" w:rsidRDefault="007B3E55" w:rsidP="007B3E55">
      <w:pPr>
        <w:pStyle w:val="ListBullet"/>
        <w:tabs>
          <w:tab w:val="clear" w:pos="360"/>
          <w:tab w:val="num" w:pos="900"/>
        </w:tabs>
        <w:ind w:left="900"/>
        <w:jc w:val="both"/>
        <w:rPr>
          <w:rFonts w:ascii="Arial" w:hAnsi="Arial" w:cs="Arial"/>
          <w:color w:val="000000"/>
          <w:sz w:val="20"/>
          <w:szCs w:val="20"/>
        </w:rPr>
      </w:pPr>
      <w:r>
        <w:rPr>
          <w:rFonts w:ascii="Arial" w:hAnsi="Arial" w:cs="Arial"/>
          <w:sz w:val="20"/>
          <w:szCs w:val="20"/>
        </w:rPr>
        <w:t xml:space="preserve">The hardship threshold for the measure used in Figure S.3 is a relatively stringent one, giving a 2007 population hardship rate </w:t>
      </w:r>
      <w:r w:rsidR="00B0740E">
        <w:rPr>
          <w:rFonts w:ascii="Arial" w:hAnsi="Arial" w:cs="Arial"/>
          <w:sz w:val="20"/>
          <w:szCs w:val="20"/>
        </w:rPr>
        <w:t>of 10%.  The</w:t>
      </w:r>
      <w:r>
        <w:rPr>
          <w:rFonts w:ascii="Arial" w:hAnsi="Arial" w:cs="Arial"/>
          <w:sz w:val="20"/>
          <w:szCs w:val="20"/>
        </w:rPr>
        <w:t xml:space="preserve"> income poverty rate using the 50% of median AHC poverty threshold </w:t>
      </w:r>
      <w:r w:rsidR="00B0740E">
        <w:rPr>
          <w:rFonts w:ascii="Arial" w:hAnsi="Arial" w:cs="Arial"/>
          <w:sz w:val="20"/>
          <w:szCs w:val="20"/>
        </w:rPr>
        <w:t>was 13% in 2007.</w:t>
      </w:r>
    </w:p>
    <w:p w:rsidR="007B3E55" w:rsidRPr="00E007A9" w:rsidRDefault="007B3E55" w:rsidP="007B3E55">
      <w:pPr>
        <w:pStyle w:val="ListBullet"/>
        <w:tabs>
          <w:tab w:val="clear" w:pos="360"/>
          <w:tab w:val="num" w:pos="900"/>
        </w:tabs>
        <w:spacing w:before="120"/>
        <w:ind w:left="896" w:hanging="357"/>
        <w:jc w:val="both"/>
        <w:rPr>
          <w:rFonts w:ascii="Arial" w:hAnsi="Arial" w:cs="Arial"/>
          <w:color w:val="000000"/>
          <w:sz w:val="20"/>
          <w:szCs w:val="20"/>
        </w:rPr>
      </w:pPr>
      <w:r w:rsidRPr="00757959">
        <w:rPr>
          <w:rFonts w:ascii="Arial" w:hAnsi="Arial" w:cs="Arial"/>
          <w:b/>
          <w:sz w:val="20"/>
          <w:szCs w:val="20"/>
        </w:rPr>
        <w:t>Figure S.3</w:t>
      </w:r>
      <w:r w:rsidRPr="00757959">
        <w:rPr>
          <w:rFonts w:ascii="Arial" w:hAnsi="Arial" w:cs="Arial"/>
          <w:sz w:val="20"/>
          <w:szCs w:val="20"/>
        </w:rPr>
        <w:t xml:space="preserve"> </w:t>
      </w:r>
      <w:r>
        <w:rPr>
          <w:rFonts w:ascii="Arial" w:hAnsi="Arial" w:cs="Arial"/>
          <w:sz w:val="20"/>
          <w:szCs w:val="20"/>
        </w:rPr>
        <w:t>shows the trends in material hardship rates from 2007 to 2011 for selected population groups and for the population overall (up from 1</w:t>
      </w:r>
      <w:r w:rsidR="00B0740E">
        <w:rPr>
          <w:rFonts w:ascii="Arial" w:hAnsi="Arial" w:cs="Arial"/>
          <w:sz w:val="20"/>
          <w:szCs w:val="20"/>
        </w:rPr>
        <w:t>0</w:t>
      </w:r>
      <w:r>
        <w:rPr>
          <w:rFonts w:ascii="Arial" w:hAnsi="Arial" w:cs="Arial"/>
          <w:sz w:val="20"/>
          <w:szCs w:val="20"/>
        </w:rPr>
        <w:t>% to 1</w:t>
      </w:r>
      <w:r w:rsidR="00B0740E">
        <w:rPr>
          <w:rFonts w:ascii="Arial" w:hAnsi="Arial" w:cs="Arial"/>
          <w:sz w:val="20"/>
          <w:szCs w:val="20"/>
        </w:rPr>
        <w:t>3</w:t>
      </w:r>
      <w:r>
        <w:rPr>
          <w:rFonts w:ascii="Arial" w:hAnsi="Arial" w:cs="Arial"/>
          <w:sz w:val="20"/>
          <w:szCs w:val="20"/>
        </w:rPr>
        <w:t xml:space="preserve">%).  The overall rise is not unexpected given the impact of the GFC and the economic downturn. </w:t>
      </w:r>
    </w:p>
    <w:p w:rsidR="007B3E55" w:rsidRPr="00E007A9" w:rsidRDefault="007B3E55" w:rsidP="007B3E55">
      <w:pPr>
        <w:pStyle w:val="ListBullet"/>
        <w:numPr>
          <w:ilvl w:val="0"/>
          <w:numId w:val="0"/>
        </w:numPr>
        <w:ind w:left="540"/>
        <w:rPr>
          <w:rFonts w:ascii="Arial" w:hAnsi="Arial" w:cs="Arial"/>
          <w:color w:val="000000"/>
          <w:sz w:val="20"/>
          <w:szCs w:val="20"/>
        </w:rPr>
      </w:pPr>
    </w:p>
    <w:p w:rsidR="007B3E55" w:rsidRPr="009436C5" w:rsidRDefault="007B3E55" w:rsidP="007B3E55">
      <w:pPr>
        <w:ind w:right="-25"/>
        <w:jc w:val="center"/>
        <w:rPr>
          <w:rFonts w:cs="Arial"/>
          <w:b/>
          <w:sz w:val="18"/>
        </w:rPr>
      </w:pPr>
      <w:r w:rsidRPr="009436C5">
        <w:rPr>
          <w:rFonts w:cs="Arial"/>
          <w:b/>
          <w:sz w:val="18"/>
        </w:rPr>
        <w:t xml:space="preserve">Figure </w:t>
      </w:r>
      <w:r>
        <w:rPr>
          <w:rFonts w:cs="Arial"/>
          <w:b/>
          <w:sz w:val="18"/>
        </w:rPr>
        <w:t>S</w:t>
      </w:r>
      <w:r w:rsidRPr="009436C5">
        <w:rPr>
          <w:rFonts w:cs="Arial"/>
          <w:b/>
          <w:sz w:val="18"/>
        </w:rPr>
        <w:t>.3</w:t>
      </w:r>
    </w:p>
    <w:p w:rsidR="007B3E55" w:rsidRPr="009436C5" w:rsidRDefault="007B3E55" w:rsidP="007B3E55">
      <w:pPr>
        <w:ind w:right="-25"/>
        <w:jc w:val="center"/>
        <w:rPr>
          <w:rFonts w:cs="Arial"/>
          <w:b/>
          <w:sz w:val="18"/>
        </w:rPr>
      </w:pPr>
      <w:r>
        <w:rPr>
          <w:rFonts w:cs="Arial"/>
          <w:b/>
          <w:sz w:val="18"/>
        </w:rPr>
        <w:t>Rising material hardship for children and older one-person households, 2007 to 2011</w:t>
      </w:r>
    </w:p>
    <w:p w:rsidR="007B3E55" w:rsidRPr="00B0740E" w:rsidRDefault="00EC0BE0" w:rsidP="007B3E55">
      <w:pPr>
        <w:jc w:val="center"/>
        <w:rPr>
          <w:rFonts w:cs="Arial"/>
          <w:b/>
          <w:color w:val="000000"/>
          <w:sz w:val="20"/>
        </w:rPr>
      </w:pPr>
      <w:r>
        <w:rPr>
          <w:noProof/>
          <w:lang w:val="en-US"/>
        </w:rPr>
        <w:drawing>
          <wp:inline distT="0" distB="0" distL="0" distR="0">
            <wp:extent cx="3228975" cy="1990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228975" cy="1990725"/>
                    </a:xfrm>
                    <a:prstGeom prst="rect">
                      <a:avLst/>
                    </a:prstGeom>
                    <a:noFill/>
                    <a:ln w="9525">
                      <a:noFill/>
                      <a:miter lim="800000"/>
                      <a:headEnd/>
                      <a:tailEnd/>
                    </a:ln>
                  </pic:spPr>
                </pic:pic>
              </a:graphicData>
            </a:graphic>
          </wp:inline>
        </w:drawing>
      </w:r>
    </w:p>
    <w:p w:rsidR="007B3E55" w:rsidRPr="009F3584" w:rsidRDefault="007B3E55" w:rsidP="007B3E55">
      <w:pPr>
        <w:pStyle w:val="ListBullet"/>
        <w:numPr>
          <w:ilvl w:val="0"/>
          <w:numId w:val="0"/>
        </w:numPr>
        <w:ind w:left="491"/>
        <w:rPr>
          <w:rFonts w:ascii="Arial" w:hAnsi="Arial" w:cs="Arial"/>
          <w:color w:val="000000"/>
          <w:sz w:val="20"/>
          <w:szCs w:val="20"/>
        </w:rPr>
      </w:pPr>
    </w:p>
    <w:p w:rsidR="007B3E55" w:rsidRPr="001E450F" w:rsidRDefault="007B3E55" w:rsidP="00614C04">
      <w:pPr>
        <w:pStyle w:val="ListBullet"/>
        <w:numPr>
          <w:ilvl w:val="0"/>
          <w:numId w:val="96"/>
        </w:numPr>
        <w:tabs>
          <w:tab w:val="clear" w:pos="720"/>
          <w:tab w:val="num" w:pos="851"/>
        </w:tabs>
        <w:ind w:left="851"/>
        <w:rPr>
          <w:rFonts w:ascii="Arial" w:hAnsi="Arial" w:cs="Arial"/>
          <w:color w:val="000000"/>
          <w:sz w:val="20"/>
          <w:szCs w:val="20"/>
        </w:rPr>
      </w:pPr>
      <w:r>
        <w:rPr>
          <w:rFonts w:ascii="Arial" w:hAnsi="Arial" w:cs="Arial"/>
          <w:sz w:val="20"/>
          <w:szCs w:val="20"/>
        </w:rPr>
        <w:t xml:space="preserve">For some groups, hardship rates remained much the same in 2011 as in 2007, but for others hardship rates increased:  </w:t>
      </w:r>
    </w:p>
    <w:p w:rsidR="007B3E55" w:rsidRPr="002C282C" w:rsidRDefault="007B3E55" w:rsidP="00614C04">
      <w:pPr>
        <w:pStyle w:val="ListBullet"/>
        <w:numPr>
          <w:ilvl w:val="0"/>
          <w:numId w:val="88"/>
        </w:numPr>
        <w:tabs>
          <w:tab w:val="clear" w:pos="360"/>
          <w:tab w:val="num" w:pos="1276"/>
        </w:tabs>
        <w:spacing w:before="60"/>
        <w:ind w:left="1276" w:hanging="284"/>
        <w:jc w:val="both"/>
        <w:rPr>
          <w:rFonts w:ascii="Arial" w:hAnsi="Arial" w:cs="Arial"/>
          <w:color w:val="000000"/>
          <w:sz w:val="20"/>
          <w:szCs w:val="20"/>
        </w:rPr>
      </w:pPr>
      <w:r>
        <w:rPr>
          <w:rFonts w:ascii="Arial" w:hAnsi="Arial" w:cs="Arial"/>
          <w:sz w:val="20"/>
          <w:szCs w:val="20"/>
        </w:rPr>
        <w:t xml:space="preserve">The hardship rate for older New Zealanders remained relatively low and flat at </w:t>
      </w:r>
      <w:r w:rsidR="00B0740E">
        <w:rPr>
          <w:rFonts w:ascii="Arial" w:hAnsi="Arial" w:cs="Arial"/>
          <w:sz w:val="20"/>
          <w:szCs w:val="20"/>
        </w:rPr>
        <w:t xml:space="preserve">4 to </w:t>
      </w:r>
      <w:r>
        <w:rPr>
          <w:rFonts w:ascii="Arial" w:hAnsi="Arial" w:cs="Arial"/>
          <w:sz w:val="20"/>
          <w:szCs w:val="20"/>
        </w:rPr>
        <w:t>5%, while for children it rose from 1</w:t>
      </w:r>
      <w:r w:rsidR="00B0740E">
        <w:rPr>
          <w:rFonts w:ascii="Arial" w:hAnsi="Arial" w:cs="Arial"/>
          <w:sz w:val="20"/>
          <w:szCs w:val="20"/>
        </w:rPr>
        <w:t>5</w:t>
      </w:r>
      <w:r>
        <w:rPr>
          <w:rFonts w:ascii="Arial" w:hAnsi="Arial" w:cs="Arial"/>
          <w:sz w:val="20"/>
          <w:szCs w:val="20"/>
        </w:rPr>
        <w:t>% in 2007 to 2</w:t>
      </w:r>
      <w:r w:rsidR="00B0740E">
        <w:rPr>
          <w:rFonts w:ascii="Arial" w:hAnsi="Arial" w:cs="Arial"/>
          <w:sz w:val="20"/>
          <w:szCs w:val="20"/>
        </w:rPr>
        <w:t>1</w:t>
      </w:r>
      <w:r>
        <w:rPr>
          <w:rFonts w:ascii="Arial" w:hAnsi="Arial" w:cs="Arial"/>
          <w:sz w:val="20"/>
          <w:szCs w:val="20"/>
        </w:rPr>
        <w:t>% in 2011.</w:t>
      </w:r>
    </w:p>
    <w:p w:rsidR="007B3E55" w:rsidRDefault="007B3E55" w:rsidP="00614C04">
      <w:pPr>
        <w:pStyle w:val="ListBullet"/>
        <w:numPr>
          <w:ilvl w:val="0"/>
          <w:numId w:val="88"/>
        </w:numPr>
        <w:tabs>
          <w:tab w:val="clear" w:pos="360"/>
          <w:tab w:val="num" w:pos="1276"/>
        </w:tabs>
        <w:spacing w:before="60"/>
        <w:ind w:left="1276" w:hanging="284"/>
        <w:jc w:val="both"/>
        <w:rPr>
          <w:rFonts w:ascii="Arial" w:hAnsi="Arial" w:cs="Arial"/>
          <w:sz w:val="20"/>
          <w:szCs w:val="20"/>
        </w:rPr>
      </w:pPr>
      <w:r w:rsidRPr="001250E6">
        <w:rPr>
          <w:rFonts w:ascii="Arial" w:hAnsi="Arial" w:cs="Arial"/>
          <w:sz w:val="20"/>
          <w:szCs w:val="20"/>
        </w:rPr>
        <w:lastRenderedPageBreak/>
        <w:t>Hardship rates for older working</w:t>
      </w:r>
      <w:r>
        <w:rPr>
          <w:rFonts w:ascii="Arial" w:hAnsi="Arial" w:cs="Arial"/>
          <w:sz w:val="20"/>
          <w:szCs w:val="20"/>
        </w:rPr>
        <w:t>-</w:t>
      </w:r>
      <w:r w:rsidRPr="001250E6">
        <w:rPr>
          <w:rFonts w:ascii="Arial" w:hAnsi="Arial" w:cs="Arial"/>
          <w:sz w:val="20"/>
          <w:szCs w:val="20"/>
        </w:rPr>
        <w:t>age adults living on their own (45 to 64 yrs) also increased, from 1</w:t>
      </w:r>
      <w:r w:rsidR="00B0740E">
        <w:rPr>
          <w:rFonts w:ascii="Arial" w:hAnsi="Arial" w:cs="Arial"/>
          <w:sz w:val="20"/>
          <w:szCs w:val="20"/>
        </w:rPr>
        <w:t>0</w:t>
      </w:r>
      <w:r w:rsidRPr="001250E6">
        <w:rPr>
          <w:rFonts w:ascii="Arial" w:hAnsi="Arial" w:cs="Arial"/>
          <w:sz w:val="20"/>
          <w:szCs w:val="20"/>
        </w:rPr>
        <w:t xml:space="preserve">% in 2007 to </w:t>
      </w:r>
      <w:r>
        <w:rPr>
          <w:rFonts w:ascii="Arial" w:hAnsi="Arial" w:cs="Arial"/>
          <w:sz w:val="20"/>
          <w:szCs w:val="20"/>
        </w:rPr>
        <w:t>an average of 1</w:t>
      </w:r>
      <w:r w:rsidR="00B0740E">
        <w:rPr>
          <w:rFonts w:ascii="Arial" w:hAnsi="Arial" w:cs="Arial"/>
          <w:sz w:val="20"/>
          <w:szCs w:val="20"/>
        </w:rPr>
        <w:t>5</w:t>
      </w:r>
      <w:r>
        <w:rPr>
          <w:rFonts w:ascii="Arial" w:hAnsi="Arial" w:cs="Arial"/>
          <w:sz w:val="20"/>
          <w:szCs w:val="20"/>
        </w:rPr>
        <w:t xml:space="preserve">% in 2010 and 2011, while for working age couples without dependent children, the hardship rate was low and steady at </w:t>
      </w:r>
      <w:r w:rsidR="00B0740E">
        <w:rPr>
          <w:rFonts w:ascii="Arial" w:hAnsi="Arial" w:cs="Arial"/>
          <w:sz w:val="20"/>
          <w:szCs w:val="20"/>
        </w:rPr>
        <w:t>3</w:t>
      </w:r>
      <w:r>
        <w:rPr>
          <w:rFonts w:ascii="Arial" w:hAnsi="Arial" w:cs="Arial"/>
          <w:sz w:val="20"/>
          <w:szCs w:val="20"/>
        </w:rPr>
        <w:t xml:space="preserve"> to </w:t>
      </w:r>
      <w:r w:rsidR="00B0740E">
        <w:rPr>
          <w:rFonts w:ascii="Arial" w:hAnsi="Arial" w:cs="Arial"/>
          <w:sz w:val="20"/>
          <w:szCs w:val="20"/>
        </w:rPr>
        <w:t>4</w:t>
      </w:r>
      <w:r>
        <w:rPr>
          <w:rFonts w:ascii="Arial" w:hAnsi="Arial" w:cs="Arial"/>
          <w:sz w:val="20"/>
          <w:szCs w:val="20"/>
        </w:rPr>
        <w:t>%.</w:t>
      </w:r>
    </w:p>
    <w:p w:rsidR="007B3E55" w:rsidRDefault="007B3E55" w:rsidP="007B3E55">
      <w:pPr>
        <w:pStyle w:val="ListBullet"/>
        <w:tabs>
          <w:tab w:val="clear" w:pos="360"/>
          <w:tab w:val="num" w:pos="900"/>
        </w:tabs>
        <w:spacing w:before="120"/>
        <w:ind w:left="896" w:hanging="357"/>
        <w:jc w:val="both"/>
        <w:rPr>
          <w:rFonts w:ascii="Arial" w:hAnsi="Arial" w:cs="Arial"/>
          <w:sz w:val="20"/>
          <w:szCs w:val="20"/>
        </w:rPr>
      </w:pPr>
      <w:r>
        <w:rPr>
          <w:rFonts w:ascii="Arial" w:hAnsi="Arial" w:cs="Arial"/>
          <w:sz w:val="20"/>
          <w:szCs w:val="20"/>
        </w:rPr>
        <w:t>In #11 above it is noted that income poverty rates for children remained much the same from 2009 to 2011</w:t>
      </w:r>
      <w:r w:rsidR="00A67B9C">
        <w:rPr>
          <w:rFonts w:ascii="Arial" w:hAnsi="Arial" w:cs="Arial"/>
          <w:sz w:val="20"/>
          <w:szCs w:val="20"/>
        </w:rPr>
        <w:t>, yet here material hardship rates are reported as rising.</w:t>
      </w:r>
      <w:r>
        <w:rPr>
          <w:rFonts w:ascii="Arial" w:hAnsi="Arial" w:cs="Arial"/>
          <w:sz w:val="20"/>
          <w:szCs w:val="20"/>
        </w:rPr>
        <w:t xml:space="preserve">  </w:t>
      </w:r>
      <w:r w:rsidRPr="00594D2C">
        <w:rPr>
          <w:rFonts w:ascii="Arial" w:hAnsi="Arial" w:cs="Arial"/>
          <w:sz w:val="20"/>
          <w:szCs w:val="20"/>
        </w:rPr>
        <w:t xml:space="preserve">One of the main reasons for this difference of trend is that families with children with family incomes </w:t>
      </w:r>
      <w:r w:rsidRPr="00594D2C">
        <w:rPr>
          <w:rFonts w:ascii="Arial" w:hAnsi="Arial" w:cs="Arial"/>
          <w:sz w:val="20"/>
          <w:szCs w:val="20"/>
          <w:u w:val="single"/>
        </w:rPr>
        <w:t>above</w:t>
      </w:r>
      <w:r>
        <w:rPr>
          <w:rFonts w:ascii="Arial" w:hAnsi="Arial" w:cs="Arial"/>
          <w:sz w:val="20"/>
          <w:szCs w:val="20"/>
        </w:rPr>
        <w:t xml:space="preserve"> the poverty line </w:t>
      </w:r>
      <w:r w:rsidRPr="00594D2C">
        <w:rPr>
          <w:rFonts w:ascii="Arial" w:hAnsi="Arial" w:cs="Arial"/>
          <w:sz w:val="20"/>
          <w:szCs w:val="20"/>
        </w:rPr>
        <w:t>reported increased hardship, thus increasing measured hardship irrespective of what the income poverty trend was.</w:t>
      </w:r>
      <w:r>
        <w:rPr>
          <w:rFonts w:ascii="Arial" w:hAnsi="Arial" w:cs="Arial"/>
          <w:sz w:val="20"/>
          <w:szCs w:val="20"/>
        </w:rPr>
        <w:t xml:space="preserve">  This is discussed further in #8 above.</w:t>
      </w:r>
      <w:r w:rsidR="00A67B9C">
        <w:rPr>
          <w:rFonts w:ascii="Arial" w:hAnsi="Arial" w:cs="Arial"/>
          <w:sz w:val="20"/>
          <w:szCs w:val="20"/>
        </w:rPr>
        <w:t xml:space="preserve">  In addition, material hardship rates are affected by many more factors than just current income, as discussed in </w:t>
      </w:r>
      <w:r w:rsidR="00645817">
        <w:rPr>
          <w:rFonts w:ascii="Arial" w:hAnsi="Arial" w:cs="Arial"/>
          <w:sz w:val="20"/>
          <w:szCs w:val="20"/>
        </w:rPr>
        <w:t>the Background section of this Summary.</w:t>
      </w:r>
    </w:p>
    <w:p w:rsidR="007B3E55" w:rsidRDefault="007B3E55" w:rsidP="007B3E55">
      <w:pPr>
        <w:pStyle w:val="ListBullet"/>
        <w:tabs>
          <w:tab w:val="clear" w:pos="360"/>
          <w:tab w:val="num" w:pos="900"/>
        </w:tabs>
        <w:spacing w:before="120"/>
        <w:ind w:left="896" w:hanging="357"/>
        <w:jc w:val="both"/>
        <w:rPr>
          <w:rFonts w:ascii="Arial" w:hAnsi="Arial" w:cs="Arial"/>
          <w:sz w:val="20"/>
          <w:szCs w:val="20"/>
        </w:rPr>
      </w:pPr>
      <w:r>
        <w:rPr>
          <w:rFonts w:ascii="Arial" w:hAnsi="Arial" w:cs="Arial"/>
          <w:sz w:val="20"/>
          <w:szCs w:val="20"/>
        </w:rPr>
        <w:t>The same sort of hardship trends shown in Figure S.3 are found when using higher and lower thresholds, and also when using a quite differently configured index</w:t>
      </w:r>
      <w:r w:rsidR="00B0740E">
        <w:rPr>
          <w:rFonts w:ascii="Arial" w:hAnsi="Arial" w:cs="Arial"/>
          <w:sz w:val="20"/>
          <w:szCs w:val="20"/>
        </w:rPr>
        <w:t xml:space="preserve">. </w:t>
      </w:r>
      <w:r>
        <w:rPr>
          <w:rFonts w:ascii="Arial" w:hAnsi="Arial" w:cs="Arial"/>
          <w:sz w:val="20"/>
          <w:szCs w:val="20"/>
        </w:rPr>
        <w:t>The actual estimates of levels</w:t>
      </w:r>
      <w:r w:rsidR="00B0740E">
        <w:rPr>
          <w:rFonts w:ascii="Arial" w:hAnsi="Arial" w:cs="Arial"/>
          <w:sz w:val="20"/>
          <w:szCs w:val="20"/>
        </w:rPr>
        <w:t xml:space="preserve"> of hardship</w:t>
      </w:r>
      <w:r>
        <w:rPr>
          <w:rFonts w:ascii="Arial" w:hAnsi="Arial" w:cs="Arial"/>
          <w:sz w:val="20"/>
          <w:szCs w:val="20"/>
        </w:rPr>
        <w:t xml:space="preserve"> in 2011 are </w:t>
      </w:r>
      <w:r w:rsidR="00B0740E">
        <w:rPr>
          <w:rFonts w:ascii="Arial" w:hAnsi="Arial" w:cs="Arial"/>
          <w:sz w:val="20"/>
          <w:szCs w:val="20"/>
        </w:rPr>
        <w:t xml:space="preserve">of course dependent on the thresholds used </w:t>
      </w:r>
      <w:r>
        <w:rPr>
          <w:rFonts w:ascii="Arial" w:hAnsi="Arial" w:cs="Arial"/>
          <w:sz w:val="20"/>
          <w:szCs w:val="20"/>
        </w:rPr>
        <w:t>but the trend</w:t>
      </w:r>
      <w:r w:rsidR="001D4062">
        <w:rPr>
          <w:rFonts w:ascii="Arial" w:hAnsi="Arial" w:cs="Arial"/>
          <w:sz w:val="20"/>
          <w:szCs w:val="20"/>
        </w:rPr>
        <w:t xml:space="preserve"> directions</w:t>
      </w:r>
      <w:r w:rsidR="00C71BE3">
        <w:rPr>
          <w:rFonts w:ascii="Arial" w:hAnsi="Arial" w:cs="Arial"/>
          <w:sz w:val="20"/>
          <w:szCs w:val="20"/>
        </w:rPr>
        <w:t xml:space="preserve"> (whether upwards or flat)</w:t>
      </w:r>
      <w:r>
        <w:rPr>
          <w:rFonts w:ascii="Arial" w:hAnsi="Arial" w:cs="Arial"/>
          <w:sz w:val="20"/>
          <w:szCs w:val="20"/>
        </w:rPr>
        <w:t xml:space="preserve"> are </w:t>
      </w:r>
      <w:r w:rsidR="001D4062">
        <w:rPr>
          <w:rFonts w:ascii="Arial" w:hAnsi="Arial" w:cs="Arial"/>
          <w:sz w:val="20"/>
          <w:szCs w:val="20"/>
        </w:rPr>
        <w:t>robust to the choice of threshold and index.</w:t>
      </w:r>
      <w:r>
        <w:rPr>
          <w:rFonts w:ascii="Arial" w:hAnsi="Arial" w:cs="Arial"/>
          <w:sz w:val="20"/>
          <w:szCs w:val="20"/>
        </w:rPr>
        <w:t xml:space="preserve">   For example, using a lower threshold (more stringent), the hardship rate</w:t>
      </w:r>
      <w:r w:rsidR="001426D2">
        <w:rPr>
          <w:rFonts w:ascii="Arial" w:hAnsi="Arial" w:cs="Arial"/>
          <w:sz w:val="20"/>
          <w:szCs w:val="20"/>
        </w:rPr>
        <w:t xml:space="preserve"> for children increased from 13% </w:t>
      </w:r>
      <w:r>
        <w:rPr>
          <w:rFonts w:ascii="Arial" w:hAnsi="Arial" w:cs="Arial"/>
          <w:sz w:val="20"/>
          <w:szCs w:val="20"/>
        </w:rPr>
        <w:t>to 18% from HES 2007 to 2011</w:t>
      </w:r>
      <w:r w:rsidR="00B0740E">
        <w:rPr>
          <w:rFonts w:ascii="Arial" w:hAnsi="Arial" w:cs="Arial"/>
          <w:sz w:val="20"/>
          <w:szCs w:val="20"/>
        </w:rPr>
        <w:t>, and using a different index the rise was from 16% to 22%.</w:t>
      </w:r>
    </w:p>
    <w:p w:rsidR="007B3E55" w:rsidRDefault="007B3E55" w:rsidP="007B3E55">
      <w:pPr>
        <w:ind w:left="450" w:hanging="450"/>
        <w:jc w:val="both"/>
        <w:rPr>
          <w:rFonts w:cs="Arial"/>
          <w:b/>
          <w:color w:val="000000"/>
          <w:sz w:val="20"/>
        </w:rPr>
      </w:pPr>
    </w:p>
    <w:p w:rsidR="007B3E55" w:rsidRDefault="007B3E55" w:rsidP="007B3E55">
      <w:pPr>
        <w:ind w:left="450" w:hanging="450"/>
        <w:jc w:val="both"/>
        <w:rPr>
          <w:rFonts w:cs="Arial"/>
          <w:b/>
          <w:color w:val="000000"/>
          <w:sz w:val="20"/>
        </w:rPr>
      </w:pPr>
    </w:p>
    <w:p w:rsidR="007B3E55" w:rsidRPr="00D562E1" w:rsidRDefault="007B3E55" w:rsidP="007B3E55">
      <w:pPr>
        <w:ind w:left="450" w:hanging="450"/>
        <w:jc w:val="both"/>
        <w:rPr>
          <w:rFonts w:cs="Arial"/>
          <w:b/>
          <w:color w:val="000000"/>
          <w:sz w:val="20"/>
        </w:rPr>
      </w:pPr>
      <w:r>
        <w:rPr>
          <w:rFonts w:cs="Arial"/>
          <w:b/>
          <w:color w:val="000000"/>
          <w:sz w:val="20"/>
        </w:rPr>
        <w:t>1</w:t>
      </w:r>
      <w:r w:rsidR="008319E2">
        <w:rPr>
          <w:rFonts w:cs="Arial"/>
          <w:b/>
          <w:color w:val="000000"/>
          <w:sz w:val="20"/>
        </w:rPr>
        <w:t>5</w:t>
      </w:r>
      <w:r w:rsidRPr="00D562E1">
        <w:rPr>
          <w:rFonts w:cs="Arial"/>
          <w:b/>
          <w:color w:val="000000"/>
          <w:sz w:val="20"/>
        </w:rPr>
        <w:tab/>
      </w:r>
      <w:r>
        <w:rPr>
          <w:rFonts w:cs="Arial"/>
          <w:b/>
          <w:color w:val="000000"/>
          <w:sz w:val="20"/>
        </w:rPr>
        <w:t xml:space="preserve">The proportion of those who live in households whose incomes are below the AHC 60% of median poverty line </w:t>
      </w:r>
      <w:r w:rsidRPr="009F3584">
        <w:rPr>
          <w:rFonts w:cs="Arial"/>
          <w:b/>
          <w:color w:val="000000"/>
          <w:sz w:val="20"/>
          <w:u w:val="single"/>
        </w:rPr>
        <w:t>and</w:t>
      </w:r>
      <w:r>
        <w:rPr>
          <w:rFonts w:cs="Arial"/>
          <w:b/>
          <w:color w:val="000000"/>
          <w:sz w:val="20"/>
        </w:rPr>
        <w:t xml:space="preserve"> who are also experiencing material </w:t>
      </w:r>
      <w:r w:rsidR="00BE1851">
        <w:rPr>
          <w:rFonts w:cs="Arial"/>
          <w:b/>
          <w:color w:val="000000"/>
          <w:sz w:val="20"/>
        </w:rPr>
        <w:t>hardship</w:t>
      </w:r>
      <w:r>
        <w:rPr>
          <w:rFonts w:cs="Arial"/>
          <w:b/>
          <w:color w:val="000000"/>
          <w:sz w:val="20"/>
        </w:rPr>
        <w:t xml:space="preserve"> (as described in #1</w:t>
      </w:r>
      <w:r w:rsidR="008319E2">
        <w:rPr>
          <w:rFonts w:cs="Arial"/>
          <w:b/>
          <w:color w:val="000000"/>
          <w:sz w:val="20"/>
        </w:rPr>
        <w:t>4</w:t>
      </w:r>
      <w:r>
        <w:rPr>
          <w:rFonts w:cs="Arial"/>
          <w:b/>
          <w:color w:val="000000"/>
          <w:sz w:val="20"/>
        </w:rPr>
        <w:t xml:space="preserve"> above) </w:t>
      </w:r>
      <w:r w:rsidR="00BE1851">
        <w:rPr>
          <w:rFonts w:cs="Arial"/>
          <w:b/>
          <w:color w:val="000000"/>
          <w:sz w:val="20"/>
        </w:rPr>
        <w:t>was much the same</w:t>
      </w:r>
      <w:r>
        <w:rPr>
          <w:rFonts w:cs="Arial"/>
          <w:b/>
          <w:color w:val="000000"/>
          <w:sz w:val="20"/>
        </w:rPr>
        <w:t xml:space="preserve"> for the population as a whole from 2007 to 2</w:t>
      </w:r>
      <w:r w:rsidR="00BE1851">
        <w:rPr>
          <w:rFonts w:cs="Arial"/>
          <w:b/>
          <w:color w:val="000000"/>
          <w:sz w:val="20"/>
        </w:rPr>
        <w:t>011, but increased for children.</w:t>
      </w:r>
    </w:p>
    <w:p w:rsidR="007B3E55" w:rsidRPr="00634F5A" w:rsidRDefault="007B3E55" w:rsidP="007B3E55">
      <w:pPr>
        <w:ind w:left="547"/>
        <w:jc w:val="both"/>
        <w:rPr>
          <w:rFonts w:cs="Arial"/>
          <w:sz w:val="20"/>
        </w:rPr>
      </w:pPr>
    </w:p>
    <w:p w:rsidR="007B3E55" w:rsidRDefault="007B3E55" w:rsidP="007B3E55">
      <w:pPr>
        <w:numPr>
          <w:ilvl w:val="0"/>
          <w:numId w:val="16"/>
        </w:numPr>
        <w:tabs>
          <w:tab w:val="clear" w:pos="1080"/>
          <w:tab w:val="num" w:pos="900"/>
        </w:tabs>
        <w:ind w:left="907"/>
        <w:jc w:val="both"/>
        <w:rPr>
          <w:rFonts w:cs="Arial"/>
          <w:sz w:val="20"/>
        </w:rPr>
      </w:pPr>
      <w:r w:rsidRPr="00D357E7">
        <w:rPr>
          <w:rFonts w:cs="Arial"/>
          <w:b/>
          <w:sz w:val="20"/>
        </w:rPr>
        <w:t>Figure S.4</w:t>
      </w:r>
      <w:r>
        <w:rPr>
          <w:rFonts w:cs="Arial"/>
          <w:sz w:val="20"/>
        </w:rPr>
        <w:t xml:space="preserve"> shows the trend in the size of the overlap group from 2007 to 2011 for the population as a whole and for children (up from 7% to 1</w:t>
      </w:r>
      <w:r w:rsidR="00B0740E">
        <w:rPr>
          <w:rFonts w:cs="Arial"/>
          <w:sz w:val="20"/>
        </w:rPr>
        <w:t>1</w:t>
      </w:r>
      <w:r>
        <w:rPr>
          <w:rFonts w:cs="Arial"/>
          <w:sz w:val="20"/>
        </w:rPr>
        <w:t xml:space="preserve">%).  </w:t>
      </w:r>
    </w:p>
    <w:p w:rsidR="007B3E55" w:rsidRDefault="007B3E55" w:rsidP="007B3E55">
      <w:pPr>
        <w:numPr>
          <w:ilvl w:val="0"/>
          <w:numId w:val="16"/>
        </w:numPr>
        <w:tabs>
          <w:tab w:val="clear" w:pos="1080"/>
          <w:tab w:val="num" w:pos="900"/>
        </w:tabs>
        <w:spacing w:before="120"/>
        <w:ind w:left="901" w:hanging="357"/>
        <w:jc w:val="both"/>
        <w:rPr>
          <w:rFonts w:cs="Arial"/>
          <w:sz w:val="20"/>
        </w:rPr>
      </w:pPr>
      <w:r>
        <w:rPr>
          <w:rFonts w:cs="Arial"/>
          <w:sz w:val="20"/>
        </w:rPr>
        <w:t>In times of economic growth where the rising standard of living is to some degree shared across the population, the trend can be expected to be unambiguously downwards.  The upward trend reflects above all the impact of the shock of the GFC and the economic downturn.</w:t>
      </w:r>
    </w:p>
    <w:p w:rsidR="007B3E55" w:rsidRDefault="007B3E55" w:rsidP="007B3E55">
      <w:pPr>
        <w:ind w:right="-25"/>
        <w:jc w:val="center"/>
        <w:rPr>
          <w:rFonts w:cs="Arial"/>
          <w:b/>
          <w:sz w:val="18"/>
        </w:rPr>
      </w:pPr>
    </w:p>
    <w:p w:rsidR="007B3E55" w:rsidRPr="009436C5" w:rsidRDefault="007B3E55" w:rsidP="007B3E55">
      <w:pPr>
        <w:ind w:right="-25"/>
        <w:jc w:val="center"/>
        <w:rPr>
          <w:rFonts w:cs="Arial"/>
          <w:b/>
          <w:sz w:val="18"/>
        </w:rPr>
      </w:pPr>
      <w:r w:rsidRPr="009436C5">
        <w:rPr>
          <w:rFonts w:cs="Arial"/>
          <w:b/>
          <w:sz w:val="18"/>
        </w:rPr>
        <w:t xml:space="preserve">Figure </w:t>
      </w:r>
      <w:r>
        <w:rPr>
          <w:rFonts w:cs="Arial"/>
          <w:b/>
          <w:sz w:val="18"/>
        </w:rPr>
        <w:t>S</w:t>
      </w:r>
      <w:r w:rsidRPr="009436C5">
        <w:rPr>
          <w:rFonts w:cs="Arial"/>
          <w:b/>
          <w:sz w:val="18"/>
        </w:rPr>
        <w:t>.</w:t>
      </w:r>
      <w:r>
        <w:rPr>
          <w:rFonts w:cs="Arial"/>
          <w:b/>
          <w:sz w:val="18"/>
        </w:rPr>
        <w:t>4</w:t>
      </w:r>
    </w:p>
    <w:p w:rsidR="007B3E55" w:rsidRPr="009436C5" w:rsidRDefault="007B3E55" w:rsidP="007B3E55">
      <w:pPr>
        <w:ind w:right="-25"/>
        <w:jc w:val="center"/>
        <w:rPr>
          <w:rFonts w:cs="Arial"/>
          <w:b/>
          <w:sz w:val="18"/>
        </w:rPr>
      </w:pPr>
      <w:r>
        <w:rPr>
          <w:rFonts w:cs="Arial"/>
          <w:b/>
          <w:sz w:val="18"/>
        </w:rPr>
        <w:t>Trends in the proportion of those who are both income poor and materially deprived,  2007 to 2011</w:t>
      </w:r>
    </w:p>
    <w:p w:rsidR="007B3E55" w:rsidRPr="00BE1851" w:rsidRDefault="00EC0BE0" w:rsidP="007B3E55">
      <w:pPr>
        <w:spacing w:before="120"/>
        <w:jc w:val="center"/>
        <w:rPr>
          <w:rFonts w:cs="Arial"/>
          <w:sz w:val="20"/>
        </w:rPr>
      </w:pPr>
      <w:r>
        <w:rPr>
          <w:noProof/>
          <w:lang w:val="en-US"/>
        </w:rPr>
        <w:drawing>
          <wp:inline distT="0" distB="0" distL="0" distR="0">
            <wp:extent cx="2828925"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828925" cy="1743075"/>
                    </a:xfrm>
                    <a:prstGeom prst="rect">
                      <a:avLst/>
                    </a:prstGeom>
                    <a:noFill/>
                    <a:ln w="9525">
                      <a:noFill/>
                      <a:miter lim="800000"/>
                      <a:headEnd/>
                      <a:tailEnd/>
                    </a:ln>
                  </pic:spPr>
                </pic:pic>
              </a:graphicData>
            </a:graphic>
          </wp:inline>
        </w:drawing>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For those in hardship but with incomes reasonably above the poverty line there are grounds for expecting living standards to improve over time provided their incomes do not decline and that there are no ongoing special demands on the budget. However for those in hardship who also have low incomes, there is very little chance of improvement of living standards until incomes rise and stay up.  </w:t>
      </w:r>
    </w:p>
    <w:p w:rsidR="00B0740E" w:rsidRDefault="00B0740E" w:rsidP="00B0740E">
      <w:pPr>
        <w:pStyle w:val="ListBullet"/>
        <w:numPr>
          <w:ilvl w:val="0"/>
          <w:numId w:val="0"/>
        </w:numPr>
        <w:jc w:val="both"/>
        <w:rPr>
          <w:rFonts w:ascii="Arial" w:hAnsi="Arial" w:cs="Arial"/>
          <w:sz w:val="20"/>
          <w:szCs w:val="20"/>
        </w:rPr>
      </w:pPr>
    </w:p>
    <w:p w:rsidR="00B0740E" w:rsidRDefault="00B0740E" w:rsidP="00B0740E">
      <w:pPr>
        <w:pStyle w:val="ListBullet"/>
        <w:numPr>
          <w:ilvl w:val="0"/>
          <w:numId w:val="0"/>
        </w:numPr>
        <w:jc w:val="both"/>
        <w:rPr>
          <w:rFonts w:ascii="Arial" w:hAnsi="Arial" w:cs="Arial"/>
          <w:sz w:val="20"/>
          <w:szCs w:val="20"/>
        </w:rPr>
      </w:pPr>
      <w:r>
        <w:rPr>
          <w:rFonts w:ascii="Arial" w:hAnsi="Arial" w:cs="Arial"/>
          <w:sz w:val="20"/>
          <w:szCs w:val="20"/>
        </w:rPr>
        <w:t>.</w:t>
      </w:r>
    </w:p>
    <w:p w:rsidR="00B0740E" w:rsidRDefault="00B0740E" w:rsidP="00B0740E">
      <w:pPr>
        <w:pStyle w:val="ListBullet"/>
        <w:numPr>
          <w:ilvl w:val="0"/>
          <w:numId w:val="0"/>
        </w:numPr>
        <w:jc w:val="both"/>
        <w:rPr>
          <w:rFonts w:ascii="Arial" w:hAnsi="Arial" w:cs="Arial"/>
          <w:sz w:val="20"/>
          <w:szCs w:val="20"/>
        </w:rPr>
      </w:pPr>
    </w:p>
    <w:p w:rsidR="007B3E55" w:rsidRPr="00A42185" w:rsidRDefault="007B3E55" w:rsidP="007B3E55">
      <w:pPr>
        <w:ind w:left="720"/>
        <w:jc w:val="center"/>
        <w:rPr>
          <w:rFonts w:cs="Arial"/>
          <w:sz w:val="20"/>
        </w:rPr>
      </w:pPr>
      <w:r>
        <w:rPr>
          <w:rFonts w:cs="Arial"/>
          <w:b/>
          <w:sz w:val="20"/>
        </w:rPr>
        <w:br w:type="page"/>
      </w:r>
      <w:r w:rsidRPr="00A42185">
        <w:rPr>
          <w:rFonts w:cs="Arial"/>
          <w:sz w:val="20"/>
        </w:rPr>
        <w:lastRenderedPageBreak/>
        <w:t>[From here on the poverty measure used is the Social Report’s AHC 60% of median fixed line measure, unless otherwise stated.]</w:t>
      </w:r>
    </w:p>
    <w:p w:rsidR="007B3E55" w:rsidRDefault="007B3E55" w:rsidP="007B3E55">
      <w:pPr>
        <w:ind w:left="357" w:hanging="357"/>
        <w:jc w:val="both"/>
        <w:rPr>
          <w:rFonts w:cs="Arial"/>
          <w:b/>
        </w:rPr>
      </w:pPr>
    </w:p>
    <w:p w:rsidR="007B3E55" w:rsidRPr="00A63C8C" w:rsidRDefault="007B3E55" w:rsidP="007B3E55">
      <w:pPr>
        <w:jc w:val="both"/>
        <w:rPr>
          <w:rFonts w:cs="Arial"/>
          <w:b/>
        </w:rPr>
      </w:pPr>
      <w:r w:rsidRPr="00A63C8C">
        <w:rPr>
          <w:rFonts w:cs="Arial"/>
          <w:b/>
        </w:rPr>
        <w:t>More on income poverty for population groups, especially children and older New Zealanders</w:t>
      </w:r>
    </w:p>
    <w:p w:rsidR="007B3E55" w:rsidRDefault="007B3E55" w:rsidP="007B3E55">
      <w:pPr>
        <w:ind w:left="357" w:hanging="357"/>
        <w:jc w:val="both"/>
        <w:rPr>
          <w:rFonts w:cs="Arial"/>
          <w:b/>
          <w:sz w:val="20"/>
        </w:rPr>
      </w:pPr>
    </w:p>
    <w:p w:rsidR="007B3E55" w:rsidRDefault="007B3E55" w:rsidP="007B3E55">
      <w:pPr>
        <w:ind w:left="357" w:hanging="357"/>
        <w:jc w:val="both"/>
        <w:rPr>
          <w:rFonts w:cs="Arial"/>
          <w:b/>
          <w:sz w:val="20"/>
        </w:rPr>
      </w:pPr>
      <w:r>
        <w:rPr>
          <w:rFonts w:cs="Arial"/>
          <w:b/>
          <w:sz w:val="20"/>
        </w:rPr>
        <w:t>1</w:t>
      </w:r>
      <w:r w:rsidR="00E44DB5">
        <w:rPr>
          <w:rFonts w:cs="Arial"/>
          <w:b/>
          <w:sz w:val="20"/>
        </w:rPr>
        <w:t>6</w:t>
      </w:r>
      <w:r w:rsidRPr="000370BC">
        <w:rPr>
          <w:rFonts w:cs="Arial"/>
          <w:b/>
          <w:sz w:val="20"/>
        </w:rPr>
        <w:tab/>
      </w:r>
      <w:r>
        <w:rPr>
          <w:rFonts w:cs="Arial"/>
          <w:b/>
          <w:sz w:val="20"/>
        </w:rPr>
        <w:t xml:space="preserve">Poverty rates for children in beneficiary families are consistently around 65-75%, much higher than for children in families with at least one adult in full-time employment (9% in </w:t>
      </w:r>
      <w:r w:rsidRPr="00EE3958">
        <w:rPr>
          <w:rFonts w:cs="Arial"/>
          <w:b/>
          <w:color w:val="000000"/>
          <w:sz w:val="20"/>
        </w:rPr>
        <w:t>2011)</w:t>
      </w:r>
      <w:r>
        <w:rPr>
          <w:rFonts w:cs="Arial"/>
          <w:b/>
          <w:color w:val="000000"/>
          <w:sz w:val="20"/>
        </w:rPr>
        <w:t>.</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Since the benefit cuts in 1991, 65-75% of children in beneficiary families have been identified as ‘poor’ in each HES.   The figure was close to 70% for 2004 to 2009, </w:t>
      </w:r>
      <w:r w:rsidR="00C71BE3">
        <w:rPr>
          <w:rFonts w:cs="Arial"/>
          <w:sz w:val="20"/>
        </w:rPr>
        <w:t xml:space="preserve">and </w:t>
      </w:r>
      <w:r>
        <w:rPr>
          <w:rFonts w:cs="Arial"/>
          <w:sz w:val="20"/>
        </w:rPr>
        <w:t>65% in 2011.</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For beneficiary families with children, </w:t>
      </w:r>
      <w:smartTag w:uri="urn:schemas-microsoft-com:office:smarttags" w:element="stockticker">
        <w:r>
          <w:rPr>
            <w:rFonts w:cs="Arial"/>
            <w:sz w:val="20"/>
          </w:rPr>
          <w:t>AHC</w:t>
        </w:r>
      </w:smartTag>
      <w:r>
        <w:rPr>
          <w:rFonts w:cs="Arial"/>
          <w:sz w:val="20"/>
        </w:rPr>
        <w:t xml:space="preserve"> incomes from main benefits, the Family Tax Credit and the Accommodation Supplement are almost always below the </w:t>
      </w:r>
      <w:smartTag w:uri="urn:schemas-microsoft-com:office:smarttags" w:element="stockticker">
        <w:r>
          <w:rPr>
            <w:rFonts w:cs="Arial"/>
            <w:sz w:val="20"/>
          </w:rPr>
          <w:t>AHC</w:t>
        </w:r>
      </w:smartTag>
      <w:r>
        <w:rPr>
          <w:rFonts w:cs="Arial"/>
          <w:sz w:val="20"/>
        </w:rPr>
        <w:t xml:space="preserve"> 60% fixed line threshold.   </w:t>
      </w:r>
    </w:p>
    <w:p w:rsidR="007B3E55" w:rsidRPr="00F32B9D" w:rsidRDefault="007B3E55" w:rsidP="007B3E55">
      <w:pPr>
        <w:numPr>
          <w:ilvl w:val="0"/>
          <w:numId w:val="16"/>
        </w:numPr>
        <w:tabs>
          <w:tab w:val="clear" w:pos="1080"/>
          <w:tab w:val="num" w:pos="900"/>
        </w:tabs>
        <w:spacing w:before="120"/>
        <w:ind w:left="900"/>
        <w:jc w:val="both"/>
        <w:rPr>
          <w:rFonts w:cs="Arial"/>
          <w:b/>
          <w:sz w:val="20"/>
        </w:rPr>
      </w:pPr>
      <w:r>
        <w:rPr>
          <w:rFonts w:cs="Arial"/>
          <w:sz w:val="20"/>
        </w:rPr>
        <w:t>Why is the reported poverty rate for beneficiary children not therefore 100%?  There are typically 20 to 30% of beneficiary children living in households in which over the 12 months before the HES interview there is market income as well, either from their parent(s) or from other employed adults.  This extra income is enough to take total household income ‘over the line’.</w:t>
      </w:r>
    </w:p>
    <w:p w:rsidR="007B3E55" w:rsidRPr="00B30B02" w:rsidRDefault="007B3E55" w:rsidP="007B3E55">
      <w:pPr>
        <w:numPr>
          <w:ilvl w:val="0"/>
          <w:numId w:val="16"/>
        </w:numPr>
        <w:tabs>
          <w:tab w:val="clear" w:pos="1080"/>
          <w:tab w:val="num" w:pos="900"/>
        </w:tabs>
        <w:spacing w:before="120"/>
        <w:ind w:left="900"/>
        <w:jc w:val="both"/>
        <w:rPr>
          <w:rFonts w:cs="Arial"/>
          <w:b/>
          <w:color w:val="000000"/>
          <w:sz w:val="20"/>
        </w:rPr>
      </w:pPr>
      <w:r w:rsidRPr="00B30B02">
        <w:rPr>
          <w:rFonts w:cs="Arial"/>
          <w:color w:val="000000"/>
          <w:sz w:val="20"/>
        </w:rPr>
        <w:t xml:space="preserve">In June 2011 there were 234,000 children in beneficiary families (22% of all dependent children).  </w:t>
      </w:r>
      <w:r w:rsidR="00530635">
        <w:rPr>
          <w:rFonts w:cs="Arial"/>
          <w:color w:val="000000"/>
          <w:sz w:val="20"/>
        </w:rPr>
        <w:t>Around 25% of children live in households in which there is no adult in full-time employment.</w:t>
      </w:r>
    </w:p>
    <w:p w:rsidR="007B3E55" w:rsidRDefault="007B3E55" w:rsidP="007B3E55">
      <w:pPr>
        <w:ind w:left="540"/>
        <w:jc w:val="both"/>
        <w:rPr>
          <w:rFonts w:cs="Arial"/>
          <w:b/>
          <w:sz w:val="20"/>
        </w:rPr>
      </w:pPr>
    </w:p>
    <w:p w:rsidR="007B3E55" w:rsidRDefault="007B3E55" w:rsidP="007B3E55">
      <w:pPr>
        <w:ind w:left="540"/>
        <w:jc w:val="both"/>
        <w:rPr>
          <w:rFonts w:cs="Arial"/>
          <w:b/>
          <w:sz w:val="20"/>
        </w:rPr>
      </w:pPr>
    </w:p>
    <w:p w:rsidR="007B3E55" w:rsidRPr="000370BC" w:rsidRDefault="007B3E55" w:rsidP="007B3E55">
      <w:pPr>
        <w:ind w:left="360" w:hanging="360"/>
        <w:jc w:val="both"/>
        <w:rPr>
          <w:rFonts w:cs="Arial"/>
          <w:b/>
          <w:sz w:val="20"/>
        </w:rPr>
      </w:pPr>
      <w:r>
        <w:rPr>
          <w:rFonts w:cs="Arial"/>
          <w:b/>
          <w:sz w:val="20"/>
        </w:rPr>
        <w:t>1</w:t>
      </w:r>
      <w:r w:rsidR="00E44DB5">
        <w:rPr>
          <w:rFonts w:cs="Arial"/>
          <w:b/>
          <w:sz w:val="20"/>
        </w:rPr>
        <w:t>7</w:t>
      </w:r>
      <w:r>
        <w:rPr>
          <w:rFonts w:cs="Arial"/>
          <w:b/>
          <w:sz w:val="20"/>
        </w:rPr>
        <w:tab/>
        <w:t>Nevertheless, on average from 2007 to 2011, two in five</w:t>
      </w:r>
      <w:r w:rsidRPr="000370BC">
        <w:rPr>
          <w:rFonts w:cs="Arial"/>
          <w:b/>
          <w:sz w:val="20"/>
        </w:rPr>
        <w:t xml:space="preserve"> poor children</w:t>
      </w:r>
      <w:r>
        <w:rPr>
          <w:rFonts w:cs="Arial"/>
          <w:b/>
          <w:sz w:val="20"/>
        </w:rPr>
        <w:t xml:space="preserve"> (40%)</w:t>
      </w:r>
      <w:r w:rsidRPr="000370BC">
        <w:rPr>
          <w:rFonts w:cs="Arial"/>
          <w:b/>
          <w:sz w:val="20"/>
        </w:rPr>
        <w:t xml:space="preserve"> were from households where at least one adult was in full-time employment</w:t>
      </w:r>
      <w:r>
        <w:rPr>
          <w:rFonts w:cs="Arial"/>
          <w:b/>
          <w:sz w:val="20"/>
        </w:rPr>
        <w:t xml:space="preserve"> or was self-employed</w:t>
      </w:r>
      <w:r w:rsidRPr="000370BC">
        <w:rPr>
          <w:rFonts w:cs="Arial"/>
          <w:b/>
          <w:sz w:val="20"/>
        </w:rPr>
        <w:t>, down from around one in two</w:t>
      </w:r>
      <w:r>
        <w:rPr>
          <w:rFonts w:cs="Arial"/>
          <w:b/>
          <w:sz w:val="20"/>
        </w:rPr>
        <w:t xml:space="preserve"> (50%)</w:t>
      </w:r>
      <w:r w:rsidRPr="000370BC">
        <w:rPr>
          <w:rFonts w:cs="Arial"/>
          <w:b/>
          <w:sz w:val="20"/>
        </w:rPr>
        <w:t xml:space="preserve"> before WFF (2004)</w:t>
      </w:r>
      <w:r w:rsidR="0019704B">
        <w:rPr>
          <w:rFonts w:cs="Arial"/>
          <w:b/>
          <w:sz w:val="20"/>
        </w:rPr>
        <w:t>.</w:t>
      </w:r>
    </w:p>
    <w:p w:rsidR="007B3E55" w:rsidRDefault="007B3E55" w:rsidP="007B3E55">
      <w:pPr>
        <w:numPr>
          <w:ilvl w:val="0"/>
          <w:numId w:val="16"/>
        </w:numPr>
        <w:tabs>
          <w:tab w:val="clear" w:pos="1080"/>
          <w:tab w:val="num" w:pos="900"/>
        </w:tabs>
        <w:spacing w:before="120"/>
        <w:ind w:left="900"/>
        <w:jc w:val="both"/>
        <w:rPr>
          <w:rFonts w:cs="Arial"/>
          <w:sz w:val="20"/>
        </w:rPr>
      </w:pPr>
      <w:r w:rsidRPr="00DC666A">
        <w:rPr>
          <w:rFonts w:cs="Arial"/>
          <w:sz w:val="20"/>
        </w:rPr>
        <w:t xml:space="preserve">The WFF package had little impact on poverty rates for children in beneficiary families (around 70% </w:t>
      </w:r>
      <w:r>
        <w:rPr>
          <w:rFonts w:cs="Arial"/>
          <w:sz w:val="20"/>
        </w:rPr>
        <w:t>from 2004 to 2009</w:t>
      </w:r>
      <w:r w:rsidRPr="00DC666A">
        <w:rPr>
          <w:rFonts w:cs="Arial"/>
          <w:sz w:val="20"/>
        </w:rPr>
        <w:t>), but halved child poverty rates for those in working families (</w:t>
      </w:r>
      <w:r>
        <w:rPr>
          <w:rFonts w:cs="Arial"/>
          <w:sz w:val="20"/>
        </w:rPr>
        <w:t>21</w:t>
      </w:r>
      <w:r w:rsidRPr="00DC666A">
        <w:rPr>
          <w:rFonts w:cs="Arial"/>
          <w:sz w:val="20"/>
        </w:rPr>
        <w:t xml:space="preserve">% in 2004 to </w:t>
      </w:r>
      <w:r>
        <w:rPr>
          <w:rFonts w:cs="Arial"/>
          <w:sz w:val="20"/>
        </w:rPr>
        <w:t>11</w:t>
      </w:r>
      <w:r w:rsidRPr="00DC666A">
        <w:rPr>
          <w:rFonts w:cs="Arial"/>
          <w:sz w:val="20"/>
        </w:rPr>
        <w:t>% in 2007 and close to the same since then).</w:t>
      </w:r>
      <w:r>
        <w:rPr>
          <w:rFonts w:cs="Arial"/>
          <w:sz w:val="20"/>
        </w:rPr>
        <w:t xml:space="preserve">  </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Because there are many more children in working families than in workless or beneficiary families, the proportion of poor children who come from working families is much higher than the poverty rates themselves at first sight suggest.</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On average from 2007 to 2011, two in five poor children ca</w:t>
      </w:r>
      <w:r w:rsidRPr="00DC666A">
        <w:rPr>
          <w:rFonts w:cs="Arial"/>
          <w:sz w:val="20"/>
        </w:rPr>
        <w:t>me from working families</w:t>
      </w:r>
      <w:r>
        <w:rPr>
          <w:rFonts w:cs="Arial"/>
          <w:sz w:val="20"/>
        </w:rPr>
        <w:t xml:space="preserve"> where at least one adult was in full-time employment or was self-employed</w:t>
      </w:r>
      <w:r w:rsidRPr="00DC666A">
        <w:rPr>
          <w:rFonts w:cs="Arial"/>
          <w:sz w:val="20"/>
        </w:rPr>
        <w:t xml:space="preserve">, down from just over one </w:t>
      </w:r>
      <w:r>
        <w:rPr>
          <w:rFonts w:cs="Arial"/>
          <w:sz w:val="20"/>
        </w:rPr>
        <w:t>in two before WFF.</w:t>
      </w:r>
    </w:p>
    <w:p w:rsidR="007B3E55" w:rsidRPr="00DC666A"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The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proportion is not unusual.  In OECD countries (on average), around half of poor children come from working families.</w:t>
      </w:r>
    </w:p>
    <w:p w:rsidR="007B3E55" w:rsidRPr="00CF5A6F" w:rsidRDefault="007B3E55" w:rsidP="007B3E55">
      <w:pPr>
        <w:ind w:left="540"/>
        <w:jc w:val="both"/>
        <w:rPr>
          <w:rFonts w:cs="Arial"/>
          <w:sz w:val="20"/>
        </w:rPr>
      </w:pPr>
    </w:p>
    <w:p w:rsidR="007B3E55" w:rsidRPr="000370BC" w:rsidRDefault="007B3E55" w:rsidP="007B3E55">
      <w:pPr>
        <w:jc w:val="both"/>
        <w:rPr>
          <w:rFonts w:cs="Arial"/>
          <w:b/>
          <w:sz w:val="20"/>
        </w:rPr>
      </w:pPr>
    </w:p>
    <w:p w:rsidR="007B3E55" w:rsidRPr="005D6B85" w:rsidRDefault="007B3E55" w:rsidP="007B3E55">
      <w:pPr>
        <w:ind w:left="360" w:hanging="360"/>
        <w:jc w:val="both"/>
        <w:rPr>
          <w:rFonts w:cs="Arial"/>
          <w:b/>
          <w:sz w:val="20"/>
        </w:rPr>
      </w:pPr>
      <w:r>
        <w:rPr>
          <w:rFonts w:cs="Arial"/>
          <w:b/>
          <w:sz w:val="20"/>
        </w:rPr>
        <w:t>1</w:t>
      </w:r>
      <w:r w:rsidR="00530635">
        <w:rPr>
          <w:rFonts w:cs="Arial"/>
          <w:b/>
          <w:sz w:val="20"/>
        </w:rPr>
        <w:t>8</w:t>
      </w:r>
      <w:r w:rsidRPr="000370BC">
        <w:rPr>
          <w:rFonts w:cs="Arial"/>
          <w:b/>
          <w:sz w:val="20"/>
        </w:rPr>
        <w:tab/>
        <w:t>Children in sole</w:t>
      </w:r>
      <w:r>
        <w:rPr>
          <w:rFonts w:cs="Arial"/>
          <w:b/>
          <w:sz w:val="20"/>
        </w:rPr>
        <w:t>-</w:t>
      </w:r>
      <w:r w:rsidRPr="000370BC">
        <w:rPr>
          <w:rFonts w:cs="Arial"/>
          <w:b/>
          <w:sz w:val="20"/>
        </w:rPr>
        <w:t>parent families have a higher risk of hardship (4</w:t>
      </w:r>
      <w:r>
        <w:rPr>
          <w:rFonts w:cs="Arial"/>
          <w:b/>
          <w:sz w:val="20"/>
        </w:rPr>
        <w:t>6</w:t>
      </w:r>
      <w:r w:rsidRPr="000370BC">
        <w:rPr>
          <w:rFonts w:cs="Arial"/>
          <w:b/>
          <w:sz w:val="20"/>
        </w:rPr>
        <w:t>%) than those in two</w:t>
      </w:r>
      <w:r>
        <w:rPr>
          <w:rFonts w:cs="Arial"/>
          <w:b/>
          <w:sz w:val="20"/>
        </w:rPr>
        <w:t>-</w:t>
      </w:r>
      <w:r w:rsidRPr="000370BC">
        <w:rPr>
          <w:rFonts w:cs="Arial"/>
          <w:b/>
          <w:sz w:val="20"/>
        </w:rPr>
        <w:t xml:space="preserve"> parent families (1</w:t>
      </w:r>
      <w:r>
        <w:rPr>
          <w:rFonts w:cs="Arial"/>
          <w:b/>
          <w:sz w:val="20"/>
        </w:rPr>
        <w:t>2</w:t>
      </w:r>
      <w:r w:rsidRPr="000370BC">
        <w:rPr>
          <w:rFonts w:cs="Arial"/>
          <w:b/>
          <w:sz w:val="20"/>
        </w:rPr>
        <w:t>%)</w:t>
      </w:r>
      <w:r w:rsidR="00383794">
        <w:rPr>
          <w:rFonts w:cs="Arial"/>
          <w:b/>
          <w:sz w:val="20"/>
        </w:rPr>
        <w:t>:</w:t>
      </w:r>
      <w:r>
        <w:rPr>
          <w:rFonts w:cs="Arial"/>
          <w:b/>
          <w:sz w:val="20"/>
        </w:rPr>
        <w:t>on average in 2010 and 2011 around half of poor children lived in sole-</w:t>
      </w:r>
      <w:r w:rsidR="00383794">
        <w:rPr>
          <w:rFonts w:cs="Arial"/>
          <w:b/>
          <w:sz w:val="20"/>
        </w:rPr>
        <w:t>parent families and half in two-</w:t>
      </w:r>
      <w:r>
        <w:rPr>
          <w:rFonts w:cs="Arial"/>
          <w:b/>
          <w:sz w:val="20"/>
        </w:rPr>
        <w:t>parent families.</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Around 90% of sole-</w:t>
      </w:r>
      <w:r w:rsidRPr="000370BC">
        <w:rPr>
          <w:rFonts w:cs="Arial"/>
          <w:sz w:val="20"/>
        </w:rPr>
        <w:t xml:space="preserve">parent families had incomes below the overall median in </w:t>
      </w:r>
      <w:r>
        <w:rPr>
          <w:rFonts w:cs="Arial"/>
          <w:sz w:val="20"/>
        </w:rPr>
        <w:t xml:space="preserve">2011 and </w:t>
      </w:r>
      <w:r w:rsidRPr="000370BC">
        <w:rPr>
          <w:rFonts w:cs="Arial"/>
          <w:sz w:val="20"/>
        </w:rPr>
        <w:t>20</w:t>
      </w:r>
      <w:r>
        <w:rPr>
          <w:rFonts w:cs="Arial"/>
          <w:sz w:val="20"/>
        </w:rPr>
        <w:t>10, compared with 55% for two-</w:t>
      </w:r>
      <w:r w:rsidRPr="000370BC">
        <w:rPr>
          <w:rFonts w:cs="Arial"/>
          <w:sz w:val="20"/>
        </w:rPr>
        <w:t>parent families</w:t>
      </w:r>
      <w:r>
        <w:rPr>
          <w:rFonts w:cs="Arial"/>
          <w:sz w:val="20"/>
        </w:rPr>
        <w:t xml:space="preserve"> with dependent children.</w:t>
      </w:r>
    </w:p>
    <w:p w:rsidR="007B3E55" w:rsidRPr="00EE3958" w:rsidRDefault="007B3E55" w:rsidP="007B3E55">
      <w:pPr>
        <w:numPr>
          <w:ilvl w:val="0"/>
          <w:numId w:val="16"/>
        </w:numPr>
        <w:tabs>
          <w:tab w:val="clear" w:pos="1080"/>
          <w:tab w:val="num" w:pos="900"/>
        </w:tabs>
        <w:spacing w:before="120"/>
        <w:ind w:left="900"/>
        <w:jc w:val="both"/>
        <w:rPr>
          <w:rFonts w:cs="Arial"/>
          <w:color w:val="000000"/>
          <w:sz w:val="20"/>
        </w:rPr>
      </w:pPr>
      <w:r>
        <w:rPr>
          <w:rFonts w:cs="Arial"/>
          <w:sz w:val="20"/>
        </w:rPr>
        <w:t>T</w:t>
      </w:r>
      <w:r w:rsidRPr="000370BC">
        <w:rPr>
          <w:rFonts w:cs="Arial"/>
          <w:sz w:val="20"/>
        </w:rPr>
        <w:t>h</w:t>
      </w:r>
      <w:r>
        <w:rPr>
          <w:rFonts w:cs="Arial"/>
          <w:sz w:val="20"/>
        </w:rPr>
        <w:t>e higher poverty rate and low family incomes for sole-parent families</w:t>
      </w:r>
      <w:r w:rsidRPr="000370BC">
        <w:rPr>
          <w:rFonts w:cs="Arial"/>
          <w:sz w:val="20"/>
        </w:rPr>
        <w:t xml:space="preserve"> reflects </w:t>
      </w:r>
      <w:r>
        <w:rPr>
          <w:rFonts w:cs="Arial"/>
          <w:sz w:val="20"/>
        </w:rPr>
        <w:t xml:space="preserve">two things: (a) there is only one potential income earner in the family, and (b) </w:t>
      </w:r>
      <w:r w:rsidRPr="000370BC">
        <w:rPr>
          <w:rFonts w:cs="Arial"/>
          <w:sz w:val="20"/>
        </w:rPr>
        <w:t>the full-time employment rate fo</w:t>
      </w:r>
      <w:r>
        <w:rPr>
          <w:rFonts w:cs="Arial"/>
          <w:sz w:val="20"/>
        </w:rPr>
        <w:t xml:space="preserve">r sole parents is relatively low (35% in 2009).  </w:t>
      </w:r>
      <w:r w:rsidRPr="00EE3958">
        <w:rPr>
          <w:rFonts w:cs="Arial"/>
          <w:color w:val="000000"/>
          <w:sz w:val="20"/>
        </w:rPr>
        <w:t>73% of sole parents were in receipt of a main benefit in June 2009.</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From 2007 to 2011 around </w:t>
      </w:r>
      <w:r w:rsidRPr="000370BC">
        <w:rPr>
          <w:rFonts w:cs="Arial"/>
          <w:sz w:val="20"/>
        </w:rPr>
        <w:t xml:space="preserve">half of poor children </w:t>
      </w:r>
      <w:r>
        <w:rPr>
          <w:rFonts w:cs="Arial"/>
          <w:sz w:val="20"/>
        </w:rPr>
        <w:t>were from sole-</w:t>
      </w:r>
      <w:r w:rsidRPr="000370BC">
        <w:rPr>
          <w:rFonts w:cs="Arial"/>
          <w:sz w:val="20"/>
        </w:rPr>
        <w:t xml:space="preserve">parent families, </w:t>
      </w:r>
      <w:r>
        <w:rPr>
          <w:rFonts w:cs="Arial"/>
          <w:sz w:val="20"/>
        </w:rPr>
        <w:t xml:space="preserve">higher than in the early 1990s (40%) and much higher than the late 1980s (20%). This long-run change reflects first of all the cutting of benefit rates in 1991, but also both the higher proportion of </w:t>
      </w:r>
      <w:r>
        <w:rPr>
          <w:rFonts w:cs="Arial"/>
          <w:sz w:val="20"/>
        </w:rPr>
        <w:lastRenderedPageBreak/>
        <w:t>children living in sole parent families in 2007-2011, and the higher proportion of two parent families which are dual-earner families in 2007-2011.</w:t>
      </w:r>
    </w:p>
    <w:p w:rsidR="007B3E55" w:rsidRPr="00116515"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Around one in three sole-parent families live in households with other adults.  </w:t>
      </w:r>
      <w:r w:rsidRPr="00116515">
        <w:rPr>
          <w:rFonts w:cs="Arial"/>
          <w:sz w:val="20"/>
        </w:rPr>
        <w:t>Child</w:t>
      </w:r>
      <w:r>
        <w:rPr>
          <w:rFonts w:cs="Arial"/>
          <w:sz w:val="20"/>
        </w:rPr>
        <w:t xml:space="preserve"> poverty rates for children </w:t>
      </w:r>
      <w:r w:rsidRPr="00116515">
        <w:rPr>
          <w:rFonts w:cs="Arial"/>
          <w:sz w:val="20"/>
        </w:rPr>
        <w:t xml:space="preserve">living in these </w:t>
      </w:r>
      <w:r>
        <w:rPr>
          <w:rFonts w:cs="Arial"/>
          <w:sz w:val="20"/>
        </w:rPr>
        <w:t>sole-parent families (22%)</w:t>
      </w:r>
      <w:r w:rsidRPr="00116515">
        <w:rPr>
          <w:rFonts w:cs="Arial"/>
          <w:sz w:val="20"/>
        </w:rPr>
        <w:t xml:space="preserve"> </w:t>
      </w:r>
      <w:r>
        <w:rPr>
          <w:rFonts w:cs="Arial"/>
          <w:sz w:val="20"/>
        </w:rPr>
        <w:t>are much lower</w:t>
      </w:r>
      <w:r w:rsidRPr="00116515">
        <w:rPr>
          <w:rFonts w:cs="Arial"/>
          <w:sz w:val="20"/>
        </w:rPr>
        <w:t xml:space="preserve"> than </w:t>
      </w:r>
      <w:r>
        <w:rPr>
          <w:rFonts w:cs="Arial"/>
          <w:sz w:val="20"/>
        </w:rPr>
        <w:t xml:space="preserve">for </w:t>
      </w:r>
      <w:r w:rsidRPr="00116515">
        <w:rPr>
          <w:rFonts w:cs="Arial"/>
          <w:sz w:val="20"/>
        </w:rPr>
        <w:t xml:space="preserve">those in </w:t>
      </w:r>
      <w:r>
        <w:rPr>
          <w:rFonts w:cs="Arial"/>
          <w:sz w:val="20"/>
        </w:rPr>
        <w:t>sole-parent families</w:t>
      </w:r>
      <w:r w:rsidRPr="00116515">
        <w:rPr>
          <w:rFonts w:cs="Arial"/>
          <w:sz w:val="20"/>
        </w:rPr>
        <w:t xml:space="preserve"> living on their own</w:t>
      </w:r>
      <w:r>
        <w:rPr>
          <w:rFonts w:cs="Arial"/>
          <w:sz w:val="20"/>
        </w:rPr>
        <w:t xml:space="preserve"> (60%)</w:t>
      </w:r>
      <w:r w:rsidRPr="00116515">
        <w:rPr>
          <w:rFonts w:cs="Arial"/>
          <w:sz w:val="20"/>
        </w:rPr>
        <w:t xml:space="preserve"> because of the wider household financial resources available to them, both directly and indirectly.</w:t>
      </w:r>
    </w:p>
    <w:p w:rsidR="007B3E55" w:rsidRDefault="007B3E55" w:rsidP="007B3E55">
      <w:pPr>
        <w:ind w:left="360" w:hanging="360"/>
        <w:jc w:val="both"/>
        <w:rPr>
          <w:rFonts w:cs="Arial"/>
          <w:b/>
          <w:sz w:val="20"/>
        </w:rPr>
      </w:pPr>
    </w:p>
    <w:p w:rsidR="007B3E55" w:rsidRPr="000370BC" w:rsidRDefault="007B3E55" w:rsidP="007B3E55">
      <w:pPr>
        <w:ind w:left="360" w:hanging="360"/>
        <w:jc w:val="both"/>
        <w:rPr>
          <w:rFonts w:cs="Arial"/>
          <w:b/>
          <w:sz w:val="20"/>
        </w:rPr>
      </w:pPr>
    </w:p>
    <w:p w:rsidR="007B3E55" w:rsidRPr="000370BC" w:rsidRDefault="007B3E55" w:rsidP="007B3E55">
      <w:pPr>
        <w:ind w:left="360" w:hanging="360"/>
        <w:jc w:val="both"/>
        <w:rPr>
          <w:rFonts w:cs="Arial"/>
          <w:b/>
          <w:sz w:val="20"/>
        </w:rPr>
      </w:pPr>
      <w:r>
        <w:rPr>
          <w:rFonts w:cs="Arial"/>
          <w:b/>
          <w:sz w:val="20"/>
        </w:rPr>
        <w:t>1</w:t>
      </w:r>
      <w:r w:rsidR="00530635">
        <w:rPr>
          <w:rFonts w:cs="Arial"/>
          <w:b/>
          <w:sz w:val="20"/>
        </w:rPr>
        <w:t>9</w:t>
      </w:r>
      <w:r w:rsidRPr="000370BC">
        <w:rPr>
          <w:rFonts w:cs="Arial"/>
          <w:b/>
          <w:sz w:val="20"/>
        </w:rPr>
        <w:tab/>
      </w:r>
      <w:r>
        <w:rPr>
          <w:rFonts w:cs="Arial"/>
          <w:b/>
          <w:sz w:val="20"/>
        </w:rPr>
        <w:t xml:space="preserve">Poverty rates for </w:t>
      </w:r>
      <w:r w:rsidR="00DE4A2A">
        <w:rPr>
          <w:rFonts w:cs="Arial"/>
          <w:b/>
          <w:sz w:val="20"/>
        </w:rPr>
        <w:t xml:space="preserve">Maori and Pacific </w:t>
      </w:r>
      <w:r>
        <w:rPr>
          <w:rFonts w:cs="Arial"/>
          <w:b/>
          <w:sz w:val="20"/>
        </w:rPr>
        <w:t xml:space="preserve">children </w:t>
      </w:r>
      <w:r w:rsidR="00DE4A2A">
        <w:rPr>
          <w:rFonts w:cs="Arial"/>
          <w:b/>
          <w:sz w:val="20"/>
        </w:rPr>
        <w:t xml:space="preserve">are consistently higher than </w:t>
      </w:r>
      <w:r>
        <w:rPr>
          <w:rFonts w:cs="Arial"/>
          <w:b/>
          <w:sz w:val="20"/>
        </w:rPr>
        <w:t xml:space="preserve">for European/Pakeha </w:t>
      </w:r>
      <w:r w:rsidR="00DE4A2A">
        <w:rPr>
          <w:rFonts w:cs="Arial"/>
          <w:b/>
          <w:sz w:val="20"/>
        </w:rPr>
        <w:t>children</w:t>
      </w:r>
      <w:r w:rsidR="00383794">
        <w:rPr>
          <w:rFonts w:cs="Arial"/>
          <w:b/>
          <w:sz w:val="20"/>
        </w:rPr>
        <w:t xml:space="preserve">: </w:t>
      </w:r>
      <w:r w:rsidR="00B614F5">
        <w:rPr>
          <w:rFonts w:cs="Arial"/>
          <w:b/>
          <w:sz w:val="20"/>
        </w:rPr>
        <w:t xml:space="preserve">on average from 2009 to 2011, </w:t>
      </w:r>
      <w:r w:rsidR="00383794">
        <w:rPr>
          <w:rFonts w:cs="Arial"/>
          <w:b/>
          <w:sz w:val="20"/>
        </w:rPr>
        <w:t xml:space="preserve">just under </w:t>
      </w:r>
      <w:r>
        <w:rPr>
          <w:rFonts w:cs="Arial"/>
          <w:b/>
          <w:sz w:val="20"/>
        </w:rPr>
        <w:t>half of poor</w:t>
      </w:r>
      <w:r w:rsidR="00B614F5">
        <w:rPr>
          <w:rFonts w:cs="Arial"/>
          <w:b/>
          <w:sz w:val="20"/>
        </w:rPr>
        <w:t xml:space="preserve"> children were Maori or Pacific.</w:t>
      </w:r>
    </w:p>
    <w:p w:rsidR="007B3E55" w:rsidRPr="000370BC" w:rsidRDefault="007B3E55" w:rsidP="007B3E55">
      <w:pPr>
        <w:numPr>
          <w:ilvl w:val="0"/>
          <w:numId w:val="16"/>
        </w:numPr>
        <w:tabs>
          <w:tab w:val="clear" w:pos="1080"/>
          <w:tab w:val="num" w:pos="900"/>
        </w:tabs>
        <w:spacing w:before="120"/>
        <w:ind w:left="900"/>
        <w:jc w:val="both"/>
        <w:rPr>
          <w:rFonts w:cs="Arial"/>
          <w:b/>
          <w:sz w:val="20"/>
        </w:rPr>
      </w:pPr>
      <w:r>
        <w:rPr>
          <w:rFonts w:cs="Arial"/>
          <w:sz w:val="20"/>
        </w:rPr>
        <w:t>On average over 2007 to 2011</w:t>
      </w:r>
      <w:r w:rsidRPr="000370BC">
        <w:rPr>
          <w:rFonts w:cs="Arial"/>
          <w:sz w:val="20"/>
        </w:rPr>
        <w:t xml:space="preserve">, </w:t>
      </w:r>
      <w:r>
        <w:rPr>
          <w:rFonts w:cs="Arial"/>
          <w:sz w:val="20"/>
        </w:rPr>
        <w:t xml:space="preserve">around </w:t>
      </w:r>
      <w:r w:rsidRPr="000370BC">
        <w:rPr>
          <w:rFonts w:cs="Arial"/>
          <w:sz w:val="20"/>
        </w:rPr>
        <w:t>one in six European/Pakeha children lived in poor households</w:t>
      </w:r>
      <w:r w:rsidRPr="000370BC">
        <w:rPr>
          <w:rFonts w:cs="Arial"/>
          <w:b/>
          <w:sz w:val="20"/>
        </w:rPr>
        <w:t xml:space="preserve">, </w:t>
      </w:r>
      <w:r w:rsidRPr="000370BC">
        <w:rPr>
          <w:rFonts w:cs="Arial"/>
          <w:sz w:val="20"/>
        </w:rPr>
        <w:t>one in four Pacific children</w:t>
      </w:r>
      <w:r w:rsidRPr="000370BC">
        <w:rPr>
          <w:rFonts w:cs="Arial"/>
          <w:b/>
          <w:sz w:val="20"/>
        </w:rPr>
        <w:t xml:space="preserve">, </w:t>
      </w:r>
      <w:r w:rsidRPr="000370BC">
        <w:rPr>
          <w:rFonts w:cs="Arial"/>
          <w:sz w:val="20"/>
        </w:rPr>
        <w:t>and one in three Maori children (double the rate for European/Pakeha children)</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The</w:t>
      </w:r>
      <w:r w:rsidRPr="000370BC">
        <w:rPr>
          <w:rFonts w:cs="Arial"/>
          <w:sz w:val="20"/>
        </w:rPr>
        <w:t xml:space="preserve"> higher poverty rate for Maori children </w:t>
      </w:r>
      <w:r>
        <w:rPr>
          <w:rFonts w:cs="Arial"/>
          <w:sz w:val="20"/>
        </w:rPr>
        <w:t>is consistent with</w:t>
      </w:r>
      <w:r w:rsidRPr="000370BC">
        <w:rPr>
          <w:rFonts w:cs="Arial"/>
          <w:sz w:val="20"/>
        </w:rPr>
        <w:t xml:space="preserve"> the relatively high proportion of Maori children living in sole</w:t>
      </w:r>
      <w:r>
        <w:rPr>
          <w:rFonts w:cs="Arial"/>
          <w:sz w:val="20"/>
        </w:rPr>
        <w:t>-</w:t>
      </w:r>
      <w:r w:rsidRPr="000370BC">
        <w:rPr>
          <w:rFonts w:cs="Arial"/>
          <w:sz w:val="20"/>
        </w:rPr>
        <w:t xml:space="preserve">parent beneficiary families and households (eg </w:t>
      </w:r>
      <w:r>
        <w:rPr>
          <w:rFonts w:cs="Arial"/>
          <w:sz w:val="20"/>
        </w:rPr>
        <w:t>around</w:t>
      </w:r>
      <w:r w:rsidRPr="000370BC">
        <w:rPr>
          <w:rFonts w:cs="Arial"/>
          <w:sz w:val="20"/>
        </w:rPr>
        <w:t xml:space="preserve"> 43% of DPB recipients were Maori</w:t>
      </w:r>
      <w:r>
        <w:rPr>
          <w:rFonts w:cs="Arial"/>
          <w:sz w:val="20"/>
        </w:rPr>
        <w:t xml:space="preserve"> in the 2007 to 2011 period</w:t>
      </w:r>
      <w:r w:rsidRPr="000370BC">
        <w:rPr>
          <w:rFonts w:cs="Arial"/>
          <w:sz w:val="20"/>
        </w:rPr>
        <w:t>)</w:t>
      </w:r>
      <w:r>
        <w:rPr>
          <w:rFonts w:cs="Arial"/>
          <w:sz w:val="20"/>
        </w:rPr>
        <w:t>.</w:t>
      </w:r>
    </w:p>
    <w:p w:rsidR="007B3E55" w:rsidRDefault="00B614F5" w:rsidP="007B3E55">
      <w:pPr>
        <w:numPr>
          <w:ilvl w:val="0"/>
          <w:numId w:val="16"/>
        </w:numPr>
        <w:tabs>
          <w:tab w:val="clear" w:pos="1080"/>
          <w:tab w:val="num" w:pos="900"/>
        </w:tabs>
        <w:spacing w:before="120"/>
        <w:ind w:left="900"/>
        <w:jc w:val="both"/>
        <w:rPr>
          <w:rFonts w:cs="Arial"/>
          <w:sz w:val="20"/>
        </w:rPr>
      </w:pPr>
      <w:r>
        <w:rPr>
          <w:rFonts w:cs="Arial"/>
          <w:sz w:val="20"/>
        </w:rPr>
        <w:t>On average from 2009 to 2011, just under half (47%)</w:t>
      </w:r>
      <w:r w:rsidR="007B3E55">
        <w:rPr>
          <w:rFonts w:cs="Arial"/>
          <w:sz w:val="20"/>
        </w:rPr>
        <w:t xml:space="preserve"> of poor children were Maori or Pacific</w:t>
      </w:r>
      <w:r>
        <w:rPr>
          <w:rFonts w:cs="Arial"/>
          <w:sz w:val="20"/>
        </w:rPr>
        <w:t>:</w:t>
      </w:r>
      <w:r w:rsidR="007B3E55">
        <w:rPr>
          <w:rFonts w:cs="Arial"/>
          <w:sz w:val="20"/>
        </w:rPr>
        <w:t xml:space="preserve"> for children overall, around 3</w:t>
      </w:r>
      <w:r>
        <w:rPr>
          <w:rFonts w:cs="Arial"/>
          <w:sz w:val="20"/>
        </w:rPr>
        <w:t>4</w:t>
      </w:r>
      <w:r w:rsidR="007B3E55">
        <w:rPr>
          <w:rFonts w:cs="Arial"/>
          <w:sz w:val="20"/>
        </w:rPr>
        <w:t>% were Maori or Pacific.</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The</w:t>
      </w:r>
      <w:r w:rsidRPr="000370BC">
        <w:rPr>
          <w:rFonts w:cs="Arial"/>
          <w:sz w:val="20"/>
        </w:rPr>
        <w:t xml:space="preserve"> sample size is too small to allow more precise poverty rates to be given for the smaller ethnic groupings.</w:t>
      </w:r>
    </w:p>
    <w:p w:rsidR="007B3E55" w:rsidRDefault="007B3E55" w:rsidP="007B3E55">
      <w:pPr>
        <w:jc w:val="both"/>
        <w:rPr>
          <w:rFonts w:cs="Arial"/>
          <w:b/>
          <w:sz w:val="20"/>
        </w:rPr>
      </w:pPr>
    </w:p>
    <w:p w:rsidR="007B3E55" w:rsidRPr="000B0A4B" w:rsidRDefault="007B3E55" w:rsidP="007B3E55">
      <w:pPr>
        <w:ind w:left="360" w:hanging="360"/>
        <w:jc w:val="both"/>
        <w:rPr>
          <w:rFonts w:cs="Arial"/>
          <w:b/>
          <w:sz w:val="20"/>
        </w:rPr>
      </w:pPr>
    </w:p>
    <w:p w:rsidR="007B3E55" w:rsidRPr="000370BC" w:rsidRDefault="00530635" w:rsidP="007B3E55">
      <w:pPr>
        <w:ind w:left="360" w:hanging="360"/>
        <w:jc w:val="both"/>
        <w:rPr>
          <w:rFonts w:cs="Arial"/>
          <w:b/>
          <w:sz w:val="20"/>
        </w:rPr>
      </w:pPr>
      <w:r>
        <w:rPr>
          <w:rFonts w:cs="Arial"/>
          <w:b/>
          <w:sz w:val="20"/>
        </w:rPr>
        <w:t>20</w:t>
      </w:r>
      <w:r w:rsidR="007B3E55" w:rsidRPr="000370BC">
        <w:rPr>
          <w:rFonts w:cs="Arial"/>
          <w:b/>
          <w:sz w:val="20"/>
        </w:rPr>
        <w:tab/>
      </w:r>
      <w:r w:rsidR="007B3E55">
        <w:rPr>
          <w:rFonts w:cs="Arial"/>
          <w:b/>
          <w:sz w:val="20"/>
        </w:rPr>
        <w:t>Seven out of ten poor children live in rental accommodation.</w:t>
      </w:r>
    </w:p>
    <w:p w:rsidR="007B3E55" w:rsidRPr="005F7207" w:rsidRDefault="007B3E55" w:rsidP="007B3E55">
      <w:pPr>
        <w:numPr>
          <w:ilvl w:val="0"/>
          <w:numId w:val="16"/>
        </w:numPr>
        <w:tabs>
          <w:tab w:val="clear" w:pos="1080"/>
          <w:tab w:val="num" w:pos="900"/>
        </w:tabs>
        <w:spacing w:before="120"/>
        <w:ind w:left="900"/>
        <w:jc w:val="both"/>
        <w:rPr>
          <w:rFonts w:cs="Arial"/>
          <w:b/>
          <w:sz w:val="20"/>
        </w:rPr>
      </w:pPr>
      <w:r>
        <w:rPr>
          <w:rFonts w:cs="Arial"/>
          <w:sz w:val="20"/>
        </w:rPr>
        <w:t>Around 40% of children live in private rental or HNZC accommodation, and 60% in privately owned homes (80% of which have mortgage payments).</w:t>
      </w:r>
    </w:p>
    <w:p w:rsidR="007B3E55" w:rsidRPr="005F7207" w:rsidRDefault="007B3E55" w:rsidP="007B3E55">
      <w:pPr>
        <w:numPr>
          <w:ilvl w:val="0"/>
          <w:numId w:val="16"/>
        </w:numPr>
        <w:tabs>
          <w:tab w:val="clear" w:pos="1080"/>
          <w:tab w:val="num" w:pos="900"/>
        </w:tabs>
        <w:spacing w:before="120"/>
        <w:ind w:left="900"/>
        <w:jc w:val="both"/>
        <w:rPr>
          <w:rFonts w:cs="Arial"/>
          <w:b/>
          <w:sz w:val="20"/>
        </w:rPr>
      </w:pPr>
      <w:r>
        <w:rPr>
          <w:rFonts w:cs="Arial"/>
          <w:sz w:val="20"/>
        </w:rPr>
        <w:t>In both 2010 and 2011 the poverty rate for children in HNZC accommodation was around 50%, around 30% for those in private rental accommodation, and 11% for those in privately owned homes.</w:t>
      </w:r>
    </w:p>
    <w:p w:rsidR="007B3E55" w:rsidRPr="00330A80" w:rsidRDefault="007B3E55" w:rsidP="007B3E55">
      <w:pPr>
        <w:numPr>
          <w:ilvl w:val="0"/>
          <w:numId w:val="16"/>
        </w:numPr>
        <w:tabs>
          <w:tab w:val="clear" w:pos="1080"/>
          <w:tab w:val="num" w:pos="900"/>
        </w:tabs>
        <w:spacing w:before="120"/>
        <w:ind w:left="900"/>
        <w:jc w:val="both"/>
        <w:rPr>
          <w:rFonts w:cs="Arial"/>
          <w:sz w:val="20"/>
        </w:rPr>
      </w:pPr>
      <w:r w:rsidRPr="00330A80">
        <w:rPr>
          <w:rFonts w:cs="Arial"/>
          <w:sz w:val="20"/>
        </w:rPr>
        <w:t>70% of poor children live in rental accommodation (50% private rental, 20% from HNZC).</w:t>
      </w:r>
    </w:p>
    <w:p w:rsidR="007B3E55" w:rsidRDefault="007B3E55" w:rsidP="007B3E55">
      <w:pPr>
        <w:ind w:left="360" w:hanging="360"/>
        <w:jc w:val="both"/>
        <w:rPr>
          <w:rFonts w:cs="Arial"/>
          <w:b/>
          <w:szCs w:val="22"/>
        </w:rPr>
      </w:pPr>
    </w:p>
    <w:p w:rsidR="007B3E55" w:rsidRPr="007D77FE" w:rsidRDefault="007B3E55" w:rsidP="007B3E55">
      <w:pPr>
        <w:ind w:left="360" w:hanging="360"/>
        <w:jc w:val="both"/>
        <w:rPr>
          <w:rFonts w:cs="Arial"/>
          <w:b/>
          <w:szCs w:val="22"/>
        </w:rPr>
      </w:pPr>
    </w:p>
    <w:p w:rsidR="007B3E55" w:rsidRPr="000370BC" w:rsidRDefault="007B3E55" w:rsidP="007B3E55">
      <w:pPr>
        <w:ind w:left="360" w:hanging="360"/>
        <w:jc w:val="both"/>
        <w:rPr>
          <w:rFonts w:cs="Arial"/>
          <w:b/>
          <w:sz w:val="20"/>
        </w:rPr>
      </w:pPr>
      <w:r>
        <w:rPr>
          <w:rFonts w:cs="Arial"/>
          <w:b/>
          <w:sz w:val="20"/>
        </w:rPr>
        <w:t>2</w:t>
      </w:r>
      <w:r w:rsidR="00530635">
        <w:rPr>
          <w:rFonts w:cs="Arial"/>
          <w:b/>
          <w:sz w:val="20"/>
        </w:rPr>
        <w:t>1</w:t>
      </w:r>
      <w:r w:rsidRPr="000370BC">
        <w:rPr>
          <w:rFonts w:cs="Arial"/>
          <w:b/>
          <w:sz w:val="20"/>
        </w:rPr>
        <w:tab/>
      </w:r>
      <w:r>
        <w:rPr>
          <w:rFonts w:cs="Arial"/>
          <w:b/>
          <w:sz w:val="20"/>
        </w:rPr>
        <w:t xml:space="preserve">Poverty rates for working-age adults living on their own trebled from 1984 to 2007 on the </w:t>
      </w:r>
      <w:smartTag w:uri="urn:schemas-microsoft-com:office:smarttags" w:element="stockticker">
        <w:r>
          <w:rPr>
            <w:rFonts w:cs="Arial"/>
            <w:b/>
            <w:sz w:val="20"/>
          </w:rPr>
          <w:t>AHC</w:t>
        </w:r>
      </w:smartTag>
      <w:r>
        <w:rPr>
          <w:rFonts w:cs="Arial"/>
          <w:b/>
          <w:sz w:val="20"/>
        </w:rPr>
        <w:t xml:space="preserve"> fixed line measure, and remained high in 2011 (35%)</w:t>
      </w:r>
    </w:p>
    <w:p w:rsidR="007B3E55" w:rsidRPr="004C4B84" w:rsidRDefault="007B3E55" w:rsidP="007B3E55">
      <w:pPr>
        <w:numPr>
          <w:ilvl w:val="0"/>
          <w:numId w:val="16"/>
        </w:numPr>
        <w:tabs>
          <w:tab w:val="clear" w:pos="1080"/>
          <w:tab w:val="num" w:pos="900"/>
        </w:tabs>
        <w:spacing w:before="120"/>
        <w:ind w:left="900"/>
        <w:jc w:val="both"/>
        <w:rPr>
          <w:rFonts w:cs="Arial"/>
          <w:b/>
          <w:color w:val="000000"/>
          <w:sz w:val="20"/>
        </w:rPr>
      </w:pPr>
      <w:r w:rsidRPr="004C4B84">
        <w:rPr>
          <w:rFonts w:cs="Arial"/>
          <w:color w:val="000000"/>
          <w:sz w:val="20"/>
        </w:rPr>
        <w:t>In 2011, one</w:t>
      </w:r>
      <w:r w:rsidR="00CA4009">
        <w:rPr>
          <w:rFonts w:cs="Arial"/>
          <w:color w:val="000000"/>
          <w:sz w:val="20"/>
        </w:rPr>
        <w:t>-</w:t>
      </w:r>
      <w:r w:rsidRPr="004C4B84">
        <w:rPr>
          <w:rFonts w:cs="Arial"/>
          <w:color w:val="000000"/>
          <w:sz w:val="20"/>
        </w:rPr>
        <w:t xml:space="preserve">person working-age households had the second highest poverty rate by household type (after sole-parent households) – the rate was high in itself (35%) and high relative to the population as a whole (16%), using the </w:t>
      </w:r>
      <w:smartTag w:uri="urn:schemas-microsoft-com:office:smarttags" w:element="stockticker">
        <w:r w:rsidRPr="004C4B84">
          <w:rPr>
            <w:rFonts w:cs="Arial"/>
            <w:color w:val="000000"/>
            <w:sz w:val="20"/>
          </w:rPr>
          <w:t>AHC</w:t>
        </w:r>
      </w:smartTag>
      <w:r w:rsidRPr="004C4B84">
        <w:rPr>
          <w:rFonts w:cs="Arial"/>
          <w:color w:val="000000"/>
          <w:sz w:val="20"/>
        </w:rPr>
        <w:t xml:space="preserve"> fixed line measure.</w:t>
      </w:r>
    </w:p>
    <w:p w:rsidR="007B3E55" w:rsidRPr="004C4B84" w:rsidRDefault="007B3E55" w:rsidP="007B3E55">
      <w:pPr>
        <w:numPr>
          <w:ilvl w:val="0"/>
          <w:numId w:val="16"/>
        </w:numPr>
        <w:tabs>
          <w:tab w:val="clear" w:pos="1080"/>
          <w:tab w:val="num" w:pos="900"/>
        </w:tabs>
        <w:spacing w:before="120"/>
        <w:ind w:left="900"/>
        <w:jc w:val="both"/>
        <w:rPr>
          <w:rFonts w:cs="Arial"/>
          <w:b/>
          <w:color w:val="000000"/>
          <w:sz w:val="20"/>
        </w:rPr>
      </w:pPr>
      <w:r w:rsidRPr="004C4B84">
        <w:rPr>
          <w:rFonts w:cs="Arial"/>
          <w:color w:val="000000"/>
          <w:sz w:val="20"/>
        </w:rPr>
        <w:t>The poverty rate for this group trebled from 1984 (10%) to 2007 (30%).</w:t>
      </w:r>
    </w:p>
    <w:p w:rsidR="007B3E55" w:rsidRPr="004C4B84" w:rsidRDefault="007B3E55" w:rsidP="007B3E55">
      <w:pPr>
        <w:numPr>
          <w:ilvl w:val="0"/>
          <w:numId w:val="16"/>
        </w:numPr>
        <w:tabs>
          <w:tab w:val="clear" w:pos="1080"/>
          <w:tab w:val="num" w:pos="900"/>
        </w:tabs>
        <w:spacing w:before="120"/>
        <w:ind w:left="900"/>
        <w:jc w:val="both"/>
        <w:rPr>
          <w:rFonts w:cs="Arial"/>
          <w:b/>
          <w:color w:val="000000"/>
          <w:sz w:val="20"/>
        </w:rPr>
      </w:pPr>
      <w:r w:rsidRPr="004C4B84">
        <w:rPr>
          <w:rFonts w:cs="Arial"/>
          <w:color w:val="000000"/>
          <w:sz w:val="20"/>
        </w:rPr>
        <w:t>Within this group, those aged 45 to 64 years have a higher income poverty rate than the younger group (aged 18 to 44 years)</w:t>
      </w:r>
      <w:r>
        <w:rPr>
          <w:rFonts w:cs="Arial"/>
          <w:color w:val="000000"/>
          <w:sz w:val="20"/>
        </w:rPr>
        <w:t>.</w:t>
      </w:r>
      <w:r>
        <w:rPr>
          <w:rFonts w:cs="Arial"/>
          <w:b/>
          <w:color w:val="000000"/>
          <w:sz w:val="20"/>
        </w:rPr>
        <w:t xml:space="preserve">  </w:t>
      </w:r>
      <w:r>
        <w:rPr>
          <w:rFonts w:cs="Arial"/>
          <w:color w:val="000000"/>
          <w:sz w:val="20"/>
        </w:rPr>
        <w:t>Based on a measure which uses the non-monetary indicators in the HES the hardship rate increased from 14% to 24% for this older group who live on their own.  See #23 below for more on this.</w:t>
      </w:r>
    </w:p>
    <w:p w:rsidR="007B3E55" w:rsidRDefault="007B3E55" w:rsidP="007B3E55">
      <w:pPr>
        <w:ind w:left="450" w:hanging="450"/>
        <w:jc w:val="both"/>
        <w:rPr>
          <w:rFonts w:cs="Arial"/>
          <w:b/>
          <w:sz w:val="20"/>
        </w:rPr>
      </w:pPr>
    </w:p>
    <w:p w:rsidR="007B3E55" w:rsidRDefault="007B3E55" w:rsidP="007B3E55">
      <w:pPr>
        <w:ind w:left="450" w:hanging="450"/>
        <w:jc w:val="both"/>
        <w:rPr>
          <w:rFonts w:cs="Arial"/>
          <w:b/>
          <w:sz w:val="20"/>
        </w:rPr>
      </w:pPr>
    </w:p>
    <w:p w:rsidR="007B3E55" w:rsidRDefault="007B3E55" w:rsidP="007B3E55">
      <w:pPr>
        <w:ind w:left="450" w:hanging="450"/>
        <w:jc w:val="both"/>
        <w:rPr>
          <w:rFonts w:cs="Arial"/>
          <w:b/>
          <w:sz w:val="20"/>
        </w:rPr>
      </w:pPr>
      <w:r>
        <w:rPr>
          <w:rFonts w:cs="Arial"/>
          <w:b/>
          <w:sz w:val="20"/>
        </w:rPr>
        <w:br w:type="page"/>
      </w:r>
      <w:r>
        <w:rPr>
          <w:rFonts w:cs="Arial"/>
          <w:b/>
          <w:sz w:val="20"/>
        </w:rPr>
        <w:lastRenderedPageBreak/>
        <w:t>2</w:t>
      </w:r>
      <w:r w:rsidR="00530635">
        <w:rPr>
          <w:rFonts w:cs="Arial"/>
          <w:b/>
          <w:sz w:val="20"/>
        </w:rPr>
        <w:t>2</w:t>
      </w:r>
      <w:r w:rsidRPr="000370BC">
        <w:rPr>
          <w:rFonts w:cs="Arial"/>
          <w:sz w:val="20"/>
        </w:rPr>
        <w:tab/>
      </w:r>
      <w:r w:rsidR="00C5704D">
        <w:rPr>
          <w:rFonts w:cs="Arial"/>
          <w:b/>
          <w:sz w:val="20"/>
        </w:rPr>
        <w:t>While t</w:t>
      </w:r>
      <w:r w:rsidRPr="000370BC">
        <w:rPr>
          <w:rFonts w:cs="Arial"/>
          <w:b/>
          <w:sz w:val="20"/>
        </w:rPr>
        <w:t>he value of New Zealand Superannuation (NZS)</w:t>
      </w:r>
      <w:r w:rsidR="00C5704D">
        <w:rPr>
          <w:rFonts w:cs="Arial"/>
          <w:b/>
          <w:sz w:val="20"/>
        </w:rPr>
        <w:t xml:space="preserve"> relative to wages was steady from 2004 to 2011, its value relative to median household income declined to a low of 48% in the 2008-09 HES before rising to 53% in the 2010-11 HES. </w:t>
      </w:r>
    </w:p>
    <w:p w:rsidR="007B3E55" w:rsidRPr="000370BC" w:rsidRDefault="007B3E55" w:rsidP="007B3E55">
      <w:pPr>
        <w:numPr>
          <w:ilvl w:val="0"/>
          <w:numId w:val="17"/>
        </w:numPr>
        <w:tabs>
          <w:tab w:val="clear" w:pos="720"/>
          <w:tab w:val="num" w:pos="900"/>
        </w:tabs>
        <w:spacing w:before="120"/>
        <w:ind w:left="900"/>
        <w:jc w:val="both"/>
        <w:rPr>
          <w:rFonts w:cs="Arial"/>
          <w:sz w:val="20"/>
        </w:rPr>
      </w:pPr>
      <w:r>
        <w:rPr>
          <w:rFonts w:cs="Arial"/>
          <w:sz w:val="20"/>
        </w:rPr>
        <w:t>While NZS for a couple</w:t>
      </w:r>
      <w:r w:rsidRPr="000370BC">
        <w:rPr>
          <w:rFonts w:cs="Arial"/>
          <w:sz w:val="20"/>
        </w:rPr>
        <w:t xml:space="preserve"> remained steady at </w:t>
      </w:r>
      <w:r>
        <w:rPr>
          <w:rFonts w:cs="Arial"/>
          <w:sz w:val="20"/>
        </w:rPr>
        <w:t xml:space="preserve">close to </w:t>
      </w:r>
      <w:r w:rsidRPr="000370BC">
        <w:rPr>
          <w:rFonts w:cs="Arial"/>
          <w:sz w:val="20"/>
        </w:rPr>
        <w:t>66%</w:t>
      </w:r>
      <w:r>
        <w:rPr>
          <w:rFonts w:cs="Arial"/>
          <w:sz w:val="20"/>
        </w:rPr>
        <w:t xml:space="preserve"> </w:t>
      </w:r>
      <w:r w:rsidRPr="000370BC">
        <w:rPr>
          <w:rFonts w:cs="Arial"/>
          <w:sz w:val="20"/>
        </w:rPr>
        <w:t>of net average ordinary time earnings</w:t>
      </w:r>
      <w:r>
        <w:rPr>
          <w:rFonts w:cs="Arial"/>
          <w:sz w:val="20"/>
        </w:rPr>
        <w:t xml:space="preserve"> from 2004 to 2011</w:t>
      </w:r>
      <w:r w:rsidRPr="000370BC">
        <w:rPr>
          <w:rFonts w:cs="Arial"/>
          <w:sz w:val="20"/>
        </w:rPr>
        <w:t xml:space="preserve">, </w:t>
      </w:r>
      <w:r>
        <w:rPr>
          <w:rFonts w:cs="Arial"/>
          <w:sz w:val="20"/>
        </w:rPr>
        <w:t>its value relative to median household income declined from 58% in 2001 to 48% in 2009.</w:t>
      </w:r>
      <w:r w:rsidRPr="00367ED0">
        <w:rPr>
          <w:rFonts w:cs="Arial"/>
          <w:sz w:val="20"/>
        </w:rPr>
        <w:t xml:space="preserve"> </w:t>
      </w:r>
    </w:p>
    <w:p w:rsidR="007B3E55" w:rsidRDefault="00EC0BE0" w:rsidP="007B3E55">
      <w:pPr>
        <w:numPr>
          <w:ilvl w:val="0"/>
          <w:numId w:val="17"/>
        </w:numPr>
        <w:tabs>
          <w:tab w:val="clear" w:pos="720"/>
          <w:tab w:val="num" w:pos="900"/>
        </w:tabs>
        <w:spacing w:before="120"/>
        <w:ind w:left="900"/>
        <w:jc w:val="both"/>
        <w:rPr>
          <w:rFonts w:cs="Arial"/>
          <w:sz w:val="20"/>
        </w:rPr>
      </w:pPr>
      <w:r>
        <w:rPr>
          <w:noProof/>
          <w:lang w:val="en-US"/>
        </w:rPr>
        <w:drawing>
          <wp:anchor distT="0" distB="0" distL="114300" distR="114300" simplePos="0" relativeHeight="251657728" behindDoc="0" locked="0" layoutInCell="1" allowOverlap="1">
            <wp:simplePos x="0" y="0"/>
            <wp:positionH relativeFrom="column">
              <wp:align>right</wp:align>
            </wp:positionH>
            <wp:positionV relativeFrom="paragraph">
              <wp:posOffset>75565</wp:posOffset>
            </wp:positionV>
            <wp:extent cx="3228975" cy="1990725"/>
            <wp:effectExtent l="0" t="0" r="0" b="0"/>
            <wp:wrapSquare wrapText="lef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srcRect/>
                    <a:stretch>
                      <a:fillRect/>
                    </a:stretch>
                  </pic:blipFill>
                  <pic:spPr bwMode="auto">
                    <a:xfrm>
                      <a:off x="0" y="0"/>
                      <a:ext cx="3228975" cy="1990725"/>
                    </a:xfrm>
                    <a:prstGeom prst="rect">
                      <a:avLst/>
                    </a:prstGeom>
                    <a:noFill/>
                    <a:ln w="9525">
                      <a:noFill/>
                      <a:miter lim="800000"/>
                      <a:headEnd/>
                      <a:tailEnd/>
                    </a:ln>
                  </pic:spPr>
                </pic:pic>
              </a:graphicData>
            </a:graphic>
          </wp:anchor>
        </w:drawing>
      </w:r>
      <w:r w:rsidR="007B3E55" w:rsidRPr="004C128F">
        <w:rPr>
          <w:rFonts w:cs="Arial"/>
          <w:sz w:val="20"/>
        </w:rPr>
        <w:t>This relative decline reflects the fact that median household income rose quite strongly in real terms from 2001 to 2009</w:t>
      </w:r>
      <w:r w:rsidR="007B3E55">
        <w:rPr>
          <w:rFonts w:cs="Arial"/>
          <w:sz w:val="20"/>
        </w:rPr>
        <w:t xml:space="preserve"> (+23%)</w:t>
      </w:r>
      <w:r w:rsidR="007B3E55" w:rsidRPr="004C128F">
        <w:rPr>
          <w:rFonts w:cs="Arial"/>
          <w:sz w:val="20"/>
        </w:rPr>
        <w:t xml:space="preserve">, while NZS increased only </w:t>
      </w:r>
      <w:r w:rsidR="00C5704D">
        <w:rPr>
          <w:rFonts w:cs="Arial"/>
          <w:sz w:val="20"/>
        </w:rPr>
        <w:t>modestly</w:t>
      </w:r>
      <w:r w:rsidR="007B3E55" w:rsidRPr="004C128F">
        <w:rPr>
          <w:rFonts w:cs="Arial"/>
          <w:sz w:val="20"/>
        </w:rPr>
        <w:t xml:space="preserve"> in real terms.  </w:t>
      </w:r>
    </w:p>
    <w:p w:rsidR="007B3E55" w:rsidRDefault="007B3E55" w:rsidP="007B3E55">
      <w:pPr>
        <w:numPr>
          <w:ilvl w:val="0"/>
          <w:numId w:val="17"/>
        </w:numPr>
        <w:tabs>
          <w:tab w:val="clear" w:pos="720"/>
          <w:tab w:val="num" w:pos="900"/>
        </w:tabs>
        <w:spacing w:before="120"/>
        <w:ind w:left="900"/>
        <w:jc w:val="both"/>
        <w:rPr>
          <w:rFonts w:cs="Arial"/>
          <w:sz w:val="20"/>
        </w:rPr>
      </w:pPr>
      <w:r>
        <w:rPr>
          <w:rFonts w:cs="Arial"/>
          <w:sz w:val="20"/>
        </w:rPr>
        <w:t>From HES 2009 to HES 2011 the value of NZS recovered to around 53% of the median.  The turnaround reflects (a) the real decline (-</w:t>
      </w:r>
      <w:r w:rsidR="00134BF9">
        <w:rPr>
          <w:rFonts w:cs="Arial"/>
          <w:sz w:val="20"/>
        </w:rPr>
        <w:t>2</w:t>
      </w:r>
      <w:r>
        <w:rPr>
          <w:rFonts w:cs="Arial"/>
          <w:sz w:val="20"/>
        </w:rPr>
        <w:t xml:space="preserve">%) in median household income, and (b) </w:t>
      </w:r>
      <w:r w:rsidRPr="004C128F">
        <w:rPr>
          <w:rFonts w:cs="Arial"/>
          <w:sz w:val="20"/>
        </w:rPr>
        <w:t xml:space="preserve">the increase in </w:t>
      </w:r>
      <w:r>
        <w:rPr>
          <w:rFonts w:cs="Arial"/>
          <w:sz w:val="20"/>
        </w:rPr>
        <w:t xml:space="preserve">net </w:t>
      </w:r>
      <w:r w:rsidRPr="004C128F">
        <w:rPr>
          <w:rFonts w:cs="Arial"/>
          <w:sz w:val="20"/>
        </w:rPr>
        <w:t xml:space="preserve">NZS from the tax cuts </w:t>
      </w:r>
      <w:r>
        <w:rPr>
          <w:rFonts w:cs="Arial"/>
          <w:sz w:val="20"/>
        </w:rPr>
        <w:t>in 2008, 2009 and 2010.</w:t>
      </w:r>
    </w:p>
    <w:p w:rsidR="007B3E55" w:rsidRPr="000370BC" w:rsidRDefault="007B3E55" w:rsidP="007B3E55">
      <w:pPr>
        <w:numPr>
          <w:ilvl w:val="0"/>
          <w:numId w:val="17"/>
        </w:numPr>
        <w:tabs>
          <w:tab w:val="clear" w:pos="720"/>
          <w:tab w:val="num" w:pos="900"/>
        </w:tabs>
        <w:spacing w:before="120"/>
        <w:ind w:left="900"/>
        <w:jc w:val="both"/>
        <w:rPr>
          <w:rFonts w:cs="Arial"/>
          <w:sz w:val="20"/>
        </w:rPr>
      </w:pPr>
      <w:r>
        <w:rPr>
          <w:rFonts w:cs="Arial"/>
          <w:sz w:val="20"/>
        </w:rPr>
        <w:t>The</w:t>
      </w:r>
      <w:r w:rsidRPr="000370BC">
        <w:rPr>
          <w:rFonts w:cs="Arial"/>
          <w:sz w:val="20"/>
        </w:rPr>
        <w:t xml:space="preserve"> vast majority of older New Zealanders remain heavily dependent on NZS for their income</w:t>
      </w:r>
      <w:r>
        <w:rPr>
          <w:rFonts w:cs="Arial"/>
          <w:sz w:val="20"/>
        </w:rPr>
        <w:t>:</w:t>
      </w:r>
    </w:p>
    <w:p w:rsidR="007B3E55" w:rsidRPr="000370BC" w:rsidRDefault="007B3E55" w:rsidP="00614C04">
      <w:pPr>
        <w:numPr>
          <w:ilvl w:val="0"/>
          <w:numId w:val="29"/>
        </w:numPr>
        <w:tabs>
          <w:tab w:val="clear" w:pos="720"/>
          <w:tab w:val="num" w:pos="1260"/>
        </w:tabs>
        <w:spacing w:before="60"/>
        <w:ind w:left="1267" w:hanging="187"/>
        <w:jc w:val="both"/>
        <w:rPr>
          <w:rFonts w:cs="Arial"/>
          <w:sz w:val="20"/>
        </w:rPr>
      </w:pPr>
      <w:r w:rsidRPr="000370BC">
        <w:rPr>
          <w:rFonts w:cs="Arial"/>
          <w:sz w:val="20"/>
        </w:rPr>
        <w:t>40% have next to no other income, and the next 20%, those in the middle quintile, receive 85% of their income from NZS</w:t>
      </w:r>
    </w:p>
    <w:p w:rsidR="007B3E55" w:rsidRDefault="007B3E55" w:rsidP="00614C04">
      <w:pPr>
        <w:numPr>
          <w:ilvl w:val="0"/>
          <w:numId w:val="29"/>
        </w:numPr>
        <w:tabs>
          <w:tab w:val="clear" w:pos="720"/>
          <w:tab w:val="num" w:pos="1260"/>
        </w:tabs>
        <w:spacing w:before="60"/>
        <w:ind w:left="1267" w:hanging="187"/>
        <w:jc w:val="both"/>
        <w:rPr>
          <w:rFonts w:cs="Arial"/>
          <w:sz w:val="20"/>
        </w:rPr>
      </w:pPr>
      <w:r w:rsidRPr="000370BC">
        <w:rPr>
          <w:rFonts w:cs="Arial"/>
          <w:sz w:val="20"/>
        </w:rPr>
        <w:t>around half of older New Zealanders receive less than $100 pw from non-government sources (</w:t>
      </w:r>
      <w:r>
        <w:rPr>
          <w:rFonts w:cs="Arial"/>
          <w:sz w:val="20"/>
        </w:rPr>
        <w:t xml:space="preserve">eg  </w:t>
      </w:r>
      <w:r w:rsidRPr="000370BC">
        <w:rPr>
          <w:rFonts w:cs="Arial"/>
          <w:sz w:val="20"/>
        </w:rPr>
        <w:t>employment, private superannuation, other investment returns).</w:t>
      </w:r>
    </w:p>
    <w:p w:rsidR="007B3E55" w:rsidRDefault="007B3E55" w:rsidP="007B3E55">
      <w:pPr>
        <w:numPr>
          <w:ilvl w:val="0"/>
          <w:numId w:val="17"/>
        </w:numPr>
        <w:tabs>
          <w:tab w:val="clear" w:pos="720"/>
          <w:tab w:val="num" w:pos="900"/>
        </w:tabs>
        <w:spacing w:before="120"/>
        <w:ind w:left="900"/>
        <w:jc w:val="both"/>
        <w:rPr>
          <w:rFonts w:cs="Arial"/>
          <w:sz w:val="20"/>
        </w:rPr>
      </w:pPr>
      <w:r>
        <w:rPr>
          <w:rFonts w:cs="Arial"/>
          <w:sz w:val="20"/>
        </w:rPr>
        <w:t xml:space="preserve">If a 50% of median </w:t>
      </w:r>
      <w:smartTag w:uri="urn:schemas-microsoft-com:office:smarttags" w:element="stockticker">
        <w:r>
          <w:rPr>
            <w:rFonts w:cs="Arial"/>
            <w:sz w:val="20"/>
          </w:rPr>
          <w:t>BHC</w:t>
        </w:r>
      </w:smartTag>
      <w:r>
        <w:rPr>
          <w:rFonts w:cs="Arial"/>
          <w:sz w:val="20"/>
        </w:rPr>
        <w:t xml:space="preserve"> poverty measure is used (as the OECD does), then the reported poverty rate for older New Zealanders shows a sudden and large increase from close to zero in 2001 to 22% in HES 2009, followed by a similarly large decrease to 13% for 2010  and 11% for 2011.  </w:t>
      </w:r>
    </w:p>
    <w:p w:rsidR="007B3E55" w:rsidRPr="00245F8A" w:rsidRDefault="007B3E55" w:rsidP="007B3E55">
      <w:pPr>
        <w:numPr>
          <w:ilvl w:val="0"/>
          <w:numId w:val="17"/>
        </w:numPr>
        <w:tabs>
          <w:tab w:val="clear" w:pos="720"/>
          <w:tab w:val="num" w:pos="900"/>
        </w:tabs>
        <w:spacing w:before="120"/>
        <w:ind w:left="900"/>
        <w:jc w:val="both"/>
        <w:rPr>
          <w:rFonts w:cs="Arial"/>
          <w:sz w:val="20"/>
        </w:rPr>
      </w:pPr>
      <w:r w:rsidRPr="0015708D">
        <w:rPr>
          <w:rFonts w:cs="Arial"/>
          <w:sz w:val="20"/>
          <w:szCs w:val="22"/>
        </w:rPr>
        <w:t>This sudden rise and fall of the income poverty rate for older New Zealanders</w:t>
      </w:r>
      <w:r w:rsidR="00C5704D">
        <w:rPr>
          <w:rFonts w:cs="Arial"/>
          <w:sz w:val="20"/>
          <w:szCs w:val="22"/>
        </w:rPr>
        <w:t xml:space="preserve"> on this measure</w:t>
      </w:r>
      <w:r w:rsidRPr="0015708D">
        <w:rPr>
          <w:rFonts w:cs="Arial"/>
          <w:sz w:val="20"/>
          <w:szCs w:val="22"/>
        </w:rPr>
        <w:t xml:space="preserve"> can easily leave the misleading impression that there has been a very large and sudden change for the worse in the actual living conditions of many older New Zealanders, followed by an equally sudden improvement.  Neither conclusion is warranted.  The rapid changes simply reflect the</w:t>
      </w:r>
      <w:r>
        <w:rPr>
          <w:rFonts w:cs="Arial"/>
          <w:sz w:val="20"/>
          <w:szCs w:val="22"/>
        </w:rPr>
        <w:t xml:space="preserve"> strong clustering of household incomes for older New Zealanders at and just above the level of NZS (the ‘pensioner spike’) </w:t>
      </w:r>
      <w:r w:rsidRPr="0015708D">
        <w:rPr>
          <w:rFonts w:cs="Arial"/>
          <w:sz w:val="20"/>
          <w:szCs w:val="22"/>
        </w:rPr>
        <w:t xml:space="preserve">in the </w:t>
      </w:r>
      <w:smartTag w:uri="urn:schemas-microsoft-com:office:smarttags" w:element="place">
        <w:smartTag w:uri="urn:schemas-microsoft-com:office:smarttags" w:element="country-region">
          <w:r w:rsidRPr="0015708D">
            <w:rPr>
              <w:rFonts w:cs="Arial"/>
              <w:sz w:val="20"/>
              <w:szCs w:val="22"/>
            </w:rPr>
            <w:t>New Zealand</w:t>
          </w:r>
        </w:smartTag>
      </w:smartTag>
      <w:r w:rsidRPr="0015708D">
        <w:rPr>
          <w:rFonts w:cs="Arial"/>
          <w:sz w:val="20"/>
          <w:szCs w:val="22"/>
        </w:rPr>
        <w:t xml:space="preserve"> income distribution.</w:t>
      </w:r>
    </w:p>
    <w:p w:rsidR="007B3E55" w:rsidRPr="0015708D" w:rsidRDefault="007B3E55" w:rsidP="007B3E55">
      <w:pPr>
        <w:numPr>
          <w:ilvl w:val="0"/>
          <w:numId w:val="17"/>
        </w:numPr>
        <w:tabs>
          <w:tab w:val="clear" w:pos="720"/>
          <w:tab w:val="num" w:pos="900"/>
        </w:tabs>
        <w:spacing w:before="120"/>
        <w:ind w:left="900"/>
        <w:jc w:val="both"/>
        <w:rPr>
          <w:rFonts w:cs="Arial"/>
          <w:sz w:val="20"/>
        </w:rPr>
      </w:pPr>
      <w:r>
        <w:rPr>
          <w:rFonts w:cs="Arial"/>
          <w:sz w:val="20"/>
          <w:szCs w:val="22"/>
        </w:rPr>
        <w:t xml:space="preserve">This sort of anomaly is one of the reasons behind the Incomes Report’s advocacy for </w:t>
      </w:r>
      <w:r w:rsidR="00C5704D">
        <w:rPr>
          <w:rFonts w:cs="Arial"/>
          <w:sz w:val="20"/>
          <w:szCs w:val="22"/>
        </w:rPr>
        <w:t xml:space="preserve">giving priority to </w:t>
      </w:r>
      <w:r>
        <w:rPr>
          <w:rFonts w:cs="Arial"/>
          <w:sz w:val="20"/>
          <w:szCs w:val="22"/>
        </w:rPr>
        <w:t xml:space="preserve">AHC incomes and </w:t>
      </w:r>
      <w:r w:rsidR="00C5704D">
        <w:rPr>
          <w:rFonts w:cs="Arial"/>
          <w:sz w:val="20"/>
          <w:szCs w:val="22"/>
        </w:rPr>
        <w:t>NMIs</w:t>
      </w:r>
      <w:r>
        <w:rPr>
          <w:rFonts w:cs="Arial"/>
          <w:sz w:val="20"/>
          <w:szCs w:val="22"/>
        </w:rPr>
        <w:t xml:space="preserve"> for assessing the material wellbeing of households, especially for monitoring changes over time, and for comparing the relative positions of different population groups.</w:t>
      </w:r>
    </w:p>
    <w:p w:rsidR="007B3E55" w:rsidRDefault="007B3E55" w:rsidP="007B3E55">
      <w:pPr>
        <w:ind w:left="360" w:hanging="360"/>
        <w:jc w:val="both"/>
        <w:rPr>
          <w:rFonts w:cs="Arial"/>
          <w:b/>
          <w:szCs w:val="22"/>
        </w:rPr>
      </w:pPr>
    </w:p>
    <w:p w:rsidR="007B3E55" w:rsidRPr="007D77FE" w:rsidRDefault="007B3E55" w:rsidP="007B3E55">
      <w:pPr>
        <w:ind w:left="360" w:hanging="360"/>
        <w:jc w:val="both"/>
        <w:rPr>
          <w:rFonts w:cs="Arial"/>
          <w:b/>
          <w:szCs w:val="22"/>
        </w:rPr>
      </w:pPr>
    </w:p>
    <w:p w:rsidR="007B3E55" w:rsidRPr="000370BC" w:rsidRDefault="007B3E55" w:rsidP="007B3E55">
      <w:pPr>
        <w:ind w:left="450" w:hanging="450"/>
        <w:jc w:val="both"/>
        <w:rPr>
          <w:rFonts w:cs="Arial"/>
          <w:b/>
          <w:sz w:val="20"/>
        </w:rPr>
      </w:pPr>
      <w:r>
        <w:rPr>
          <w:rFonts w:cs="Arial"/>
          <w:b/>
          <w:sz w:val="20"/>
        </w:rPr>
        <w:t>2</w:t>
      </w:r>
      <w:r w:rsidR="00530635">
        <w:rPr>
          <w:rFonts w:cs="Arial"/>
          <w:b/>
          <w:sz w:val="20"/>
        </w:rPr>
        <w:t>3</w:t>
      </w:r>
      <w:r w:rsidRPr="000370BC">
        <w:rPr>
          <w:rFonts w:cs="Arial"/>
          <w:b/>
          <w:sz w:val="20"/>
        </w:rPr>
        <w:tab/>
      </w:r>
      <w:r>
        <w:rPr>
          <w:rFonts w:cs="Arial"/>
          <w:b/>
          <w:sz w:val="20"/>
        </w:rPr>
        <w:t>Income poverty</w:t>
      </w:r>
      <w:r w:rsidRPr="000370BC">
        <w:rPr>
          <w:rFonts w:cs="Arial"/>
          <w:b/>
          <w:sz w:val="20"/>
        </w:rPr>
        <w:t xml:space="preserve"> rates for older New Zealanders still remain lower than those for other age groups</w:t>
      </w:r>
      <w:r>
        <w:rPr>
          <w:rFonts w:cs="Arial"/>
          <w:b/>
          <w:sz w:val="20"/>
        </w:rPr>
        <w:t xml:space="preserve"> when using incomes after deducting housing costs.</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In 2011</w:t>
      </w:r>
      <w:r w:rsidRPr="000370BC">
        <w:rPr>
          <w:rFonts w:cs="Arial"/>
          <w:sz w:val="20"/>
        </w:rPr>
        <w:t xml:space="preserve">, the 60% </w:t>
      </w:r>
      <w:smartTag w:uri="urn:schemas-microsoft-com:office:smarttags" w:element="stockticker">
        <w:r w:rsidRPr="000370BC">
          <w:rPr>
            <w:rFonts w:cs="Arial"/>
            <w:sz w:val="20"/>
          </w:rPr>
          <w:t>AHC</w:t>
        </w:r>
      </w:smartTag>
      <w:r w:rsidRPr="000370BC">
        <w:rPr>
          <w:rFonts w:cs="Arial"/>
          <w:sz w:val="20"/>
        </w:rPr>
        <w:t xml:space="preserve"> </w:t>
      </w:r>
      <w:r>
        <w:rPr>
          <w:rFonts w:cs="Arial"/>
          <w:sz w:val="20"/>
        </w:rPr>
        <w:t xml:space="preserve">fixed line </w:t>
      </w:r>
      <w:r w:rsidRPr="000370BC">
        <w:rPr>
          <w:rFonts w:cs="Arial"/>
          <w:sz w:val="20"/>
        </w:rPr>
        <w:t xml:space="preserve">poverty rate for the 65+ age group was </w:t>
      </w:r>
      <w:r>
        <w:rPr>
          <w:rFonts w:cs="Arial"/>
          <w:sz w:val="20"/>
        </w:rPr>
        <w:t>7</w:t>
      </w:r>
      <w:r w:rsidRPr="000370BC">
        <w:rPr>
          <w:rFonts w:cs="Arial"/>
          <w:sz w:val="20"/>
        </w:rPr>
        <w:t>%, compared with 1</w:t>
      </w:r>
      <w:r>
        <w:rPr>
          <w:rFonts w:cs="Arial"/>
          <w:sz w:val="20"/>
        </w:rPr>
        <w:t>4</w:t>
      </w:r>
      <w:r w:rsidRPr="000370BC">
        <w:rPr>
          <w:rFonts w:cs="Arial"/>
          <w:sz w:val="20"/>
        </w:rPr>
        <w:t xml:space="preserve">% for 45-64 year olds, 15% for </w:t>
      </w:r>
      <w:r>
        <w:rPr>
          <w:rFonts w:cs="Arial"/>
          <w:sz w:val="20"/>
        </w:rPr>
        <w:t>18</w:t>
      </w:r>
      <w:r w:rsidRPr="000370BC">
        <w:rPr>
          <w:rFonts w:cs="Arial"/>
          <w:sz w:val="20"/>
        </w:rPr>
        <w:t>-44 year olds, and 2</w:t>
      </w:r>
      <w:r>
        <w:rPr>
          <w:rFonts w:cs="Arial"/>
          <w:sz w:val="20"/>
        </w:rPr>
        <w:t>1</w:t>
      </w:r>
      <w:r w:rsidRPr="000370BC">
        <w:rPr>
          <w:rFonts w:cs="Arial"/>
          <w:sz w:val="20"/>
        </w:rPr>
        <w:t xml:space="preserve">% for </w:t>
      </w:r>
      <w:r>
        <w:rPr>
          <w:rFonts w:cs="Arial"/>
          <w:sz w:val="20"/>
        </w:rPr>
        <w:t>children (aged 0-17 years).</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S</w:t>
      </w:r>
      <w:r w:rsidRPr="000370BC">
        <w:rPr>
          <w:rFonts w:cs="Arial"/>
          <w:sz w:val="20"/>
        </w:rPr>
        <w:t xml:space="preserve">imilar relativities are shown using the more stringent 50% of median </w:t>
      </w:r>
      <w:r>
        <w:rPr>
          <w:rFonts w:cs="Arial"/>
          <w:sz w:val="20"/>
        </w:rPr>
        <w:t>moving</w:t>
      </w:r>
      <w:r w:rsidRPr="000370BC">
        <w:rPr>
          <w:rFonts w:cs="Arial"/>
          <w:sz w:val="20"/>
        </w:rPr>
        <w:t xml:space="preserve"> line </w:t>
      </w:r>
      <w:smartTag w:uri="urn:schemas-microsoft-com:office:smarttags" w:element="stockticker">
        <w:r w:rsidRPr="000370BC">
          <w:rPr>
            <w:rFonts w:cs="Arial"/>
            <w:sz w:val="20"/>
          </w:rPr>
          <w:t>AHC</w:t>
        </w:r>
      </w:smartTag>
      <w:r w:rsidRPr="000370BC">
        <w:rPr>
          <w:rFonts w:cs="Arial"/>
          <w:sz w:val="20"/>
        </w:rPr>
        <w:t xml:space="preserve"> measure: 5%, 1</w:t>
      </w:r>
      <w:r>
        <w:rPr>
          <w:rFonts w:cs="Arial"/>
          <w:sz w:val="20"/>
        </w:rPr>
        <w:t>2</w:t>
      </w:r>
      <w:r w:rsidRPr="000370BC">
        <w:rPr>
          <w:rFonts w:cs="Arial"/>
          <w:sz w:val="20"/>
        </w:rPr>
        <w:t>%, 1</w:t>
      </w:r>
      <w:r>
        <w:rPr>
          <w:rFonts w:cs="Arial"/>
          <w:sz w:val="20"/>
        </w:rPr>
        <w:t>2</w:t>
      </w:r>
      <w:r w:rsidRPr="000370BC">
        <w:rPr>
          <w:rFonts w:cs="Arial"/>
          <w:sz w:val="20"/>
        </w:rPr>
        <w:t>% and 16% respectively</w:t>
      </w:r>
      <w:r>
        <w:rPr>
          <w:rFonts w:cs="Arial"/>
          <w:sz w:val="20"/>
        </w:rPr>
        <w:t>.</w:t>
      </w:r>
    </w:p>
    <w:p w:rsidR="007B3E55" w:rsidRPr="000370BC" w:rsidRDefault="007B3E55" w:rsidP="007B3E55">
      <w:pPr>
        <w:numPr>
          <w:ilvl w:val="0"/>
          <w:numId w:val="16"/>
        </w:numPr>
        <w:tabs>
          <w:tab w:val="clear" w:pos="1080"/>
          <w:tab w:val="num" w:pos="900"/>
        </w:tabs>
        <w:spacing w:before="120"/>
        <w:ind w:left="900"/>
        <w:jc w:val="both"/>
        <w:rPr>
          <w:rFonts w:cs="Arial"/>
          <w:sz w:val="20"/>
        </w:rPr>
      </w:pPr>
      <w:r>
        <w:rPr>
          <w:rFonts w:cs="Arial"/>
          <w:sz w:val="20"/>
        </w:rPr>
        <w:t xml:space="preserve">Hardship rates </w:t>
      </w:r>
      <w:r w:rsidR="00C5704D">
        <w:rPr>
          <w:rFonts w:cs="Arial"/>
          <w:sz w:val="20"/>
        </w:rPr>
        <w:t xml:space="preserve">among the 65+ group are higher </w:t>
      </w:r>
      <w:r>
        <w:rPr>
          <w:rFonts w:cs="Arial"/>
          <w:sz w:val="20"/>
        </w:rPr>
        <w:t xml:space="preserve">for those on their own </w:t>
      </w:r>
      <w:r w:rsidR="00C5704D">
        <w:rPr>
          <w:rFonts w:cs="Arial"/>
          <w:sz w:val="20"/>
        </w:rPr>
        <w:t>than for couples.  For example in HES 2011 the rates were 11% and 5% respectively.</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lastRenderedPageBreak/>
        <w:t>These relativities are not new, although the gap between children and older New Zealanders is smaller in 2011 than it was in 1990s and is more like what it was in the 1980s.</w:t>
      </w:r>
    </w:p>
    <w:p w:rsidR="007B3E55" w:rsidRDefault="007B3E55" w:rsidP="007B3E55">
      <w:pPr>
        <w:numPr>
          <w:ilvl w:val="0"/>
          <w:numId w:val="16"/>
        </w:numPr>
        <w:tabs>
          <w:tab w:val="clear" w:pos="1080"/>
          <w:tab w:val="num" w:pos="900"/>
        </w:tabs>
        <w:spacing w:before="120"/>
        <w:ind w:left="900"/>
        <w:jc w:val="both"/>
        <w:rPr>
          <w:rFonts w:cs="Arial"/>
          <w:sz w:val="20"/>
        </w:rPr>
      </w:pPr>
      <w:r>
        <w:rPr>
          <w:rFonts w:cs="Arial"/>
          <w:sz w:val="20"/>
        </w:rPr>
        <w:t>The</w:t>
      </w:r>
      <w:r w:rsidRPr="000370BC">
        <w:rPr>
          <w:rFonts w:cs="Arial"/>
          <w:sz w:val="20"/>
        </w:rPr>
        <w:t xml:space="preserve"> lower hardship rate for older New Zealanders reflects the mix of universal public provision (mainly NZS) and the private provision built up by most of the cur</w:t>
      </w:r>
      <w:r>
        <w:rPr>
          <w:rFonts w:cs="Arial"/>
          <w:sz w:val="20"/>
        </w:rPr>
        <w:t xml:space="preserve">rent cohort over their lifetime.  A </w:t>
      </w:r>
      <w:r w:rsidRPr="000370BC">
        <w:rPr>
          <w:rFonts w:cs="Arial"/>
          <w:sz w:val="20"/>
        </w:rPr>
        <w:t>key component of th</w:t>
      </w:r>
      <w:r>
        <w:rPr>
          <w:rFonts w:cs="Arial"/>
          <w:sz w:val="20"/>
        </w:rPr>
        <w:t>is</w:t>
      </w:r>
      <w:r w:rsidRPr="000370BC">
        <w:rPr>
          <w:rFonts w:cs="Arial"/>
          <w:sz w:val="20"/>
        </w:rPr>
        <w:t xml:space="preserve"> private provision is mortgage-free home ownership which is relatively high among the current cohort</w:t>
      </w:r>
      <w:r>
        <w:rPr>
          <w:rFonts w:cs="Arial"/>
          <w:sz w:val="20"/>
        </w:rPr>
        <w:t xml:space="preserve">. </w:t>
      </w:r>
    </w:p>
    <w:p w:rsidR="007B3E55" w:rsidRDefault="007B3E55" w:rsidP="007B3E55">
      <w:pPr>
        <w:ind w:left="450" w:hanging="450"/>
        <w:jc w:val="both"/>
        <w:rPr>
          <w:rFonts w:cs="Arial"/>
          <w:b/>
          <w:sz w:val="20"/>
        </w:rPr>
      </w:pPr>
    </w:p>
    <w:p w:rsidR="007B3E55" w:rsidRDefault="007B3E55" w:rsidP="007B3E55">
      <w:pPr>
        <w:ind w:left="450" w:hanging="450"/>
        <w:jc w:val="both"/>
        <w:rPr>
          <w:rFonts w:cs="Arial"/>
          <w:b/>
          <w:sz w:val="20"/>
        </w:rPr>
      </w:pPr>
    </w:p>
    <w:p w:rsidR="007B3E55" w:rsidRPr="000370BC" w:rsidRDefault="007B3E55" w:rsidP="007B3E55">
      <w:pPr>
        <w:ind w:left="450" w:hanging="450"/>
        <w:jc w:val="both"/>
        <w:rPr>
          <w:rFonts w:cs="Arial"/>
          <w:b/>
          <w:sz w:val="20"/>
        </w:rPr>
      </w:pPr>
      <w:r>
        <w:rPr>
          <w:rFonts w:cs="Arial"/>
          <w:b/>
          <w:sz w:val="20"/>
        </w:rPr>
        <w:t>2</w:t>
      </w:r>
      <w:r w:rsidR="00530635">
        <w:rPr>
          <w:rFonts w:cs="Arial"/>
          <w:b/>
          <w:sz w:val="20"/>
        </w:rPr>
        <w:t>4</w:t>
      </w:r>
      <w:r w:rsidRPr="000370BC">
        <w:rPr>
          <w:rFonts w:cs="Arial"/>
          <w:b/>
          <w:sz w:val="20"/>
        </w:rPr>
        <w:tab/>
      </w:r>
      <w:r>
        <w:rPr>
          <w:rFonts w:cs="Arial"/>
          <w:b/>
          <w:sz w:val="20"/>
        </w:rPr>
        <w:t>International comparisons</w:t>
      </w:r>
    </w:p>
    <w:p w:rsidR="007B3E55" w:rsidRDefault="007B3E55" w:rsidP="007B3E55">
      <w:pPr>
        <w:numPr>
          <w:ilvl w:val="0"/>
          <w:numId w:val="16"/>
        </w:numPr>
        <w:tabs>
          <w:tab w:val="clear" w:pos="1080"/>
          <w:tab w:val="num" w:pos="900"/>
        </w:tabs>
        <w:spacing w:before="120"/>
        <w:ind w:left="900"/>
        <w:jc w:val="both"/>
        <w:rPr>
          <w:rFonts w:cs="Arial"/>
          <w:sz w:val="20"/>
        </w:rPr>
      </w:pPr>
      <w:r w:rsidRPr="0031312B">
        <w:rPr>
          <w:rFonts w:cs="Arial"/>
          <w:sz w:val="20"/>
        </w:rPr>
        <w:t xml:space="preserve">The OECD and EU publish international league tables that rank countries on their income poverty rates using 50% and 60% of median poverty lines respectively. </w:t>
      </w:r>
    </w:p>
    <w:p w:rsidR="007B3E55" w:rsidRPr="0031312B" w:rsidRDefault="00EC0BE0" w:rsidP="007B3E55">
      <w:pPr>
        <w:numPr>
          <w:ilvl w:val="0"/>
          <w:numId w:val="16"/>
        </w:numPr>
        <w:tabs>
          <w:tab w:val="clear" w:pos="1080"/>
          <w:tab w:val="num" w:pos="720"/>
        </w:tabs>
        <w:spacing w:before="120"/>
        <w:ind w:left="907"/>
        <w:jc w:val="both"/>
        <w:rPr>
          <w:rFonts w:cs="Arial"/>
          <w:sz w:val="20"/>
        </w:rPr>
      </w:pPr>
      <w:r>
        <w:rPr>
          <w:noProof/>
          <w:lang w:val="en-US"/>
        </w:rPr>
        <w:drawing>
          <wp:anchor distT="0" distB="0" distL="114300" distR="114300" simplePos="0" relativeHeight="251658752" behindDoc="0" locked="0" layoutInCell="1" allowOverlap="1">
            <wp:simplePos x="0" y="0"/>
            <wp:positionH relativeFrom="column">
              <wp:align>right</wp:align>
            </wp:positionH>
            <wp:positionV relativeFrom="paragraph">
              <wp:posOffset>71755</wp:posOffset>
            </wp:positionV>
            <wp:extent cx="2066925" cy="660400"/>
            <wp:effectExtent l="19050" t="0" r="9525" b="0"/>
            <wp:wrapSquare wrapText="lef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a:srcRect/>
                    <a:stretch>
                      <a:fillRect/>
                    </a:stretch>
                  </pic:blipFill>
                  <pic:spPr bwMode="auto">
                    <a:xfrm>
                      <a:off x="0" y="0"/>
                      <a:ext cx="2066925" cy="660400"/>
                    </a:xfrm>
                    <a:prstGeom prst="rect">
                      <a:avLst/>
                    </a:prstGeom>
                    <a:noFill/>
                    <a:ln w="9525">
                      <a:noFill/>
                      <a:miter lim="800000"/>
                      <a:headEnd/>
                      <a:tailEnd/>
                    </a:ln>
                  </pic:spPr>
                </pic:pic>
              </a:graphicData>
            </a:graphic>
          </wp:anchor>
        </w:drawing>
      </w:r>
      <w:r w:rsidR="007B3E55" w:rsidRPr="0031312B">
        <w:rPr>
          <w:rFonts w:cs="Arial"/>
          <w:noProof/>
          <w:sz w:val="20"/>
        </w:rPr>
        <w:tab/>
        <w:t>On the latest available figures (</w:t>
      </w:r>
      <w:r w:rsidR="007B3E55">
        <w:rPr>
          <w:rFonts w:cs="Arial"/>
          <w:noProof/>
          <w:sz w:val="20"/>
        </w:rPr>
        <w:t xml:space="preserve">OECD, </w:t>
      </w:r>
      <w:r w:rsidR="007B3E55" w:rsidRPr="0031312B">
        <w:rPr>
          <w:rFonts w:cs="Arial"/>
          <w:noProof/>
          <w:sz w:val="20"/>
        </w:rPr>
        <w:t>2008-09</w:t>
      </w:r>
      <w:r w:rsidR="007B3E55">
        <w:rPr>
          <w:rFonts w:cs="Arial"/>
          <w:noProof/>
          <w:sz w:val="20"/>
        </w:rPr>
        <w:t xml:space="preserve"> and EU, 2009-10),</w:t>
      </w:r>
      <w:r w:rsidR="007B3E55" w:rsidRPr="0031312B">
        <w:rPr>
          <w:rFonts w:cs="Arial"/>
          <w:noProof/>
          <w:sz w:val="20"/>
        </w:rPr>
        <w:t xml:space="preserve"> </w:t>
      </w:r>
      <w:smartTag w:uri="urn:schemas-microsoft-com:office:smarttags" w:element="place">
        <w:smartTag w:uri="urn:schemas-microsoft-com:office:smarttags" w:element="country-region">
          <w:r w:rsidR="007B3E55" w:rsidRPr="0031312B">
            <w:rPr>
              <w:rFonts w:cs="Arial"/>
              <w:noProof/>
              <w:sz w:val="20"/>
            </w:rPr>
            <w:t>New Zealand</w:t>
          </w:r>
        </w:smartTag>
      </w:smartTag>
      <w:r w:rsidR="007B3E55" w:rsidRPr="0031312B">
        <w:rPr>
          <w:rFonts w:cs="Arial"/>
          <w:noProof/>
          <w:sz w:val="20"/>
        </w:rPr>
        <w:t xml:space="preserve">’s population and child poverty rates are close to the overall medians for both measures. </w:t>
      </w:r>
    </w:p>
    <w:p w:rsidR="007B3E55" w:rsidRPr="0031312B" w:rsidRDefault="007B3E55" w:rsidP="007B3E55">
      <w:pPr>
        <w:numPr>
          <w:ilvl w:val="0"/>
          <w:numId w:val="16"/>
        </w:numPr>
        <w:tabs>
          <w:tab w:val="clear" w:pos="1080"/>
          <w:tab w:val="num" w:pos="720"/>
        </w:tabs>
        <w:spacing w:before="120"/>
        <w:ind w:left="907"/>
        <w:jc w:val="both"/>
        <w:rPr>
          <w:rFonts w:cs="Arial"/>
          <w:sz w:val="20"/>
        </w:rPr>
      </w:pPr>
      <w:r w:rsidRPr="0031312B">
        <w:rPr>
          <w:rFonts w:cs="Arial"/>
          <w:noProof/>
          <w:sz w:val="20"/>
        </w:rPr>
        <w:tab/>
        <w:t>These</w:t>
      </w:r>
      <w:r w:rsidRPr="0031312B">
        <w:rPr>
          <w:rFonts w:cs="Arial"/>
          <w:sz w:val="20"/>
        </w:rPr>
        <w:t xml:space="preserve"> league tables in effect compare how far </w:t>
      </w:r>
      <w:r w:rsidRPr="0031312B">
        <w:rPr>
          <w:rFonts w:cs="Arial"/>
          <w:noProof/>
          <w:sz w:val="20"/>
        </w:rPr>
        <w:t>low-income households are from the median for each country.  They can be seen as comparing inequality levels in the lower half of the income distribution.</w:t>
      </w:r>
    </w:p>
    <w:p w:rsidR="007B3E55" w:rsidRPr="0031312B" w:rsidRDefault="007B3E55" w:rsidP="007B3E55">
      <w:pPr>
        <w:numPr>
          <w:ilvl w:val="0"/>
          <w:numId w:val="16"/>
        </w:numPr>
        <w:tabs>
          <w:tab w:val="clear" w:pos="1080"/>
          <w:tab w:val="num" w:pos="720"/>
        </w:tabs>
        <w:spacing w:before="120"/>
        <w:ind w:left="907"/>
        <w:jc w:val="both"/>
        <w:rPr>
          <w:rFonts w:cs="Arial"/>
          <w:sz w:val="20"/>
        </w:rPr>
      </w:pPr>
      <w:r w:rsidRPr="0031312B">
        <w:rPr>
          <w:rFonts w:cs="Arial"/>
          <w:sz w:val="20"/>
        </w:rPr>
        <w:tab/>
        <w:t xml:space="preserve">The information is however often used as if the rankings indicate the extent of material hardship assessed against a common absolute international standard. Thus a country like the Czech Republic with a child poverty rate of 10% is considered to be ‘doing better for its children’ than, say, </w:t>
      </w:r>
      <w:r>
        <w:rPr>
          <w:rFonts w:cs="Arial"/>
          <w:sz w:val="20"/>
        </w:rPr>
        <w:t>Canada</w:t>
      </w:r>
      <w:r w:rsidRPr="0031312B">
        <w:rPr>
          <w:rFonts w:cs="Arial"/>
          <w:sz w:val="20"/>
        </w:rPr>
        <w:t xml:space="preserve"> (1</w:t>
      </w:r>
      <w:r>
        <w:rPr>
          <w:rFonts w:cs="Arial"/>
          <w:sz w:val="20"/>
        </w:rPr>
        <w:t>5</w:t>
      </w:r>
      <w:r w:rsidRPr="0031312B">
        <w:rPr>
          <w:rFonts w:cs="Arial"/>
          <w:sz w:val="20"/>
        </w:rPr>
        <w:t xml:space="preserve">%), whereas in daily living the ‘poor’ in </w:t>
      </w:r>
      <w:r>
        <w:rPr>
          <w:rFonts w:cs="Arial"/>
          <w:sz w:val="20"/>
        </w:rPr>
        <w:t>Canada</w:t>
      </w:r>
      <w:r w:rsidRPr="0031312B">
        <w:rPr>
          <w:rFonts w:cs="Arial"/>
          <w:sz w:val="20"/>
        </w:rPr>
        <w:t xml:space="preserve"> are much better off than many ‘non-poor’ in the Czech Republic.</w:t>
      </w:r>
    </w:p>
    <w:p w:rsidR="007B3E55" w:rsidRPr="0031312B" w:rsidRDefault="007B3E55" w:rsidP="007B3E55">
      <w:pPr>
        <w:numPr>
          <w:ilvl w:val="0"/>
          <w:numId w:val="16"/>
        </w:numPr>
        <w:tabs>
          <w:tab w:val="clear" w:pos="1080"/>
          <w:tab w:val="num" w:pos="720"/>
        </w:tabs>
        <w:spacing w:before="120"/>
        <w:ind w:left="907"/>
        <w:jc w:val="both"/>
        <w:rPr>
          <w:rFonts w:cs="Arial"/>
          <w:sz w:val="20"/>
        </w:rPr>
      </w:pPr>
      <w:r w:rsidRPr="0031312B">
        <w:rPr>
          <w:rFonts w:cs="Arial"/>
          <w:sz w:val="20"/>
        </w:rPr>
        <w:tab/>
        <w:t xml:space="preserve">For meaningful international comparisons of material hardship it is better to use non-monetary indicators (NMIs).  Using the official </w:t>
      </w:r>
      <w:r>
        <w:rPr>
          <w:rFonts w:cs="Arial"/>
          <w:sz w:val="20"/>
        </w:rPr>
        <w:t xml:space="preserve">2008 </w:t>
      </w:r>
      <w:r w:rsidRPr="0031312B">
        <w:rPr>
          <w:rFonts w:cs="Arial"/>
          <w:sz w:val="20"/>
        </w:rPr>
        <w:t xml:space="preserve">NMI-based EU deprivation index, </w:t>
      </w:r>
      <w:smartTag w:uri="urn:schemas-microsoft-com:office:smarttags" w:element="place">
        <w:smartTag w:uri="urn:schemas-microsoft-com:office:smarttags" w:element="country-region">
          <w:r w:rsidRPr="0031312B">
            <w:rPr>
              <w:rFonts w:cs="Arial"/>
              <w:sz w:val="20"/>
            </w:rPr>
            <w:t>New Zealand</w:t>
          </w:r>
        </w:smartTag>
      </w:smartTag>
      <w:r w:rsidRPr="0031312B">
        <w:rPr>
          <w:rFonts w:cs="Arial"/>
          <w:sz w:val="20"/>
        </w:rPr>
        <w:t xml:space="preserve"> rank</w:t>
      </w:r>
      <w:r>
        <w:rPr>
          <w:rFonts w:cs="Arial"/>
          <w:sz w:val="20"/>
        </w:rPr>
        <w:t>ed</w:t>
      </w:r>
      <w:r w:rsidRPr="0031312B">
        <w:rPr>
          <w:rFonts w:cs="Arial"/>
          <w:sz w:val="20"/>
        </w:rPr>
        <w:t xml:space="preserve"> well for older people (65+) and not so well for children – a finding consistent with that produced using the </w:t>
      </w:r>
      <w:r>
        <w:rPr>
          <w:rFonts w:cs="Arial"/>
          <w:sz w:val="20"/>
        </w:rPr>
        <w:t xml:space="preserve">AHC </w:t>
      </w:r>
      <w:r w:rsidRPr="0031312B">
        <w:rPr>
          <w:rFonts w:cs="Arial"/>
          <w:sz w:val="20"/>
        </w:rPr>
        <w:t>income measure</w:t>
      </w:r>
      <w:r w:rsidR="00D3486E">
        <w:rPr>
          <w:rFonts w:cs="Arial"/>
          <w:sz w:val="20"/>
        </w:rPr>
        <w:t>.</w:t>
      </w:r>
    </w:p>
    <w:p w:rsidR="007B3E55" w:rsidRPr="000370BC" w:rsidRDefault="007B3E55" w:rsidP="007B3E55">
      <w:pPr>
        <w:ind w:left="360" w:hanging="360"/>
        <w:jc w:val="both"/>
        <w:rPr>
          <w:rFonts w:cs="Arial"/>
          <w:b/>
          <w:szCs w:val="22"/>
        </w:rPr>
      </w:pPr>
    </w:p>
    <w:p w:rsidR="007B3E55" w:rsidRPr="000370BC" w:rsidRDefault="007B3E55" w:rsidP="007B3E55">
      <w:pPr>
        <w:ind w:left="360" w:hanging="360"/>
        <w:jc w:val="both"/>
        <w:rPr>
          <w:rFonts w:cs="Arial"/>
          <w:b/>
        </w:rPr>
      </w:pPr>
    </w:p>
    <w:p w:rsidR="007B3E55" w:rsidRPr="00E84E56" w:rsidRDefault="007B3E55" w:rsidP="007B3E55">
      <w:pPr>
        <w:ind w:left="425" w:hanging="425"/>
        <w:jc w:val="both"/>
        <w:rPr>
          <w:rFonts w:cs="Arial"/>
          <w:b/>
          <w:color w:val="000000"/>
        </w:rPr>
      </w:pPr>
      <w:r w:rsidRPr="00E84E56">
        <w:rPr>
          <w:rFonts w:cs="Arial"/>
          <w:b/>
          <w:color w:val="000000"/>
        </w:rPr>
        <w:t>Inc</w:t>
      </w:r>
      <w:r>
        <w:rPr>
          <w:rFonts w:cs="Arial"/>
          <w:b/>
          <w:color w:val="000000"/>
        </w:rPr>
        <w:t>ome mobility and poverty persis</w:t>
      </w:r>
      <w:r w:rsidRPr="00E84E56">
        <w:rPr>
          <w:rFonts w:cs="Arial"/>
          <w:b/>
          <w:color w:val="000000"/>
        </w:rPr>
        <w:t>tence</w:t>
      </w:r>
    </w:p>
    <w:p w:rsidR="007B3E55" w:rsidRDefault="007B3E55" w:rsidP="007B3E55">
      <w:pPr>
        <w:ind w:left="425" w:hanging="425"/>
        <w:jc w:val="both"/>
        <w:rPr>
          <w:rFonts w:cs="Arial"/>
          <w:b/>
          <w:color w:val="FF0000"/>
          <w:sz w:val="20"/>
        </w:rPr>
      </w:pPr>
    </w:p>
    <w:p w:rsidR="007B3E55" w:rsidRDefault="007B3E55" w:rsidP="007B3E55">
      <w:pPr>
        <w:ind w:left="450" w:hanging="450"/>
        <w:jc w:val="both"/>
        <w:rPr>
          <w:rFonts w:cs="Arial"/>
          <w:b/>
          <w:color w:val="000000"/>
          <w:sz w:val="20"/>
        </w:rPr>
      </w:pPr>
      <w:r>
        <w:rPr>
          <w:rFonts w:cs="Arial"/>
          <w:b/>
          <w:color w:val="000000"/>
          <w:sz w:val="20"/>
        </w:rPr>
        <w:t>2</w:t>
      </w:r>
      <w:r w:rsidR="00530635">
        <w:rPr>
          <w:rFonts w:cs="Arial"/>
          <w:b/>
          <w:color w:val="000000"/>
          <w:sz w:val="20"/>
        </w:rPr>
        <w:t>5</w:t>
      </w:r>
      <w:r w:rsidRPr="00D562E1">
        <w:rPr>
          <w:rFonts w:cs="Arial"/>
          <w:b/>
          <w:color w:val="000000"/>
          <w:sz w:val="20"/>
        </w:rPr>
        <w:tab/>
      </w:r>
      <w:r>
        <w:rPr>
          <w:rFonts w:cs="Arial"/>
          <w:b/>
          <w:color w:val="000000"/>
          <w:sz w:val="20"/>
        </w:rPr>
        <w:t>Longitudinal data ha</w:t>
      </w:r>
      <w:r w:rsidR="00DE4A2A">
        <w:rPr>
          <w:rFonts w:cs="Arial"/>
          <w:b/>
          <w:color w:val="000000"/>
          <w:sz w:val="20"/>
        </w:rPr>
        <w:t>ve</w:t>
      </w:r>
      <w:r>
        <w:rPr>
          <w:rFonts w:cs="Arial"/>
          <w:b/>
          <w:color w:val="000000"/>
          <w:sz w:val="20"/>
        </w:rPr>
        <w:t xml:space="preserve"> recently become available from Statistics </w:t>
      </w:r>
      <w:smartTag w:uri="urn:schemas-microsoft-com:office:smarttags" w:element="country-region">
        <w:smartTag w:uri="urn:schemas-microsoft-com:office:smarttags" w:element="place">
          <w:r>
            <w:rPr>
              <w:rFonts w:cs="Arial"/>
              <w:b/>
              <w:color w:val="000000"/>
              <w:sz w:val="20"/>
            </w:rPr>
            <w:t>New Zealand</w:t>
          </w:r>
        </w:smartTag>
      </w:smartTag>
      <w:r>
        <w:rPr>
          <w:rFonts w:cs="Arial"/>
          <w:b/>
          <w:color w:val="000000"/>
          <w:sz w:val="20"/>
        </w:rPr>
        <w:t>’s Survey of Families, Income and Employment (SoFIE).  This allows us to track the household income of the same group of individuals over several years rather than having a new group of people each survey as happens for the HES and other repeated cross-sectional surveys.</w:t>
      </w:r>
    </w:p>
    <w:p w:rsidR="007B3E55" w:rsidRDefault="007B3E55" w:rsidP="007B3E55">
      <w:pPr>
        <w:ind w:left="450" w:hanging="450"/>
        <w:jc w:val="both"/>
        <w:rPr>
          <w:rFonts w:cs="Arial"/>
          <w:b/>
          <w:color w:val="000000"/>
          <w:sz w:val="20"/>
        </w:rPr>
      </w:pPr>
    </w:p>
    <w:p w:rsidR="007B3E55" w:rsidRDefault="007B3E55" w:rsidP="00614C04">
      <w:pPr>
        <w:numPr>
          <w:ilvl w:val="0"/>
          <w:numId w:val="84"/>
        </w:numPr>
        <w:ind w:left="851" w:right="29" w:hanging="284"/>
        <w:jc w:val="both"/>
        <w:rPr>
          <w:rFonts w:cs="Arial"/>
          <w:sz w:val="20"/>
        </w:rPr>
      </w:pPr>
      <w:r>
        <w:rPr>
          <w:rFonts w:cs="Arial"/>
          <w:color w:val="000000"/>
          <w:sz w:val="20"/>
        </w:rPr>
        <w:t xml:space="preserve">Interviews for the first wave of data collection for SoFIE began in October 2002.  Seven waves of SoFIE data became available in late 2011 and </w:t>
      </w:r>
      <w:smartTag w:uri="urn:schemas-microsoft-com:office:smarttags" w:element="PlaceType">
        <w:r>
          <w:rPr>
            <w:rFonts w:cs="Arial"/>
            <w:color w:val="000000"/>
            <w:sz w:val="20"/>
          </w:rPr>
          <w:t>University</w:t>
        </w:r>
      </w:smartTag>
      <w:r>
        <w:rPr>
          <w:rFonts w:cs="Arial"/>
          <w:color w:val="000000"/>
          <w:sz w:val="20"/>
        </w:rPr>
        <w:t xml:space="preserve"> of </w:t>
      </w:r>
      <w:smartTag w:uri="urn:schemas-microsoft-com:office:smarttags" w:element="PlaceName">
        <w:r>
          <w:rPr>
            <w:rFonts w:cs="Arial"/>
            <w:color w:val="000000"/>
            <w:sz w:val="20"/>
          </w:rPr>
          <w:t>Otago</w:t>
        </w:r>
      </w:smartTag>
      <w:r>
        <w:rPr>
          <w:rFonts w:cs="Arial"/>
          <w:color w:val="000000"/>
          <w:sz w:val="20"/>
        </w:rPr>
        <w:t xml:space="preserve"> (</w:t>
      </w:r>
      <w:smartTag w:uri="urn:schemas-microsoft-com:office:smarttags" w:element="place">
        <w:smartTag w:uri="urn:schemas-microsoft-com:office:smarttags" w:element="City">
          <w:r>
            <w:rPr>
              <w:rFonts w:cs="Arial"/>
              <w:color w:val="000000"/>
              <w:sz w:val="20"/>
            </w:rPr>
            <w:t>Wellington</w:t>
          </w:r>
        </w:smartTag>
      </w:smartTag>
      <w:r>
        <w:rPr>
          <w:rFonts w:cs="Arial"/>
          <w:color w:val="000000"/>
          <w:sz w:val="20"/>
        </w:rPr>
        <w:t>) researchers published a descriptive report in June 2012.</w:t>
      </w:r>
      <w:r>
        <w:rPr>
          <w:rStyle w:val="FootnoteReference"/>
          <w:rFonts w:cs="Arial"/>
          <w:color w:val="000000"/>
          <w:sz w:val="20"/>
        </w:rPr>
        <w:footnoteReference w:id="6"/>
      </w:r>
      <w:r>
        <w:rPr>
          <w:rFonts w:cs="Arial"/>
          <w:color w:val="000000"/>
          <w:sz w:val="20"/>
        </w:rPr>
        <w:t xml:space="preserve"> </w:t>
      </w:r>
    </w:p>
    <w:p w:rsidR="007B3E55" w:rsidRPr="00C90482" w:rsidRDefault="007B3E55" w:rsidP="00614C04">
      <w:pPr>
        <w:numPr>
          <w:ilvl w:val="0"/>
          <w:numId w:val="84"/>
        </w:numPr>
        <w:spacing w:before="120"/>
        <w:ind w:left="851" w:right="28" w:hanging="284"/>
        <w:jc w:val="both"/>
        <w:rPr>
          <w:rFonts w:cs="Arial"/>
          <w:sz w:val="20"/>
        </w:rPr>
      </w:pPr>
      <w:r>
        <w:rPr>
          <w:rFonts w:cs="Arial"/>
          <w:color w:val="000000"/>
          <w:sz w:val="20"/>
        </w:rPr>
        <w:t>The research tracks individuals and reports how the income of their households changes over time.</w:t>
      </w:r>
    </w:p>
    <w:p w:rsidR="007B3E55" w:rsidRPr="00512397" w:rsidRDefault="007B3E55" w:rsidP="00614C04">
      <w:pPr>
        <w:numPr>
          <w:ilvl w:val="0"/>
          <w:numId w:val="84"/>
        </w:numPr>
        <w:spacing w:before="120"/>
        <w:ind w:left="851" w:right="28" w:hanging="284"/>
        <w:jc w:val="both"/>
        <w:rPr>
          <w:rFonts w:cs="Arial"/>
          <w:sz w:val="20"/>
        </w:rPr>
      </w:pPr>
      <w:r>
        <w:rPr>
          <w:rFonts w:cs="Arial"/>
          <w:color w:val="000000"/>
          <w:sz w:val="20"/>
        </w:rPr>
        <w:t xml:space="preserve">There are two ways that the household income of individuals can change over time:  </w:t>
      </w:r>
    </w:p>
    <w:p w:rsidR="007B3E55" w:rsidRPr="00512397" w:rsidRDefault="007B3E55" w:rsidP="00614C04">
      <w:pPr>
        <w:numPr>
          <w:ilvl w:val="0"/>
          <w:numId w:val="89"/>
        </w:numPr>
        <w:tabs>
          <w:tab w:val="clear" w:pos="873"/>
          <w:tab w:val="num" w:pos="1276"/>
        </w:tabs>
        <w:spacing w:before="60"/>
        <w:ind w:left="1276" w:right="28" w:hanging="283"/>
        <w:jc w:val="both"/>
        <w:rPr>
          <w:rFonts w:cs="Arial"/>
          <w:sz w:val="20"/>
        </w:rPr>
      </w:pPr>
      <w:r>
        <w:rPr>
          <w:rFonts w:cs="Arial"/>
          <w:color w:val="000000"/>
          <w:sz w:val="20"/>
        </w:rPr>
        <w:t xml:space="preserve">their own income or that of other adults in the household changes  </w:t>
      </w:r>
    </w:p>
    <w:p w:rsidR="007B3E55" w:rsidRPr="00D80AEB" w:rsidRDefault="007B3E55" w:rsidP="00614C04">
      <w:pPr>
        <w:numPr>
          <w:ilvl w:val="0"/>
          <w:numId w:val="89"/>
        </w:numPr>
        <w:tabs>
          <w:tab w:val="clear" w:pos="873"/>
          <w:tab w:val="num" w:pos="1276"/>
        </w:tabs>
        <w:spacing w:before="60"/>
        <w:ind w:left="1276" w:right="28" w:hanging="283"/>
        <w:jc w:val="both"/>
        <w:rPr>
          <w:rFonts w:cs="Arial"/>
          <w:sz w:val="20"/>
        </w:rPr>
      </w:pPr>
      <w:r>
        <w:rPr>
          <w:rFonts w:cs="Arial"/>
          <w:color w:val="000000"/>
          <w:sz w:val="20"/>
        </w:rPr>
        <w:t xml:space="preserve">the composition of the household changes (eg  a new child is added, a partner moves out or dies, an adult child moves back in with a parent, a cousin and her young child move in). </w:t>
      </w:r>
    </w:p>
    <w:p w:rsidR="007F7984" w:rsidRDefault="007B3E55" w:rsidP="00614C04">
      <w:pPr>
        <w:numPr>
          <w:ilvl w:val="0"/>
          <w:numId w:val="84"/>
        </w:numPr>
        <w:spacing w:before="120"/>
        <w:ind w:left="851" w:right="28" w:hanging="284"/>
        <w:jc w:val="both"/>
        <w:rPr>
          <w:rFonts w:cs="Arial"/>
          <w:sz w:val="20"/>
        </w:rPr>
      </w:pPr>
      <w:r>
        <w:rPr>
          <w:rFonts w:cs="Arial"/>
          <w:sz w:val="20"/>
        </w:rPr>
        <w:t xml:space="preserve">Two sets of findings of relevance to the central themes of the Incomes Report are those about income mobility and low income (poverty) persistence. </w:t>
      </w:r>
    </w:p>
    <w:p w:rsidR="007B3E55" w:rsidRDefault="007F7984" w:rsidP="00614C04">
      <w:pPr>
        <w:numPr>
          <w:ilvl w:val="0"/>
          <w:numId w:val="84"/>
        </w:numPr>
        <w:spacing w:before="120"/>
        <w:ind w:left="851" w:right="28" w:hanging="284"/>
        <w:jc w:val="both"/>
        <w:rPr>
          <w:rFonts w:cs="Arial"/>
          <w:sz w:val="20"/>
        </w:rPr>
      </w:pPr>
      <w:r>
        <w:rPr>
          <w:rFonts w:cs="Arial"/>
          <w:sz w:val="20"/>
        </w:rPr>
        <w:t xml:space="preserve">This is the first time that findings of this sort have been available for </w:t>
      </w:r>
      <w:smartTag w:uri="urn:schemas-microsoft-com:office:smarttags" w:element="country-region">
        <w:smartTag w:uri="urn:schemas-microsoft-com:office:smarttags" w:element="place">
          <w:r>
            <w:rPr>
              <w:rFonts w:cs="Arial"/>
              <w:sz w:val="20"/>
            </w:rPr>
            <w:t>New Zealand</w:t>
          </w:r>
        </w:smartTag>
      </w:smartTag>
      <w:r>
        <w:rPr>
          <w:rFonts w:cs="Arial"/>
          <w:sz w:val="20"/>
        </w:rPr>
        <w:t>.</w:t>
      </w:r>
      <w:r w:rsidR="007B3E55">
        <w:rPr>
          <w:rFonts w:cs="Arial"/>
          <w:sz w:val="20"/>
        </w:rPr>
        <w:t xml:space="preserve"> </w:t>
      </w:r>
    </w:p>
    <w:p w:rsidR="007B3E55" w:rsidRDefault="003B11A5" w:rsidP="007B3E55">
      <w:pPr>
        <w:ind w:left="450" w:hanging="450"/>
        <w:jc w:val="both"/>
        <w:rPr>
          <w:rFonts w:cs="Arial"/>
          <w:b/>
          <w:color w:val="000000"/>
          <w:sz w:val="20"/>
        </w:rPr>
      </w:pPr>
      <w:r>
        <w:rPr>
          <w:rFonts w:cs="Arial"/>
          <w:b/>
          <w:color w:val="000000"/>
          <w:sz w:val="20"/>
        </w:rPr>
        <w:br w:type="page"/>
      </w:r>
      <w:r w:rsidR="007B3E55">
        <w:rPr>
          <w:rFonts w:cs="Arial"/>
          <w:b/>
          <w:color w:val="000000"/>
          <w:sz w:val="20"/>
        </w:rPr>
        <w:lastRenderedPageBreak/>
        <w:t>2</w:t>
      </w:r>
      <w:r w:rsidR="0056726F">
        <w:rPr>
          <w:rFonts w:cs="Arial"/>
          <w:b/>
          <w:color w:val="000000"/>
          <w:sz w:val="20"/>
        </w:rPr>
        <w:t>6</w:t>
      </w:r>
      <w:r w:rsidR="007B3E55" w:rsidRPr="00D562E1">
        <w:rPr>
          <w:rFonts w:cs="Arial"/>
          <w:b/>
          <w:color w:val="000000"/>
          <w:sz w:val="20"/>
        </w:rPr>
        <w:tab/>
      </w:r>
      <w:r w:rsidR="007B3E55">
        <w:rPr>
          <w:rFonts w:cs="Arial"/>
          <w:b/>
          <w:color w:val="000000"/>
          <w:sz w:val="20"/>
        </w:rPr>
        <w:t>Income mobility</w:t>
      </w:r>
    </w:p>
    <w:p w:rsidR="007B3E55" w:rsidRPr="00063575" w:rsidRDefault="007B3E55" w:rsidP="00614C04">
      <w:pPr>
        <w:numPr>
          <w:ilvl w:val="0"/>
          <w:numId w:val="84"/>
        </w:numPr>
        <w:spacing w:before="120"/>
        <w:ind w:left="851" w:right="28" w:hanging="284"/>
        <w:jc w:val="both"/>
        <w:rPr>
          <w:rFonts w:cs="Arial"/>
          <w:sz w:val="20"/>
        </w:rPr>
      </w:pPr>
      <w:r>
        <w:rPr>
          <w:rFonts w:cs="Arial"/>
          <w:color w:val="000000"/>
          <w:sz w:val="20"/>
        </w:rPr>
        <w:t>A common way to look at income mobility is to rank individuals by their household incomes, group them into deciles or quintiles, and then see how many move from their original position in the first wave to another position in a later wave.  Some go up, some go down, and others remain in much the same place.</w:t>
      </w:r>
      <w:r w:rsidRPr="000F2CB8">
        <w:rPr>
          <w:rFonts w:cs="Arial"/>
          <w:color w:val="000000"/>
          <w:sz w:val="20"/>
        </w:rPr>
        <w:t xml:space="preserve">  </w:t>
      </w:r>
    </w:p>
    <w:p w:rsidR="007B3E55" w:rsidRPr="00AC5789" w:rsidRDefault="007B3E55" w:rsidP="00614C04">
      <w:pPr>
        <w:numPr>
          <w:ilvl w:val="0"/>
          <w:numId w:val="84"/>
        </w:numPr>
        <w:spacing w:before="120"/>
        <w:ind w:left="851" w:right="28" w:hanging="284"/>
        <w:jc w:val="both"/>
        <w:rPr>
          <w:rFonts w:cs="Arial"/>
          <w:sz w:val="20"/>
        </w:rPr>
      </w:pPr>
      <w:r>
        <w:rPr>
          <w:rFonts w:cs="Arial"/>
          <w:color w:val="000000"/>
          <w:sz w:val="20"/>
        </w:rPr>
        <w:t xml:space="preserve">Over the seven SoFIE waves (six years) there is considerable relative movement.  While some move quite a distance, much of the movement is relatively short-range.  </w:t>
      </w:r>
      <w:r>
        <w:rPr>
          <w:rFonts w:cs="Arial"/>
          <w:sz w:val="20"/>
        </w:rPr>
        <w:t xml:space="preserve">Patterns for </w:t>
      </w:r>
      <w:smartTag w:uri="urn:schemas-microsoft-com:office:smarttags" w:element="country-region">
        <w:r>
          <w:rPr>
            <w:rFonts w:cs="Arial"/>
            <w:sz w:val="20"/>
          </w:rPr>
          <w:t>New Zealand</w:t>
        </w:r>
      </w:smartTag>
      <w:r>
        <w:rPr>
          <w:rFonts w:cs="Arial"/>
          <w:sz w:val="20"/>
        </w:rPr>
        <w:t xml:space="preserve"> are</w:t>
      </w:r>
      <w:r>
        <w:rPr>
          <w:rFonts w:cs="Arial"/>
          <w:color w:val="000000"/>
          <w:sz w:val="20"/>
        </w:rPr>
        <w:t xml:space="preserve"> much the same as for countries like </w:t>
      </w:r>
      <w:smartTag w:uri="urn:schemas-microsoft-com:office:smarttags" w:element="country-region">
        <w:r>
          <w:rPr>
            <w:rFonts w:cs="Arial"/>
            <w:color w:val="000000"/>
            <w:sz w:val="20"/>
          </w:rPr>
          <w:t>Australia</w:t>
        </w:r>
      </w:smartTag>
      <w:r>
        <w:rPr>
          <w:rFonts w:cs="Arial"/>
          <w:color w:val="000000"/>
          <w:sz w:val="20"/>
        </w:rPr>
        <w:t xml:space="preserve">, </w:t>
      </w:r>
      <w:smartTag w:uri="urn:schemas-microsoft-com:office:smarttags" w:element="country-region">
        <w:r>
          <w:rPr>
            <w:rFonts w:cs="Arial"/>
            <w:color w:val="000000"/>
            <w:sz w:val="20"/>
          </w:rPr>
          <w:t>Canada</w:t>
        </w:r>
      </w:smartTag>
      <w:r>
        <w:rPr>
          <w:rFonts w:cs="Arial"/>
          <w:color w:val="000000"/>
          <w:sz w:val="20"/>
        </w:rPr>
        <w:t xml:space="preserve">, the </w:t>
      </w:r>
      <w:smartTag w:uri="urn:schemas-microsoft-com:office:smarttags" w:element="country-region">
        <w:r>
          <w:rPr>
            <w:rFonts w:cs="Arial"/>
            <w:color w:val="000000"/>
            <w:sz w:val="20"/>
          </w:rPr>
          <w:t>UK</w:t>
        </w:r>
      </w:smartTag>
      <w:r>
        <w:rPr>
          <w:rFonts w:cs="Arial"/>
          <w:color w:val="000000"/>
          <w:sz w:val="20"/>
        </w:rPr>
        <w:t xml:space="preserve">, </w:t>
      </w:r>
      <w:smartTag w:uri="urn:schemas-microsoft-com:office:smarttags" w:element="country-region">
        <w:r>
          <w:rPr>
            <w:rFonts w:cs="Arial"/>
            <w:color w:val="000000"/>
            <w:sz w:val="20"/>
          </w:rPr>
          <w:t>Germany</w:t>
        </w:r>
      </w:smartTag>
      <w:r>
        <w:rPr>
          <w:rFonts w:cs="Arial"/>
          <w:color w:val="000000"/>
          <w:sz w:val="20"/>
        </w:rPr>
        <w:t xml:space="preserve">, </w:t>
      </w:r>
      <w:smartTag w:uri="urn:schemas-microsoft-com:office:smarttags" w:element="country-region">
        <w:r>
          <w:rPr>
            <w:rFonts w:cs="Arial"/>
            <w:color w:val="000000"/>
            <w:sz w:val="20"/>
          </w:rPr>
          <w:t>France</w:t>
        </w:r>
      </w:smartTag>
      <w:r>
        <w:rPr>
          <w:rFonts w:cs="Arial"/>
          <w:color w:val="000000"/>
          <w:sz w:val="20"/>
        </w:rPr>
        <w:t xml:space="preserve">, </w:t>
      </w:r>
      <w:smartTag w:uri="urn:schemas-microsoft-com:office:smarttags" w:element="country-region">
        <w:r>
          <w:rPr>
            <w:rFonts w:cs="Arial"/>
            <w:color w:val="000000"/>
            <w:sz w:val="20"/>
          </w:rPr>
          <w:t>Belgium</w:t>
        </w:r>
      </w:smartTag>
      <w:r>
        <w:rPr>
          <w:rFonts w:cs="Arial"/>
          <w:color w:val="000000"/>
          <w:sz w:val="20"/>
        </w:rPr>
        <w:t xml:space="preserve"> and </w:t>
      </w:r>
      <w:smartTag w:uri="urn:schemas-microsoft-com:office:smarttags" w:element="place">
        <w:smartTag w:uri="urn:schemas-microsoft-com:office:smarttags" w:element="country-region">
          <w:r>
            <w:rPr>
              <w:rFonts w:cs="Arial"/>
              <w:color w:val="000000"/>
              <w:sz w:val="20"/>
            </w:rPr>
            <w:t>Ireland</w:t>
          </w:r>
        </w:smartTag>
      </w:smartTag>
      <w:r>
        <w:rPr>
          <w:rFonts w:cs="Arial"/>
          <w:color w:val="000000"/>
          <w:sz w:val="20"/>
        </w:rPr>
        <w:t>.</w:t>
      </w:r>
    </w:p>
    <w:p w:rsidR="007B3E55" w:rsidRPr="0013769A" w:rsidRDefault="007B3E55" w:rsidP="00614C04">
      <w:pPr>
        <w:numPr>
          <w:ilvl w:val="0"/>
          <w:numId w:val="84"/>
        </w:numPr>
        <w:spacing w:before="120"/>
        <w:ind w:left="851" w:right="28" w:hanging="284"/>
        <w:jc w:val="both"/>
        <w:rPr>
          <w:rFonts w:cs="Arial"/>
          <w:sz w:val="20"/>
        </w:rPr>
      </w:pPr>
      <w:r>
        <w:rPr>
          <w:rFonts w:cs="Arial"/>
          <w:color w:val="000000"/>
          <w:sz w:val="20"/>
        </w:rPr>
        <w:t xml:space="preserve">For example, after seven waves, just over half the population (54%) were still in either the same decile they started in or in one either side.  The figure for the </w:t>
      </w:r>
      <w:smartTag w:uri="urn:schemas-microsoft-com:office:smarttags" w:element="place">
        <w:smartTag w:uri="urn:schemas-microsoft-com:office:smarttags" w:element="country-region">
          <w:r>
            <w:rPr>
              <w:rFonts w:cs="Arial"/>
              <w:color w:val="000000"/>
              <w:sz w:val="20"/>
            </w:rPr>
            <w:t>UK</w:t>
          </w:r>
        </w:smartTag>
      </w:smartTag>
      <w:r>
        <w:rPr>
          <w:rFonts w:cs="Arial"/>
          <w:color w:val="000000"/>
          <w:sz w:val="20"/>
        </w:rPr>
        <w:t xml:space="preserve"> was 53%.</w:t>
      </w:r>
    </w:p>
    <w:p w:rsidR="007B3E55" w:rsidRPr="006B2092" w:rsidRDefault="007B3E55" w:rsidP="00614C04">
      <w:pPr>
        <w:numPr>
          <w:ilvl w:val="0"/>
          <w:numId w:val="84"/>
        </w:numPr>
        <w:spacing w:before="120"/>
        <w:ind w:left="851" w:right="28" w:hanging="284"/>
        <w:jc w:val="both"/>
        <w:rPr>
          <w:rFonts w:cs="Arial"/>
          <w:sz w:val="20"/>
        </w:rPr>
      </w:pPr>
      <w:r>
        <w:rPr>
          <w:rFonts w:cs="Arial"/>
          <w:color w:val="000000"/>
          <w:sz w:val="20"/>
        </w:rPr>
        <w:t>Looking just at those aged 0-57 years in wave one:</w:t>
      </w:r>
      <w:r>
        <w:rPr>
          <w:rStyle w:val="FootnoteReference"/>
          <w:rFonts w:cs="Arial"/>
          <w:color w:val="000000"/>
          <w:sz w:val="20"/>
        </w:rPr>
        <w:footnoteReference w:id="7"/>
      </w:r>
      <w:r>
        <w:rPr>
          <w:rFonts w:cs="Arial"/>
          <w:color w:val="000000"/>
          <w:sz w:val="20"/>
        </w:rPr>
        <w:t xml:space="preserve"> </w:t>
      </w:r>
    </w:p>
    <w:p w:rsidR="007B3E55" w:rsidRPr="00717BC6" w:rsidRDefault="007B3E55" w:rsidP="00614C04">
      <w:pPr>
        <w:numPr>
          <w:ilvl w:val="0"/>
          <w:numId w:val="90"/>
        </w:numPr>
        <w:tabs>
          <w:tab w:val="clear" w:pos="873"/>
          <w:tab w:val="num" w:pos="1418"/>
        </w:tabs>
        <w:spacing w:before="60"/>
        <w:ind w:left="1418" w:right="28" w:hanging="284"/>
        <w:jc w:val="both"/>
        <w:rPr>
          <w:rFonts w:cs="Arial"/>
          <w:sz w:val="20"/>
        </w:rPr>
      </w:pPr>
      <w:r>
        <w:rPr>
          <w:rFonts w:cs="Arial"/>
          <w:color w:val="000000"/>
          <w:sz w:val="20"/>
        </w:rPr>
        <w:t>of those starting in deciles 1-3, just over half were still there in wave 7, a quarter had moved up to deciles 4 and 5, and a quarter into the top half (deciles 6-10)</w:t>
      </w:r>
    </w:p>
    <w:p w:rsidR="007B3E55" w:rsidRPr="00717BC6" w:rsidRDefault="007B3E55" w:rsidP="00614C04">
      <w:pPr>
        <w:numPr>
          <w:ilvl w:val="0"/>
          <w:numId w:val="90"/>
        </w:numPr>
        <w:tabs>
          <w:tab w:val="clear" w:pos="873"/>
          <w:tab w:val="num" w:pos="1418"/>
        </w:tabs>
        <w:spacing w:before="60"/>
        <w:ind w:left="1418" w:right="28" w:hanging="284"/>
        <w:jc w:val="both"/>
        <w:rPr>
          <w:rFonts w:cs="Arial"/>
          <w:sz w:val="20"/>
        </w:rPr>
      </w:pPr>
      <w:r>
        <w:rPr>
          <w:rFonts w:cs="Arial"/>
          <w:color w:val="000000"/>
          <w:sz w:val="20"/>
        </w:rPr>
        <w:t>of those starting in the middle of the income distribution (deciles 4-6), 43% were still there in wave 7, 35% had moved up to deciles 7-10, and 23% had moved down</w:t>
      </w:r>
    </w:p>
    <w:p w:rsidR="007B3E55" w:rsidRPr="00717BC6" w:rsidRDefault="007B3E55" w:rsidP="00614C04">
      <w:pPr>
        <w:numPr>
          <w:ilvl w:val="0"/>
          <w:numId w:val="90"/>
        </w:numPr>
        <w:tabs>
          <w:tab w:val="clear" w:pos="873"/>
          <w:tab w:val="num" w:pos="1418"/>
        </w:tabs>
        <w:spacing w:before="60"/>
        <w:ind w:left="1418" w:right="28" w:hanging="284"/>
        <w:jc w:val="both"/>
        <w:rPr>
          <w:rFonts w:cs="Arial"/>
          <w:sz w:val="20"/>
        </w:rPr>
      </w:pPr>
      <w:r>
        <w:rPr>
          <w:rFonts w:cs="Arial"/>
          <w:color w:val="000000"/>
          <w:sz w:val="20"/>
        </w:rPr>
        <w:t>of those starting in the top decile, 63% were still there or were in decile 9 in wave 7.</w:t>
      </w:r>
    </w:p>
    <w:p w:rsidR="007B3E55" w:rsidRDefault="007B3E55" w:rsidP="00614C04">
      <w:pPr>
        <w:numPr>
          <w:ilvl w:val="0"/>
          <w:numId w:val="84"/>
        </w:numPr>
        <w:spacing w:before="120"/>
        <w:ind w:left="851" w:right="28" w:hanging="284"/>
        <w:jc w:val="both"/>
        <w:rPr>
          <w:rFonts w:cs="Arial"/>
          <w:sz w:val="20"/>
        </w:rPr>
      </w:pPr>
      <w:r>
        <w:rPr>
          <w:rFonts w:cs="Arial"/>
          <w:sz w:val="20"/>
        </w:rPr>
        <w:t>Income mobility can also be looked at in terms of changes in real (CPI-adjusted) income. On this basis it was found that (during a period when cross-sectional incomes were growing on average for all deciles):</w:t>
      </w:r>
    </w:p>
    <w:p w:rsidR="007B3E55" w:rsidRDefault="007B3E55" w:rsidP="00614C04">
      <w:pPr>
        <w:numPr>
          <w:ilvl w:val="0"/>
          <w:numId w:val="91"/>
        </w:numPr>
        <w:tabs>
          <w:tab w:val="clear" w:pos="801"/>
          <w:tab w:val="num" w:pos="1418"/>
        </w:tabs>
        <w:spacing w:before="60"/>
        <w:ind w:left="1418" w:right="28"/>
        <w:jc w:val="both"/>
        <w:rPr>
          <w:rFonts w:cs="Arial"/>
          <w:sz w:val="20"/>
        </w:rPr>
      </w:pPr>
      <w:r>
        <w:rPr>
          <w:rFonts w:cs="Arial"/>
          <w:sz w:val="20"/>
        </w:rPr>
        <w:t>20% of those starting in the lowest quintile experienced a net decrease in real income over the 7 waves, 30% doubled their income, and the remaining 50% all experienced real increases of substance, albeit less than double</w:t>
      </w:r>
    </w:p>
    <w:p w:rsidR="007B3E55" w:rsidRDefault="007B3E55" w:rsidP="00614C04">
      <w:pPr>
        <w:numPr>
          <w:ilvl w:val="0"/>
          <w:numId w:val="91"/>
        </w:numPr>
        <w:tabs>
          <w:tab w:val="clear" w:pos="801"/>
          <w:tab w:val="num" w:pos="1418"/>
        </w:tabs>
        <w:spacing w:before="60"/>
        <w:ind w:left="1418" w:right="28"/>
        <w:jc w:val="both"/>
        <w:rPr>
          <w:rFonts w:cs="Arial"/>
          <w:b/>
          <w:color w:val="000000"/>
        </w:rPr>
      </w:pPr>
      <w:r>
        <w:rPr>
          <w:rFonts w:cs="Arial"/>
          <w:sz w:val="20"/>
        </w:rPr>
        <w:t>overall, 38% experienced real declines, and for a third of these the decline was significant (40%+).</w:t>
      </w:r>
    </w:p>
    <w:p w:rsidR="007B3E55" w:rsidRPr="0013769A" w:rsidRDefault="007B3E55" w:rsidP="007B3E55">
      <w:pPr>
        <w:numPr>
          <w:ilvl w:val="0"/>
          <w:numId w:val="92"/>
        </w:numPr>
        <w:spacing w:before="120"/>
        <w:ind w:right="28"/>
        <w:jc w:val="both"/>
        <w:rPr>
          <w:rFonts w:cs="Arial"/>
          <w:sz w:val="20"/>
        </w:rPr>
      </w:pPr>
      <w:r>
        <w:rPr>
          <w:rFonts w:cs="Arial"/>
          <w:color w:val="000000"/>
          <w:sz w:val="20"/>
        </w:rPr>
        <w:t xml:space="preserve">All of this serves as a reminder of the great variety of income trajectories that different individuals have, a perspective not available when using cross-sectional surveys. </w:t>
      </w:r>
    </w:p>
    <w:p w:rsidR="007B3E55" w:rsidRDefault="007B3E55" w:rsidP="007B3E55">
      <w:pPr>
        <w:ind w:left="450" w:hanging="450"/>
        <w:jc w:val="both"/>
        <w:rPr>
          <w:rFonts w:cs="Arial"/>
          <w:b/>
          <w:color w:val="000000"/>
          <w:sz w:val="20"/>
        </w:rPr>
      </w:pPr>
    </w:p>
    <w:p w:rsidR="007B3E55" w:rsidRDefault="007B3E55" w:rsidP="007B3E55">
      <w:pPr>
        <w:ind w:left="450" w:hanging="450"/>
        <w:jc w:val="both"/>
        <w:rPr>
          <w:rFonts w:cs="Arial"/>
          <w:b/>
          <w:color w:val="000000"/>
          <w:sz w:val="20"/>
        </w:rPr>
      </w:pPr>
    </w:p>
    <w:p w:rsidR="007B3E55" w:rsidRDefault="007B3E55" w:rsidP="007B3E55">
      <w:pPr>
        <w:ind w:left="450" w:hanging="450"/>
        <w:jc w:val="both"/>
        <w:rPr>
          <w:rFonts w:cs="Arial"/>
          <w:b/>
          <w:color w:val="000000"/>
          <w:sz w:val="20"/>
        </w:rPr>
      </w:pPr>
      <w:r>
        <w:rPr>
          <w:rFonts w:cs="Arial"/>
          <w:b/>
          <w:color w:val="000000"/>
          <w:sz w:val="20"/>
        </w:rPr>
        <w:t>2</w:t>
      </w:r>
      <w:r w:rsidR="0056726F">
        <w:rPr>
          <w:rFonts w:cs="Arial"/>
          <w:b/>
          <w:color w:val="000000"/>
          <w:sz w:val="20"/>
        </w:rPr>
        <w:t>7</w:t>
      </w:r>
      <w:r w:rsidRPr="00D562E1">
        <w:rPr>
          <w:rFonts w:cs="Arial"/>
          <w:b/>
          <w:color w:val="000000"/>
          <w:sz w:val="20"/>
        </w:rPr>
        <w:tab/>
      </w:r>
      <w:r>
        <w:rPr>
          <w:rFonts w:cs="Arial"/>
          <w:b/>
          <w:color w:val="000000"/>
          <w:sz w:val="20"/>
        </w:rPr>
        <w:t>Poverty persistence</w:t>
      </w:r>
    </w:p>
    <w:p w:rsidR="007B3E55" w:rsidRDefault="007B3E55" w:rsidP="007B3E55">
      <w:pPr>
        <w:ind w:left="448" w:hanging="448"/>
        <w:jc w:val="both"/>
        <w:rPr>
          <w:rFonts w:cs="Arial"/>
          <w:b/>
          <w:color w:val="000000"/>
          <w:sz w:val="20"/>
        </w:rPr>
      </w:pPr>
    </w:p>
    <w:p w:rsidR="007B3E55" w:rsidRPr="003E7029" w:rsidRDefault="007B3E55" w:rsidP="00614C04">
      <w:pPr>
        <w:numPr>
          <w:ilvl w:val="0"/>
          <w:numId w:val="84"/>
        </w:numPr>
        <w:ind w:left="851" w:right="29" w:hanging="284"/>
        <w:jc w:val="both"/>
        <w:rPr>
          <w:rFonts w:cs="Arial"/>
          <w:sz w:val="20"/>
        </w:rPr>
      </w:pPr>
      <w:r>
        <w:rPr>
          <w:rFonts w:cs="Arial"/>
          <w:sz w:val="20"/>
        </w:rPr>
        <w:t>Cross-sectional</w:t>
      </w:r>
      <w:r w:rsidRPr="003E7029">
        <w:rPr>
          <w:rFonts w:cs="Arial"/>
          <w:sz w:val="20"/>
        </w:rPr>
        <w:t xml:space="preserve"> income surveys</w:t>
      </w:r>
      <w:r>
        <w:rPr>
          <w:rFonts w:cs="Arial"/>
          <w:sz w:val="20"/>
        </w:rPr>
        <w:t xml:space="preserve"> (like the HES)</w:t>
      </w:r>
      <w:r w:rsidRPr="003E7029">
        <w:rPr>
          <w:rFonts w:cs="Arial"/>
          <w:sz w:val="20"/>
        </w:rPr>
        <w:t xml:space="preserve"> can tell us how many people are in low income (income poverty) at a point in time.  </w:t>
      </w:r>
      <w:r>
        <w:rPr>
          <w:rFonts w:cs="Arial"/>
          <w:sz w:val="20"/>
        </w:rPr>
        <w:t>They</w:t>
      </w:r>
      <w:r w:rsidRPr="003E7029">
        <w:rPr>
          <w:rFonts w:cs="Arial"/>
          <w:sz w:val="20"/>
        </w:rPr>
        <w:t xml:space="preserve"> cannot tell us how long people have been in low income nor how </w:t>
      </w:r>
      <w:r>
        <w:rPr>
          <w:rFonts w:cs="Arial"/>
          <w:sz w:val="20"/>
        </w:rPr>
        <w:t xml:space="preserve">much movement in and out of low </w:t>
      </w:r>
      <w:r w:rsidRPr="003E7029">
        <w:rPr>
          <w:rFonts w:cs="Arial"/>
          <w:sz w:val="20"/>
        </w:rPr>
        <w:t xml:space="preserve">income there is over </w:t>
      </w:r>
      <w:r>
        <w:rPr>
          <w:rFonts w:cs="Arial"/>
          <w:sz w:val="20"/>
        </w:rPr>
        <w:t>time.</w:t>
      </w:r>
      <w:r w:rsidRPr="003E7029">
        <w:rPr>
          <w:rFonts w:cs="Arial"/>
          <w:sz w:val="20"/>
        </w:rPr>
        <w:t xml:space="preserve">  </w:t>
      </w:r>
      <w:r>
        <w:rPr>
          <w:rFonts w:cs="Arial"/>
          <w:sz w:val="20"/>
        </w:rPr>
        <w:t>Longitudinal data can do that.</w:t>
      </w:r>
    </w:p>
    <w:p w:rsidR="007B3E55" w:rsidRPr="003E7029" w:rsidRDefault="003B11A5" w:rsidP="00614C04">
      <w:pPr>
        <w:numPr>
          <w:ilvl w:val="0"/>
          <w:numId w:val="84"/>
        </w:numPr>
        <w:spacing w:before="120"/>
        <w:ind w:left="867" w:hanging="357"/>
        <w:rPr>
          <w:rFonts w:cs="Arial"/>
          <w:sz w:val="20"/>
        </w:rPr>
      </w:pPr>
      <w:r>
        <w:rPr>
          <w:rFonts w:cs="Arial"/>
          <w:sz w:val="20"/>
        </w:rPr>
        <w:t>Using the 50% of median gross household income threshold</w:t>
      </w:r>
      <w:r w:rsidR="007B3E55" w:rsidRPr="003E7029">
        <w:rPr>
          <w:rFonts w:cs="Arial"/>
          <w:sz w:val="20"/>
        </w:rPr>
        <w:t xml:space="preserve"> produce</w:t>
      </w:r>
      <w:r w:rsidR="007B3E55">
        <w:rPr>
          <w:rFonts w:cs="Arial"/>
          <w:sz w:val="20"/>
        </w:rPr>
        <w:t>s</w:t>
      </w:r>
      <w:r w:rsidR="007B3E55" w:rsidRPr="003E7029">
        <w:rPr>
          <w:rFonts w:cs="Arial"/>
          <w:sz w:val="20"/>
        </w:rPr>
        <w:t xml:space="preserve"> a</w:t>
      </w:r>
      <w:r w:rsidR="007B3E55">
        <w:rPr>
          <w:rFonts w:cs="Arial"/>
          <w:sz w:val="20"/>
        </w:rPr>
        <w:t xml:space="preserve"> cross-sectional population poverty</w:t>
      </w:r>
      <w:r w:rsidR="007B3E55" w:rsidRPr="003E7029">
        <w:rPr>
          <w:rFonts w:cs="Arial"/>
          <w:sz w:val="20"/>
        </w:rPr>
        <w:t xml:space="preserve"> rate of </w:t>
      </w:r>
      <w:r w:rsidR="007B3E55">
        <w:rPr>
          <w:rFonts w:cs="Arial"/>
          <w:sz w:val="20"/>
        </w:rPr>
        <w:t>around 15% in each wave</w:t>
      </w:r>
      <w:r>
        <w:rPr>
          <w:rFonts w:cs="Arial"/>
          <w:sz w:val="20"/>
        </w:rPr>
        <w:t>.  T</w:t>
      </w:r>
      <w:r w:rsidR="007B3E55">
        <w:rPr>
          <w:rFonts w:cs="Arial"/>
          <w:sz w:val="20"/>
        </w:rPr>
        <w:t>he longitudinal SoFIE research found that:</w:t>
      </w:r>
    </w:p>
    <w:p w:rsidR="007B3E55" w:rsidRPr="003E7029" w:rsidRDefault="007B3E55" w:rsidP="00614C04">
      <w:pPr>
        <w:numPr>
          <w:ilvl w:val="0"/>
          <w:numId w:val="93"/>
        </w:numPr>
        <w:tabs>
          <w:tab w:val="clear" w:pos="873"/>
          <w:tab w:val="num" w:pos="1418"/>
        </w:tabs>
        <w:spacing w:before="60"/>
        <w:ind w:left="1418" w:hanging="284"/>
        <w:rPr>
          <w:rFonts w:cs="Arial"/>
          <w:sz w:val="20"/>
        </w:rPr>
      </w:pPr>
      <w:r>
        <w:rPr>
          <w:rFonts w:cs="Arial"/>
          <w:sz w:val="20"/>
        </w:rPr>
        <w:t>39</w:t>
      </w:r>
      <w:r w:rsidRPr="003E7029">
        <w:rPr>
          <w:rFonts w:cs="Arial"/>
          <w:sz w:val="20"/>
        </w:rPr>
        <w:t xml:space="preserve">% experienced </w:t>
      </w:r>
      <w:r w:rsidR="003B11A5">
        <w:rPr>
          <w:rFonts w:cs="Arial"/>
          <w:sz w:val="20"/>
        </w:rPr>
        <w:t>income poverty</w:t>
      </w:r>
      <w:r w:rsidRPr="003E7029">
        <w:rPr>
          <w:rFonts w:cs="Arial"/>
          <w:sz w:val="20"/>
        </w:rPr>
        <w:t xml:space="preserve"> in at least one wave out of seven</w:t>
      </w:r>
    </w:p>
    <w:p w:rsidR="007B3E55" w:rsidRPr="003E7029" w:rsidRDefault="007B3E55" w:rsidP="00614C04">
      <w:pPr>
        <w:numPr>
          <w:ilvl w:val="0"/>
          <w:numId w:val="93"/>
        </w:numPr>
        <w:tabs>
          <w:tab w:val="clear" w:pos="873"/>
          <w:tab w:val="num" w:pos="1418"/>
        </w:tabs>
        <w:spacing w:before="60"/>
        <w:ind w:left="1418" w:hanging="284"/>
        <w:rPr>
          <w:rFonts w:cs="Arial"/>
          <w:sz w:val="20"/>
        </w:rPr>
      </w:pPr>
      <w:r>
        <w:rPr>
          <w:rFonts w:cs="Arial"/>
          <w:sz w:val="20"/>
        </w:rPr>
        <w:t>17%</w:t>
      </w:r>
      <w:r w:rsidRPr="003E7029">
        <w:rPr>
          <w:rFonts w:cs="Arial"/>
          <w:sz w:val="20"/>
        </w:rPr>
        <w:t xml:space="preserve"> were in low income for at least </w:t>
      </w:r>
      <w:r>
        <w:rPr>
          <w:rFonts w:cs="Arial"/>
          <w:sz w:val="20"/>
        </w:rPr>
        <w:t>three</w:t>
      </w:r>
      <w:r w:rsidRPr="003E7029">
        <w:rPr>
          <w:rFonts w:cs="Arial"/>
          <w:sz w:val="20"/>
        </w:rPr>
        <w:t xml:space="preserve"> out of seven waves</w:t>
      </w:r>
    </w:p>
    <w:p w:rsidR="007B3E55" w:rsidRPr="003E7029" w:rsidRDefault="007B3E55" w:rsidP="00614C04">
      <w:pPr>
        <w:numPr>
          <w:ilvl w:val="0"/>
          <w:numId w:val="93"/>
        </w:numPr>
        <w:tabs>
          <w:tab w:val="clear" w:pos="873"/>
          <w:tab w:val="num" w:pos="1418"/>
        </w:tabs>
        <w:spacing w:before="60"/>
        <w:ind w:left="1418" w:hanging="284"/>
        <w:rPr>
          <w:rFonts w:cs="Arial"/>
          <w:sz w:val="20"/>
        </w:rPr>
      </w:pPr>
      <w:r>
        <w:rPr>
          <w:rFonts w:cs="Arial"/>
          <w:sz w:val="20"/>
        </w:rPr>
        <w:t>2%</w:t>
      </w:r>
      <w:r w:rsidRPr="003E7029">
        <w:rPr>
          <w:rFonts w:cs="Arial"/>
          <w:sz w:val="20"/>
        </w:rPr>
        <w:t xml:space="preserve"> were in low income for all seven waves</w:t>
      </w:r>
      <w:r>
        <w:rPr>
          <w:rFonts w:cs="Arial"/>
          <w:sz w:val="20"/>
        </w:rPr>
        <w:t>.</w:t>
      </w:r>
    </w:p>
    <w:p w:rsidR="007B3E55" w:rsidRPr="003E7029" w:rsidRDefault="007B3E55" w:rsidP="00614C04">
      <w:pPr>
        <w:numPr>
          <w:ilvl w:val="0"/>
          <w:numId w:val="84"/>
        </w:numPr>
        <w:spacing w:before="120"/>
        <w:ind w:left="867" w:hanging="357"/>
        <w:jc w:val="both"/>
        <w:rPr>
          <w:rFonts w:cs="Arial"/>
          <w:sz w:val="20"/>
        </w:rPr>
      </w:pPr>
      <w:r w:rsidRPr="003E7029">
        <w:rPr>
          <w:rFonts w:cs="Arial"/>
          <w:sz w:val="20"/>
        </w:rPr>
        <w:t xml:space="preserve">Counting the number of waves for which people are below </w:t>
      </w:r>
      <w:r>
        <w:rPr>
          <w:rFonts w:cs="Arial"/>
          <w:sz w:val="20"/>
        </w:rPr>
        <w:t>a given poverty</w:t>
      </w:r>
      <w:r w:rsidRPr="003E7029">
        <w:rPr>
          <w:rFonts w:cs="Arial"/>
          <w:sz w:val="20"/>
        </w:rPr>
        <w:t xml:space="preserve"> lin</w:t>
      </w:r>
      <w:r>
        <w:rPr>
          <w:rFonts w:cs="Arial"/>
          <w:sz w:val="20"/>
        </w:rPr>
        <w:t xml:space="preserve">e is a straightforward approach.  </w:t>
      </w:r>
      <w:r w:rsidRPr="003E7029">
        <w:rPr>
          <w:rFonts w:cs="Arial"/>
          <w:sz w:val="20"/>
        </w:rPr>
        <w:t>One of its limitations is that it cannot distinguish between those on the one hand who move out of low income and go well above the line and those on the other hand who go from just below to just above the line and vice versa</w:t>
      </w:r>
      <w:r>
        <w:rPr>
          <w:rFonts w:cs="Arial"/>
          <w:sz w:val="20"/>
        </w:rPr>
        <w:t>.</w:t>
      </w:r>
    </w:p>
    <w:p w:rsidR="007B3E55" w:rsidRDefault="007B3E55" w:rsidP="007B3E55">
      <w:pPr>
        <w:numPr>
          <w:ilvl w:val="0"/>
          <w:numId w:val="84"/>
        </w:numPr>
        <w:spacing w:before="120"/>
        <w:jc w:val="both"/>
        <w:rPr>
          <w:rFonts w:cs="Arial"/>
          <w:sz w:val="20"/>
        </w:rPr>
      </w:pPr>
      <w:r w:rsidRPr="003E7029">
        <w:rPr>
          <w:rFonts w:cs="Arial"/>
          <w:sz w:val="20"/>
        </w:rPr>
        <w:t xml:space="preserve">One way to get a better understanding of these movements and to deal with the issue of ‘boundary hoppers’ is to look at people’s average income over the seven waves and to compare that with the average poverty line over the seven </w:t>
      </w:r>
      <w:r>
        <w:rPr>
          <w:rFonts w:cs="Arial"/>
          <w:sz w:val="20"/>
        </w:rPr>
        <w:t>waves</w:t>
      </w:r>
      <w:r w:rsidRPr="003E7029">
        <w:rPr>
          <w:rFonts w:cs="Arial"/>
          <w:sz w:val="20"/>
        </w:rPr>
        <w:t xml:space="preserve">. People whose average income is below the average poverty line </w:t>
      </w:r>
      <w:r>
        <w:rPr>
          <w:rFonts w:cs="Arial"/>
          <w:sz w:val="20"/>
        </w:rPr>
        <w:t xml:space="preserve">over the seven waves </w:t>
      </w:r>
      <w:r w:rsidRPr="003E7029">
        <w:rPr>
          <w:rFonts w:cs="Arial"/>
          <w:sz w:val="20"/>
        </w:rPr>
        <w:t xml:space="preserve">are said to be in </w:t>
      </w:r>
      <w:r w:rsidRPr="005A7912">
        <w:rPr>
          <w:rFonts w:cs="Arial"/>
          <w:sz w:val="20"/>
          <w:u w:val="single"/>
        </w:rPr>
        <w:t>chronic poverty</w:t>
      </w:r>
      <w:r w:rsidRPr="003E7029">
        <w:rPr>
          <w:rFonts w:cs="Arial"/>
          <w:sz w:val="20"/>
        </w:rPr>
        <w:t>.</w:t>
      </w:r>
      <w:r>
        <w:rPr>
          <w:rFonts w:cs="Arial"/>
          <w:sz w:val="20"/>
        </w:rPr>
        <w:t xml:space="preserve">  </w:t>
      </w:r>
    </w:p>
    <w:p w:rsidR="003D6D3B" w:rsidRDefault="007B3E55" w:rsidP="003D6D3B">
      <w:pPr>
        <w:numPr>
          <w:ilvl w:val="0"/>
          <w:numId w:val="84"/>
        </w:numPr>
        <w:spacing w:before="120"/>
        <w:jc w:val="both"/>
        <w:rPr>
          <w:rFonts w:cs="Arial"/>
          <w:sz w:val="20"/>
        </w:rPr>
      </w:pPr>
      <w:r>
        <w:rPr>
          <w:rFonts w:cs="Arial"/>
          <w:sz w:val="20"/>
        </w:rPr>
        <w:lastRenderedPageBreak/>
        <w:t xml:space="preserve">By examining the relationship between those in chronic poverty and those in </w:t>
      </w:r>
      <w:r w:rsidRPr="005A7912">
        <w:rPr>
          <w:rFonts w:cs="Arial"/>
          <w:sz w:val="20"/>
          <w:u w:val="single"/>
        </w:rPr>
        <w:t>current poverty</w:t>
      </w:r>
      <w:r>
        <w:rPr>
          <w:rFonts w:cs="Arial"/>
          <w:sz w:val="20"/>
        </w:rPr>
        <w:t xml:space="preserve"> in each wave, a useful set of findings emerges that allows us to look at cross-sectional income poverty findings with longitudinal eyes. </w:t>
      </w:r>
    </w:p>
    <w:p w:rsidR="003D6D3B" w:rsidRDefault="003D6D3B" w:rsidP="003D6D3B">
      <w:pPr>
        <w:numPr>
          <w:ilvl w:val="0"/>
          <w:numId w:val="84"/>
        </w:numPr>
        <w:spacing w:before="120"/>
        <w:jc w:val="both"/>
        <w:rPr>
          <w:rFonts w:cs="Arial"/>
          <w:sz w:val="20"/>
        </w:rPr>
      </w:pPr>
      <w:r>
        <w:rPr>
          <w:rFonts w:cs="Arial"/>
          <w:sz w:val="20"/>
        </w:rPr>
        <w:t xml:space="preserve">The chronic poverty rate is typically around 80% of the current poverty rate, a little higher for  children and Maori.  However, the overlap between the two groups is not 100%.  Some who are in current low income in a particular wave are not in chronic low income.  Similarly, some who are in chronic low income are not in current low income in every wave.  </w:t>
      </w:r>
    </w:p>
    <w:p w:rsidR="003D6D3B" w:rsidRDefault="003D6D3B" w:rsidP="003D6D3B">
      <w:pPr>
        <w:numPr>
          <w:ilvl w:val="0"/>
          <w:numId w:val="84"/>
        </w:numPr>
        <w:spacing w:before="120"/>
        <w:jc w:val="both"/>
        <w:rPr>
          <w:rFonts w:cs="Arial"/>
          <w:sz w:val="20"/>
        </w:rPr>
      </w:pPr>
      <w:r w:rsidRPr="006F3412">
        <w:rPr>
          <w:rFonts w:cs="Arial"/>
          <w:b/>
          <w:sz w:val="20"/>
        </w:rPr>
        <w:t xml:space="preserve">Figure </w:t>
      </w:r>
      <w:r>
        <w:rPr>
          <w:rFonts w:cs="Arial"/>
          <w:b/>
          <w:sz w:val="20"/>
        </w:rPr>
        <w:t>S.5</w:t>
      </w:r>
      <w:r>
        <w:rPr>
          <w:rFonts w:cs="Arial"/>
          <w:sz w:val="20"/>
        </w:rPr>
        <w:t xml:space="preserve"> </w:t>
      </w:r>
      <w:r w:rsidR="00E701BE">
        <w:rPr>
          <w:rFonts w:cs="Arial"/>
          <w:sz w:val="20"/>
        </w:rPr>
        <w:t xml:space="preserve">summarises the relationship between current and chronic low-income.  It shows the overlap between the two groups (the ovals), and also the full compositional and rate picture (chronic and current) in the rectangles. </w:t>
      </w:r>
    </w:p>
    <w:p w:rsidR="003D6D3B" w:rsidRDefault="003D6D3B" w:rsidP="003D6D3B">
      <w:pPr>
        <w:rPr>
          <w:rFonts w:cs="Arial"/>
          <w:sz w:val="20"/>
        </w:rPr>
      </w:pPr>
    </w:p>
    <w:p w:rsidR="003D6D3B" w:rsidRPr="007A38AA" w:rsidRDefault="003D6D3B" w:rsidP="003D6D3B">
      <w:pPr>
        <w:jc w:val="center"/>
        <w:rPr>
          <w:rFonts w:cs="Arial"/>
          <w:b/>
          <w:sz w:val="18"/>
          <w:szCs w:val="18"/>
        </w:rPr>
      </w:pPr>
      <w:r>
        <w:rPr>
          <w:rFonts w:cs="Arial"/>
          <w:b/>
          <w:sz w:val="18"/>
          <w:szCs w:val="18"/>
        </w:rPr>
        <w:t>Figure S.5</w:t>
      </w:r>
    </w:p>
    <w:p w:rsidR="003D6D3B" w:rsidRDefault="003D6D3B" w:rsidP="003D6D3B">
      <w:pPr>
        <w:spacing w:after="120"/>
        <w:jc w:val="center"/>
        <w:rPr>
          <w:rFonts w:cs="Arial"/>
          <w:b/>
          <w:sz w:val="18"/>
          <w:szCs w:val="18"/>
        </w:rPr>
      </w:pPr>
      <w:r w:rsidRPr="007A38AA">
        <w:rPr>
          <w:rFonts w:cs="Arial"/>
          <w:b/>
          <w:sz w:val="18"/>
          <w:szCs w:val="18"/>
        </w:rPr>
        <w:t xml:space="preserve">Current and chronic </w:t>
      </w:r>
      <w:r w:rsidR="003B11A5">
        <w:rPr>
          <w:rFonts w:cs="Arial"/>
          <w:b/>
          <w:sz w:val="18"/>
          <w:szCs w:val="18"/>
        </w:rPr>
        <w:t>poverty</w:t>
      </w:r>
      <w:r w:rsidRPr="007A38AA">
        <w:rPr>
          <w:rFonts w:cs="Arial"/>
          <w:b/>
          <w:sz w:val="18"/>
          <w:szCs w:val="18"/>
        </w:rPr>
        <w:t xml:space="preserve"> rates</w:t>
      </w:r>
      <w:r>
        <w:rPr>
          <w:rFonts w:cs="Arial"/>
          <w:b/>
          <w:sz w:val="18"/>
          <w:szCs w:val="18"/>
        </w:rPr>
        <w:t xml:space="preserve">, </w:t>
      </w:r>
      <w:r w:rsidR="003B11A5">
        <w:rPr>
          <w:rFonts w:cs="Arial"/>
          <w:b/>
          <w:sz w:val="18"/>
          <w:szCs w:val="18"/>
        </w:rPr>
        <w:t xml:space="preserve">and overlap: </w:t>
      </w:r>
      <w:r>
        <w:rPr>
          <w:rFonts w:cs="Arial"/>
          <w:b/>
          <w:sz w:val="18"/>
          <w:szCs w:val="18"/>
        </w:rPr>
        <w:t xml:space="preserve">population, </w:t>
      </w:r>
      <w:r w:rsidR="00E172AD">
        <w:rPr>
          <w:rFonts w:cs="Arial"/>
          <w:b/>
          <w:sz w:val="18"/>
          <w:szCs w:val="18"/>
        </w:rPr>
        <w:t>5</w:t>
      </w:r>
      <w:r>
        <w:rPr>
          <w:rFonts w:cs="Arial"/>
          <w:b/>
          <w:sz w:val="18"/>
          <w:szCs w:val="18"/>
        </w:rPr>
        <w:t>0% gross threshold</w:t>
      </w:r>
    </w:p>
    <w:p w:rsidR="003D6D3B" w:rsidRDefault="00E172AD" w:rsidP="003D6D3B">
      <w:pPr>
        <w:spacing w:after="120"/>
        <w:jc w:val="both"/>
        <w:rPr>
          <w:rFonts w:cs="Arial"/>
          <w:b/>
          <w:sz w:val="18"/>
          <w:szCs w:val="18"/>
        </w:rPr>
      </w:pPr>
      <w:r>
        <w:rPr>
          <w:rFonts w:cs="Arial"/>
          <w:noProof/>
          <w:sz w:val="20"/>
          <w:lang w:val="en-AU" w:eastAsia="en-AU"/>
        </w:rPr>
        <w:pict>
          <v:oval id="_x0000_s1267" style="position:absolute;left:0;text-align:left;margin-left:170.65pt;margin-top:12.7pt;width:169pt;height:86.05pt;z-index:251675136" filled="f" strokecolor="blue" strokeweight="1pt"/>
        </w:pict>
      </w:r>
      <w:r>
        <w:rPr>
          <w:rFonts w:cs="Arial"/>
          <w:noProof/>
          <w:sz w:val="20"/>
          <w:lang w:val="en-AU" w:eastAsia="en-AU"/>
        </w:rPr>
        <w:pict>
          <v:oval id="_x0000_s1266" style="position:absolute;left:0;text-align:left;margin-left:104.25pt;margin-top:.25pt;width:189.25pt;height:114.55pt;z-index:251674112" filled="f" strokecolor="red" strokeweight="1pt"/>
        </w:pict>
      </w:r>
    </w:p>
    <w:p w:rsidR="003D6D3B" w:rsidRDefault="003D6D3B" w:rsidP="003D6D3B">
      <w:pPr>
        <w:spacing w:after="120"/>
        <w:jc w:val="both"/>
        <w:rPr>
          <w:rFonts w:cs="Arial"/>
          <w:b/>
          <w:sz w:val="18"/>
          <w:szCs w:val="18"/>
        </w:rPr>
      </w:pPr>
    </w:p>
    <w:p w:rsidR="003D6D3B" w:rsidRDefault="00E701BE" w:rsidP="003D6D3B">
      <w:pPr>
        <w:spacing w:after="120"/>
        <w:jc w:val="both"/>
        <w:rPr>
          <w:rFonts w:cs="Arial"/>
          <w:b/>
          <w:sz w:val="18"/>
          <w:szCs w:val="18"/>
        </w:rPr>
      </w:pPr>
      <w:r>
        <w:rPr>
          <w:rFonts w:cs="Arial"/>
          <w:b/>
          <w:noProof/>
          <w:sz w:val="18"/>
          <w:szCs w:val="18"/>
          <w:lang w:val="en-AU" w:eastAsia="en-AU"/>
        </w:rPr>
        <w:pict>
          <v:shape id="_x0000_s1271" type="#_x0000_t202" style="position:absolute;left:0;text-align:left;margin-left:194.6pt;margin-top:8.9pt;width:69pt;height:30.75pt;z-index:251679232" stroked="f">
            <v:textbox style="mso-next-textbox:#_x0000_s1271">
              <w:txbxContent>
                <w:p w:rsidR="00DE4A2A" w:rsidRPr="00963B30" w:rsidRDefault="00DE4A2A" w:rsidP="003D6D3B">
                  <w:pPr>
                    <w:spacing w:before="40"/>
                    <w:jc w:val="center"/>
                    <w:rPr>
                      <w:b/>
                      <w:sz w:val="18"/>
                      <w:szCs w:val="18"/>
                      <w:lang w:val="en-NZ"/>
                    </w:rPr>
                  </w:pPr>
                  <w:r w:rsidRPr="00963B30">
                    <w:rPr>
                      <w:b/>
                      <w:sz w:val="18"/>
                      <w:szCs w:val="18"/>
                      <w:lang w:val="en-NZ"/>
                    </w:rPr>
                    <w:t>current and chronic</w:t>
                  </w:r>
                </w:p>
              </w:txbxContent>
            </v:textbox>
          </v:shape>
        </w:pict>
      </w:r>
      <w:r>
        <w:rPr>
          <w:rFonts w:cs="Arial"/>
          <w:b/>
          <w:noProof/>
          <w:sz w:val="18"/>
          <w:szCs w:val="18"/>
          <w:lang w:val="en-AU" w:eastAsia="en-AU"/>
        </w:rPr>
        <w:pict>
          <v:shape id="_x0000_s1272" type="#_x0000_t202" style="position:absolute;left:0;text-align:left;margin-left:117.35pt;margin-top:8.85pt;width:51.75pt;height:30.75pt;z-index:251680256" filled="f" stroked="f">
            <v:textbox style="mso-next-textbox:#_x0000_s1272">
              <w:txbxContent>
                <w:p w:rsidR="00DE4A2A" w:rsidRPr="00963B30" w:rsidRDefault="00DE4A2A" w:rsidP="003D6D3B">
                  <w:pPr>
                    <w:spacing w:before="40"/>
                    <w:jc w:val="center"/>
                    <w:rPr>
                      <w:b/>
                      <w:sz w:val="18"/>
                      <w:szCs w:val="18"/>
                      <w:lang w:val="en-NZ"/>
                    </w:rPr>
                  </w:pPr>
                  <w:r w:rsidRPr="00963B30">
                    <w:rPr>
                      <w:b/>
                      <w:sz w:val="18"/>
                      <w:szCs w:val="18"/>
                      <w:lang w:val="en-NZ"/>
                    </w:rPr>
                    <w:t>current only</w:t>
                  </w:r>
                </w:p>
              </w:txbxContent>
            </v:textbox>
          </v:shape>
        </w:pict>
      </w:r>
      <w:r>
        <w:rPr>
          <w:rFonts w:cs="Arial"/>
          <w:b/>
          <w:noProof/>
          <w:sz w:val="18"/>
          <w:szCs w:val="18"/>
          <w:lang w:val="en-AU" w:eastAsia="en-AU"/>
        </w:rPr>
        <w:pict>
          <v:shape id="_x0000_s1273" type="#_x0000_t202" style="position:absolute;left:0;text-align:left;margin-left:293.05pt;margin-top:8.3pt;width:48.55pt;height:31.9pt;z-index:251681280" filled="f" stroked="f">
            <v:textbox style="mso-next-textbox:#_x0000_s1273">
              <w:txbxContent>
                <w:p w:rsidR="00DE4A2A" w:rsidRPr="00963B30" w:rsidRDefault="00DE4A2A" w:rsidP="003D6D3B">
                  <w:pPr>
                    <w:spacing w:before="40"/>
                    <w:jc w:val="center"/>
                    <w:rPr>
                      <w:b/>
                      <w:sz w:val="18"/>
                      <w:szCs w:val="18"/>
                      <w:lang w:val="en-NZ"/>
                    </w:rPr>
                  </w:pPr>
                  <w:r w:rsidRPr="00963B30">
                    <w:rPr>
                      <w:b/>
                      <w:sz w:val="18"/>
                      <w:szCs w:val="18"/>
                      <w:lang w:val="en-NZ"/>
                    </w:rPr>
                    <w:t>chronic only</w:t>
                  </w:r>
                </w:p>
              </w:txbxContent>
            </v:textbox>
          </v:shape>
        </w:pict>
      </w:r>
    </w:p>
    <w:p w:rsidR="003D6D3B" w:rsidRDefault="003D6D3B" w:rsidP="003D6D3B">
      <w:pPr>
        <w:spacing w:after="120"/>
        <w:jc w:val="both"/>
        <w:rPr>
          <w:rFonts w:cs="Arial"/>
          <w:b/>
          <w:sz w:val="18"/>
          <w:szCs w:val="18"/>
        </w:rPr>
      </w:pPr>
    </w:p>
    <w:p w:rsidR="003D6D3B" w:rsidRDefault="003D6D3B" w:rsidP="003D6D3B">
      <w:pPr>
        <w:spacing w:after="120"/>
        <w:jc w:val="both"/>
        <w:rPr>
          <w:rFonts w:cs="Arial"/>
          <w:b/>
          <w:sz w:val="18"/>
          <w:szCs w:val="18"/>
        </w:rPr>
      </w:pPr>
    </w:p>
    <w:p w:rsidR="003D6D3B" w:rsidRDefault="003D6D3B" w:rsidP="003D6D3B">
      <w:pPr>
        <w:spacing w:after="120"/>
        <w:jc w:val="both"/>
        <w:rPr>
          <w:rFonts w:cs="Arial"/>
          <w:b/>
          <w:sz w:val="18"/>
          <w:szCs w:val="18"/>
        </w:rPr>
      </w:pPr>
    </w:p>
    <w:p w:rsidR="003D6D3B" w:rsidRDefault="003D6D3B" w:rsidP="003D6D3B">
      <w:pPr>
        <w:spacing w:after="120"/>
        <w:jc w:val="both"/>
        <w:rPr>
          <w:rFonts w:cs="Arial"/>
          <w:b/>
          <w:sz w:val="18"/>
          <w:szCs w:val="18"/>
        </w:rPr>
      </w:pPr>
    </w:p>
    <w:p w:rsidR="003D6D3B" w:rsidRDefault="00E701BE" w:rsidP="003D6D3B">
      <w:pPr>
        <w:spacing w:after="120"/>
        <w:jc w:val="both"/>
        <w:rPr>
          <w:rFonts w:cs="Arial"/>
          <w:b/>
          <w:sz w:val="18"/>
          <w:szCs w:val="18"/>
        </w:rPr>
      </w:pPr>
      <w:r>
        <w:rPr>
          <w:rFonts w:cs="Arial"/>
          <w:b/>
          <w:noProof/>
          <w:sz w:val="18"/>
          <w:szCs w:val="18"/>
          <w:lang w:val="en-AU" w:eastAsia="en-AU"/>
        </w:rPr>
        <w:pict>
          <v:shape id="_x0000_s1276" type="#_x0000_t202" style="position:absolute;left:0;text-align:left;margin-left:345.35pt;margin-top:1.95pt;width:87.75pt;height:27.75pt;z-index:251684352" stroked="f">
            <v:textbox style="mso-next-textbox:#_x0000_s1276">
              <w:txbxContent>
                <w:p w:rsidR="00DE4A2A" w:rsidRPr="009A4701" w:rsidRDefault="00DE4A2A" w:rsidP="003D6D3B">
                  <w:pPr>
                    <w:rPr>
                      <w:b/>
                      <w:sz w:val="16"/>
                      <w:szCs w:val="16"/>
                      <w:lang w:val="en-NZ"/>
                    </w:rPr>
                  </w:pPr>
                  <w:r w:rsidRPr="009A4701">
                    <w:rPr>
                      <w:b/>
                      <w:sz w:val="16"/>
                      <w:szCs w:val="16"/>
                      <w:lang w:val="en-NZ"/>
                    </w:rPr>
                    <w:t>composition, (current = 100%)</w:t>
                  </w:r>
                </w:p>
              </w:txbxContent>
            </v:textbox>
          </v:shape>
        </w:pict>
      </w:r>
      <w:r>
        <w:rPr>
          <w:rFonts w:cs="Arial"/>
          <w:b/>
          <w:noProof/>
          <w:sz w:val="18"/>
          <w:szCs w:val="18"/>
          <w:lang w:val="en-AU" w:eastAsia="en-AU"/>
        </w:rPr>
        <w:pict>
          <v:line id="_x0000_s1269" style="position:absolute;left:0;text-align:left;z-index:251677184" from="192pt,4.3pt" to="192.05pt,23.3pt"/>
        </w:pict>
      </w:r>
      <w:r>
        <w:rPr>
          <w:rFonts w:cs="Arial"/>
          <w:b/>
          <w:noProof/>
          <w:sz w:val="18"/>
          <w:szCs w:val="18"/>
          <w:lang w:val="en-AU" w:eastAsia="en-AU"/>
        </w:rPr>
        <w:pict>
          <v:shape id="_x0000_s1268" type="#_x0000_t202" style="position:absolute;left:0;text-align:left;margin-left:97.5pt;margin-top:4.3pt;width:236.15pt;height:19.65pt;z-index:251676160">
            <v:textbox style="mso-next-textbox:#_x0000_s1268" inset=",0,1mm">
              <w:txbxContent>
                <w:p w:rsidR="00DE4A2A" w:rsidRPr="00295946" w:rsidRDefault="00DE4A2A" w:rsidP="00E701BE">
                  <w:pPr>
                    <w:tabs>
                      <w:tab w:val="left" w:pos="709"/>
                      <w:tab w:val="left" w:pos="2410"/>
                      <w:tab w:val="left" w:pos="3969"/>
                    </w:tabs>
                    <w:spacing w:before="80"/>
                    <w:rPr>
                      <w:b/>
                      <w:sz w:val="16"/>
                      <w:szCs w:val="16"/>
                      <w:lang w:val="en-NZ"/>
                    </w:rPr>
                  </w:pPr>
                  <w:r w:rsidRPr="00C878E1">
                    <w:rPr>
                      <w:b/>
                      <w:lang w:val="en-NZ"/>
                    </w:rPr>
                    <w:tab/>
                  </w:r>
                  <w:r>
                    <w:rPr>
                      <w:b/>
                      <w:sz w:val="16"/>
                      <w:szCs w:val="16"/>
                      <w:lang w:val="en-NZ"/>
                    </w:rPr>
                    <w:t>50</w:t>
                  </w:r>
                  <w:r w:rsidRPr="00295946">
                    <w:rPr>
                      <w:b/>
                      <w:sz w:val="16"/>
                      <w:szCs w:val="16"/>
                      <w:lang w:val="en-NZ"/>
                    </w:rPr>
                    <w:t>%</w:t>
                  </w:r>
                  <w:r>
                    <w:rPr>
                      <w:b/>
                      <w:sz w:val="16"/>
                      <w:szCs w:val="16"/>
                      <w:lang w:val="en-NZ"/>
                    </w:rPr>
                    <w:tab/>
                    <w:t>50</w:t>
                  </w:r>
                  <w:r w:rsidRPr="00295946">
                    <w:rPr>
                      <w:b/>
                      <w:sz w:val="16"/>
                      <w:szCs w:val="16"/>
                      <w:lang w:val="en-NZ"/>
                    </w:rPr>
                    <w:t>%</w:t>
                  </w:r>
                  <w:r>
                    <w:rPr>
                      <w:b/>
                      <w:sz w:val="16"/>
                      <w:szCs w:val="16"/>
                      <w:lang w:val="en-NZ"/>
                    </w:rPr>
                    <w:tab/>
                  </w:r>
                  <w:r w:rsidRPr="00295946">
                    <w:rPr>
                      <w:b/>
                      <w:sz w:val="16"/>
                      <w:szCs w:val="16"/>
                      <w:lang w:val="en-NZ"/>
                    </w:rPr>
                    <w:t>+</w:t>
                  </w:r>
                  <w:r>
                    <w:rPr>
                      <w:b/>
                      <w:sz w:val="16"/>
                      <w:szCs w:val="16"/>
                      <w:lang w:val="en-NZ"/>
                    </w:rPr>
                    <w:t>20</w:t>
                  </w:r>
                  <w:r w:rsidRPr="00295946">
                    <w:rPr>
                      <w:b/>
                      <w:sz w:val="16"/>
                      <w:szCs w:val="16"/>
                      <w:lang w:val="en-NZ"/>
                    </w:rPr>
                    <w:t>%</w:t>
                  </w:r>
                  <w:r w:rsidRPr="00295946">
                    <w:rPr>
                      <w:b/>
                      <w:sz w:val="16"/>
                      <w:szCs w:val="16"/>
                      <w:lang w:val="en-NZ"/>
                    </w:rPr>
                    <w:tab/>
                  </w:r>
                  <w:r w:rsidRPr="00295946">
                    <w:rPr>
                      <w:b/>
                      <w:sz w:val="16"/>
                      <w:szCs w:val="16"/>
                      <w:lang w:val="en-NZ"/>
                    </w:rPr>
                    <w:tab/>
                  </w:r>
                  <w:r w:rsidRPr="00295946">
                    <w:rPr>
                      <w:b/>
                      <w:sz w:val="16"/>
                      <w:szCs w:val="16"/>
                      <w:lang w:val="en-NZ"/>
                    </w:rPr>
                    <w:tab/>
                  </w:r>
                </w:p>
              </w:txbxContent>
            </v:textbox>
          </v:shape>
        </w:pict>
      </w:r>
      <w:r>
        <w:rPr>
          <w:rFonts w:cs="Arial"/>
          <w:b/>
          <w:noProof/>
          <w:sz w:val="18"/>
          <w:szCs w:val="18"/>
          <w:lang w:val="en-AU" w:eastAsia="en-AU"/>
        </w:rPr>
        <w:pict>
          <v:line id="_x0000_s1275" style="position:absolute;left:0;text-align:left;z-index:251683328" from="286.55pt,34.6pt" to="286.6pt,53.6pt"/>
        </w:pict>
      </w:r>
      <w:r>
        <w:rPr>
          <w:rFonts w:cs="Arial"/>
          <w:b/>
          <w:noProof/>
          <w:sz w:val="18"/>
          <w:szCs w:val="18"/>
          <w:lang w:val="en-AU" w:eastAsia="en-AU"/>
        </w:rPr>
        <w:pict>
          <v:line id="_x0000_s1270" style="position:absolute;left:0;text-align:left;z-index:251678208" from="286.55pt,4.6pt" to="286.6pt,23.6pt"/>
        </w:pict>
      </w:r>
      <w:r>
        <w:rPr>
          <w:rFonts w:cs="Arial"/>
          <w:b/>
          <w:noProof/>
          <w:sz w:val="18"/>
          <w:szCs w:val="18"/>
          <w:lang w:val="en-AU" w:eastAsia="en-AU"/>
        </w:rPr>
        <w:pict>
          <v:shape id="_x0000_s1277" type="#_x0000_t202" style="position:absolute;left:0;text-align:left;margin-left:346.55pt;margin-top:33.9pt;width:87.75pt;height:19.5pt;z-index:251685376" stroked="f">
            <v:textbox style="mso-next-textbox:#_x0000_s1277">
              <w:txbxContent>
                <w:p w:rsidR="00DE4A2A" w:rsidRPr="009A4701" w:rsidRDefault="00DE4A2A" w:rsidP="003D6D3B">
                  <w:pPr>
                    <w:rPr>
                      <w:b/>
                      <w:sz w:val="16"/>
                      <w:szCs w:val="16"/>
                      <w:lang w:val="en-NZ"/>
                    </w:rPr>
                  </w:pPr>
                  <w:r w:rsidRPr="009A4701">
                    <w:rPr>
                      <w:b/>
                      <w:sz w:val="16"/>
                      <w:szCs w:val="16"/>
                      <w:lang w:val="en-NZ"/>
                    </w:rPr>
                    <w:t>rate</w:t>
                  </w:r>
                </w:p>
              </w:txbxContent>
            </v:textbox>
          </v:shape>
        </w:pict>
      </w:r>
      <w:r>
        <w:rPr>
          <w:rFonts w:cs="Arial"/>
          <w:b/>
          <w:noProof/>
          <w:sz w:val="18"/>
          <w:szCs w:val="18"/>
          <w:lang w:val="en-AU" w:eastAsia="en-AU"/>
        </w:rPr>
        <w:pict>
          <v:shape id="_x0000_s1274" type="#_x0000_t202" style="position:absolute;left:0;text-align:left;margin-left:99.05pt;margin-top:33.1pt;width:234.65pt;height:19.65pt;z-index:251682304">
            <v:textbox style="mso-next-textbox:#_x0000_s1274" inset=",0,1mm">
              <w:txbxContent>
                <w:p w:rsidR="00DE4A2A" w:rsidRPr="00295946" w:rsidRDefault="00DE4A2A" w:rsidP="00E172AD">
                  <w:pPr>
                    <w:tabs>
                      <w:tab w:val="left" w:pos="426"/>
                      <w:tab w:val="left" w:pos="2410"/>
                      <w:tab w:val="left" w:pos="3969"/>
                    </w:tabs>
                    <w:spacing w:before="80"/>
                    <w:rPr>
                      <w:b/>
                      <w:sz w:val="16"/>
                      <w:szCs w:val="16"/>
                      <w:lang w:val="en-NZ"/>
                    </w:rPr>
                  </w:pPr>
                  <w:r w:rsidRPr="00C878E1">
                    <w:rPr>
                      <w:b/>
                      <w:lang w:val="en-NZ"/>
                    </w:rPr>
                    <w:tab/>
                  </w:r>
                  <w:r w:rsidRPr="00295946">
                    <w:rPr>
                      <w:sz w:val="16"/>
                      <w:szCs w:val="16"/>
                      <w:lang w:val="en-NZ"/>
                    </w:rPr>
                    <w:t xml:space="preserve">Current </w:t>
                  </w:r>
                  <w:r w:rsidR="003B11A5">
                    <w:rPr>
                      <w:sz w:val="16"/>
                      <w:szCs w:val="16"/>
                      <w:lang w:val="en-NZ"/>
                    </w:rPr>
                    <w:t>income poverty</w:t>
                  </w:r>
                  <w:r w:rsidRPr="00295946">
                    <w:rPr>
                      <w:sz w:val="16"/>
                      <w:szCs w:val="16"/>
                      <w:lang w:val="en-NZ"/>
                    </w:rPr>
                    <w:t xml:space="preserve"> rate =</w:t>
                  </w:r>
                  <w:r w:rsidRPr="00295946">
                    <w:rPr>
                      <w:b/>
                      <w:sz w:val="16"/>
                      <w:szCs w:val="16"/>
                      <w:lang w:val="en-NZ"/>
                    </w:rPr>
                    <w:t xml:space="preserve"> </w:t>
                  </w:r>
                  <w:r>
                    <w:rPr>
                      <w:b/>
                      <w:sz w:val="16"/>
                      <w:szCs w:val="16"/>
                      <w:lang w:val="en-NZ"/>
                    </w:rPr>
                    <w:t>15</w:t>
                  </w:r>
                  <w:r w:rsidRPr="00295946">
                    <w:rPr>
                      <w:b/>
                      <w:sz w:val="16"/>
                      <w:szCs w:val="16"/>
                      <w:lang w:val="en-NZ"/>
                    </w:rPr>
                    <w:t>%</w:t>
                  </w:r>
                  <w:r>
                    <w:rPr>
                      <w:b/>
                      <w:sz w:val="16"/>
                      <w:szCs w:val="16"/>
                      <w:lang w:val="en-NZ"/>
                    </w:rPr>
                    <w:tab/>
                  </w:r>
                  <w:r w:rsidRPr="00295946">
                    <w:rPr>
                      <w:b/>
                      <w:sz w:val="16"/>
                      <w:szCs w:val="16"/>
                      <w:lang w:val="en-NZ"/>
                    </w:rPr>
                    <w:t>+4%</w:t>
                  </w:r>
                  <w:r w:rsidRPr="00295946">
                    <w:rPr>
                      <w:b/>
                      <w:sz w:val="16"/>
                      <w:szCs w:val="16"/>
                      <w:lang w:val="en-NZ"/>
                    </w:rPr>
                    <w:tab/>
                  </w:r>
                  <w:r w:rsidRPr="00295946">
                    <w:rPr>
                      <w:b/>
                      <w:sz w:val="16"/>
                      <w:szCs w:val="16"/>
                      <w:lang w:val="en-NZ"/>
                    </w:rPr>
                    <w:tab/>
                  </w:r>
                </w:p>
              </w:txbxContent>
            </v:textbox>
          </v:shape>
        </w:pict>
      </w:r>
    </w:p>
    <w:p w:rsidR="003D6D3B" w:rsidRDefault="003D6D3B" w:rsidP="003D6D3B">
      <w:pPr>
        <w:spacing w:after="120"/>
        <w:jc w:val="both"/>
        <w:rPr>
          <w:rFonts w:cs="Arial"/>
          <w:b/>
          <w:sz w:val="18"/>
          <w:szCs w:val="18"/>
        </w:rPr>
      </w:pPr>
    </w:p>
    <w:p w:rsidR="003D6D3B" w:rsidRDefault="003D6D3B" w:rsidP="003D6D3B">
      <w:pPr>
        <w:spacing w:after="120"/>
        <w:jc w:val="both"/>
        <w:rPr>
          <w:rFonts w:cs="Arial"/>
          <w:b/>
          <w:sz w:val="18"/>
          <w:szCs w:val="18"/>
        </w:rPr>
      </w:pPr>
    </w:p>
    <w:p w:rsidR="003D6D3B" w:rsidRDefault="003D6D3B" w:rsidP="003D6D3B">
      <w:pPr>
        <w:spacing w:after="120"/>
        <w:jc w:val="both"/>
        <w:rPr>
          <w:rFonts w:cs="Arial"/>
          <w:b/>
          <w:sz w:val="18"/>
          <w:szCs w:val="18"/>
        </w:rPr>
      </w:pPr>
    </w:p>
    <w:p w:rsidR="003D6D3B" w:rsidRDefault="003D6D3B" w:rsidP="007B3E55">
      <w:pPr>
        <w:numPr>
          <w:ilvl w:val="0"/>
          <w:numId w:val="84"/>
        </w:numPr>
        <w:spacing w:before="120"/>
        <w:jc w:val="both"/>
        <w:rPr>
          <w:rFonts w:cs="Arial"/>
          <w:sz w:val="20"/>
        </w:rPr>
      </w:pPr>
      <w:r>
        <w:rPr>
          <w:rFonts w:cs="Arial"/>
          <w:sz w:val="20"/>
        </w:rPr>
        <w:t xml:space="preserve">Using the 50% of </w:t>
      </w:r>
      <w:r w:rsidR="003B11A5">
        <w:rPr>
          <w:rFonts w:cs="Arial"/>
          <w:sz w:val="20"/>
        </w:rPr>
        <w:t xml:space="preserve">median </w:t>
      </w:r>
      <w:r>
        <w:rPr>
          <w:rFonts w:cs="Arial"/>
          <w:sz w:val="20"/>
        </w:rPr>
        <w:t>gross</w:t>
      </w:r>
      <w:r w:rsidR="003B11A5">
        <w:rPr>
          <w:rFonts w:cs="Arial"/>
          <w:sz w:val="20"/>
        </w:rPr>
        <w:t xml:space="preserve"> income</w:t>
      </w:r>
      <w:r>
        <w:rPr>
          <w:rFonts w:cs="Arial"/>
          <w:sz w:val="20"/>
        </w:rPr>
        <w:t xml:space="preserve"> threshold gives an average population poverty rate of around 15%</w:t>
      </w:r>
      <w:r w:rsidR="005B5FBE">
        <w:rPr>
          <w:rFonts w:cs="Arial"/>
          <w:sz w:val="20"/>
        </w:rPr>
        <w:t>.  In any given wave, half of those in current low-income are also in chronic low-income. In addition,</w:t>
      </w:r>
      <w:r>
        <w:rPr>
          <w:rFonts w:cs="Arial"/>
          <w:sz w:val="20"/>
        </w:rPr>
        <w:t xml:space="preserve"> around 20% (of the number in current low income) </w:t>
      </w:r>
      <w:r w:rsidR="005B5FBE">
        <w:rPr>
          <w:rFonts w:cs="Arial"/>
          <w:sz w:val="20"/>
        </w:rPr>
        <w:t>are in</w:t>
      </w:r>
      <w:r>
        <w:rPr>
          <w:rFonts w:cs="Arial"/>
          <w:sz w:val="20"/>
        </w:rPr>
        <w:t xml:space="preserve"> chronic</w:t>
      </w:r>
      <w:r w:rsidR="005B5FBE">
        <w:rPr>
          <w:rFonts w:cs="Arial"/>
          <w:sz w:val="20"/>
        </w:rPr>
        <w:t xml:space="preserve"> low-income only and are not picked up in the traditional current figure.</w:t>
      </w:r>
      <w:r>
        <w:rPr>
          <w:rFonts w:cs="Arial"/>
          <w:sz w:val="20"/>
        </w:rPr>
        <w:t xml:space="preserve"> </w:t>
      </w:r>
    </w:p>
    <w:p w:rsidR="007B3E55" w:rsidRDefault="003D6D3B" w:rsidP="007B3E55">
      <w:pPr>
        <w:numPr>
          <w:ilvl w:val="0"/>
          <w:numId w:val="84"/>
        </w:numPr>
        <w:spacing w:before="120"/>
        <w:jc w:val="both"/>
        <w:rPr>
          <w:rFonts w:cs="Arial"/>
          <w:sz w:val="20"/>
        </w:rPr>
      </w:pPr>
      <w:r>
        <w:rPr>
          <w:rFonts w:cs="Arial"/>
          <w:sz w:val="20"/>
        </w:rPr>
        <w:t>Thus, looking at cross-sectional rates with longitudinal eyes:</w:t>
      </w:r>
    </w:p>
    <w:p w:rsidR="007B3E55" w:rsidRDefault="007B3E55" w:rsidP="00614C04">
      <w:pPr>
        <w:numPr>
          <w:ilvl w:val="0"/>
          <w:numId w:val="94"/>
        </w:numPr>
        <w:tabs>
          <w:tab w:val="clear" w:pos="873"/>
          <w:tab w:val="num" w:pos="1418"/>
        </w:tabs>
        <w:spacing w:before="60"/>
        <w:ind w:left="1418" w:hanging="284"/>
        <w:jc w:val="both"/>
        <w:rPr>
          <w:rFonts w:cs="Arial"/>
          <w:sz w:val="20"/>
        </w:rPr>
      </w:pPr>
      <w:r>
        <w:rPr>
          <w:rFonts w:cs="Arial"/>
          <w:sz w:val="20"/>
        </w:rPr>
        <w:t xml:space="preserve">in any wave, </w:t>
      </w:r>
      <w:r w:rsidR="003D6D3B">
        <w:rPr>
          <w:rFonts w:cs="Arial"/>
          <w:sz w:val="20"/>
        </w:rPr>
        <w:t xml:space="preserve">around </w:t>
      </w:r>
      <w:r>
        <w:rPr>
          <w:rFonts w:cs="Arial"/>
          <w:sz w:val="20"/>
        </w:rPr>
        <w:t>half are in both chronic poverty and current poverty, the other half being only in current poverty (ie more temporary or transient poverty)</w:t>
      </w:r>
    </w:p>
    <w:p w:rsidR="007B3E55" w:rsidRDefault="007B3E55" w:rsidP="00614C04">
      <w:pPr>
        <w:numPr>
          <w:ilvl w:val="0"/>
          <w:numId w:val="94"/>
        </w:numPr>
        <w:tabs>
          <w:tab w:val="clear" w:pos="873"/>
          <w:tab w:val="num" w:pos="1418"/>
        </w:tabs>
        <w:spacing w:before="60"/>
        <w:ind w:left="1418" w:hanging="284"/>
        <w:jc w:val="both"/>
        <w:rPr>
          <w:rFonts w:cs="Arial"/>
          <w:sz w:val="20"/>
        </w:rPr>
      </w:pPr>
      <w:r>
        <w:rPr>
          <w:rFonts w:cs="Arial"/>
          <w:sz w:val="20"/>
        </w:rPr>
        <w:t>the people in this more transient group change a lot over seven waves which is why it turns out that the number in low income at least once in seven waves is more than double the number in low income at any one time (see above)</w:t>
      </w:r>
    </w:p>
    <w:p w:rsidR="007B3E55" w:rsidRDefault="007B3E55" w:rsidP="00614C04">
      <w:pPr>
        <w:numPr>
          <w:ilvl w:val="0"/>
          <w:numId w:val="94"/>
        </w:numPr>
        <w:tabs>
          <w:tab w:val="clear" w:pos="873"/>
          <w:tab w:val="num" w:pos="1418"/>
        </w:tabs>
        <w:spacing w:before="60"/>
        <w:ind w:left="1418" w:hanging="284"/>
        <w:jc w:val="both"/>
        <w:rPr>
          <w:rFonts w:cs="Arial"/>
          <w:sz w:val="20"/>
        </w:rPr>
      </w:pPr>
      <w:r>
        <w:rPr>
          <w:rFonts w:cs="Arial"/>
          <w:sz w:val="20"/>
        </w:rPr>
        <w:t>in addition to those identified as being in current poverty in a wave there is another one in five (ie 3% of the whole population</w:t>
      </w:r>
      <w:r w:rsidR="005B5FBE">
        <w:rPr>
          <w:rFonts w:cs="Arial"/>
          <w:sz w:val="20"/>
        </w:rPr>
        <w:t xml:space="preserve"> (20% of 15%)</w:t>
      </w:r>
      <w:r>
        <w:rPr>
          <w:rFonts w:cs="Arial"/>
          <w:sz w:val="20"/>
        </w:rPr>
        <w:t xml:space="preserve">) who are in chronic but not current poverty </w:t>
      </w:r>
    </w:p>
    <w:p w:rsidR="007B3E55" w:rsidRDefault="007B3E55" w:rsidP="00614C04">
      <w:pPr>
        <w:numPr>
          <w:ilvl w:val="0"/>
          <w:numId w:val="94"/>
        </w:numPr>
        <w:tabs>
          <w:tab w:val="clear" w:pos="873"/>
          <w:tab w:val="num" w:pos="1418"/>
        </w:tabs>
        <w:spacing w:before="60"/>
        <w:ind w:left="1418" w:hanging="284"/>
        <w:jc w:val="both"/>
        <w:rPr>
          <w:rFonts w:cs="Arial"/>
          <w:sz w:val="20"/>
        </w:rPr>
      </w:pPr>
      <w:r>
        <w:rPr>
          <w:rFonts w:cs="Arial"/>
          <w:sz w:val="20"/>
        </w:rPr>
        <w:t>for children, 60% of those in current poverty are also in chronic poverty, and there are another one in five in chronic but not current poverty at each wave</w:t>
      </w:r>
    </w:p>
    <w:p w:rsidR="007B3E55" w:rsidRPr="003E7029" w:rsidRDefault="007B3E55" w:rsidP="00614C04">
      <w:pPr>
        <w:numPr>
          <w:ilvl w:val="0"/>
          <w:numId w:val="94"/>
        </w:numPr>
        <w:tabs>
          <w:tab w:val="clear" w:pos="873"/>
          <w:tab w:val="num" w:pos="1418"/>
        </w:tabs>
        <w:spacing w:before="60"/>
        <w:ind w:left="1418" w:hanging="284"/>
        <w:jc w:val="both"/>
        <w:rPr>
          <w:rFonts w:cs="Arial"/>
          <w:sz w:val="20"/>
        </w:rPr>
      </w:pPr>
      <w:r>
        <w:rPr>
          <w:rFonts w:cs="Arial"/>
          <w:sz w:val="20"/>
        </w:rPr>
        <w:t xml:space="preserve">very similar findings have been produced for the </w:t>
      </w:r>
      <w:smartTag w:uri="urn:schemas-microsoft-com:office:smarttags" w:element="country-region">
        <w:r>
          <w:rPr>
            <w:rFonts w:cs="Arial"/>
            <w:sz w:val="20"/>
          </w:rPr>
          <w:t>UK</w:t>
        </w:r>
      </w:smartTag>
      <w:r>
        <w:rPr>
          <w:rFonts w:cs="Arial"/>
          <w:sz w:val="20"/>
        </w:rPr>
        <w:t xml:space="preserve"> and </w:t>
      </w:r>
      <w:smartTag w:uri="urn:schemas-microsoft-com:office:smarttags" w:element="place">
        <w:smartTag w:uri="urn:schemas-microsoft-com:office:smarttags" w:element="country-region">
          <w:r>
            <w:rPr>
              <w:rFonts w:cs="Arial"/>
              <w:sz w:val="20"/>
            </w:rPr>
            <w:t>Australia</w:t>
          </w:r>
        </w:smartTag>
      </w:smartTag>
      <w:r>
        <w:rPr>
          <w:rFonts w:cs="Arial"/>
          <w:sz w:val="20"/>
        </w:rPr>
        <w:t>.</w:t>
      </w:r>
    </w:p>
    <w:p w:rsidR="007B3E55" w:rsidRDefault="007B3E55" w:rsidP="005879A5">
      <w:pPr>
        <w:numPr>
          <w:ilvl w:val="0"/>
          <w:numId w:val="84"/>
        </w:numPr>
        <w:spacing w:before="120"/>
        <w:ind w:left="867" w:hanging="357"/>
        <w:jc w:val="both"/>
        <w:rPr>
          <w:rFonts w:cs="Arial"/>
          <w:sz w:val="20"/>
        </w:rPr>
      </w:pPr>
      <w:r w:rsidRPr="003E7029">
        <w:rPr>
          <w:rFonts w:cs="Arial"/>
          <w:sz w:val="20"/>
        </w:rPr>
        <w:t xml:space="preserve">This picture is in some ways similar to the one we have </w:t>
      </w:r>
      <w:r w:rsidR="0056726F">
        <w:rPr>
          <w:rFonts w:cs="Arial"/>
          <w:sz w:val="20"/>
        </w:rPr>
        <w:t>for the beneficiary population</w:t>
      </w:r>
      <w:r w:rsidRPr="003E7029">
        <w:rPr>
          <w:rFonts w:cs="Arial"/>
          <w:sz w:val="20"/>
        </w:rPr>
        <w:t>.  At any given time, a majority of those on benefit will have been on benefit for many years. A smaller number are new entrants or fairly temporary recipients.  Over several years the number who have been on benefit at any time is much greater than the number on benefit at a particular point in time because of the cumulative effect of these temporary recipients.</w:t>
      </w:r>
    </w:p>
    <w:p w:rsidR="007B3E55" w:rsidRPr="009A49CA" w:rsidRDefault="007B3E55" w:rsidP="007B3E55">
      <w:pPr>
        <w:spacing w:before="120"/>
        <w:jc w:val="both"/>
        <w:rPr>
          <w:rFonts w:cs="Arial"/>
          <w:color w:val="000000"/>
          <w:sz w:val="18"/>
          <w:szCs w:val="18"/>
        </w:rPr>
      </w:pPr>
    </w:p>
    <w:p w:rsidR="007B3E55" w:rsidRPr="00012001" w:rsidRDefault="007B3E55" w:rsidP="005B5FBE">
      <w:pPr>
        <w:spacing w:before="120"/>
        <w:rPr>
          <w:rFonts w:cs="Arial"/>
          <w:b/>
          <w:color w:val="000000"/>
        </w:rPr>
      </w:pPr>
      <w:r w:rsidRPr="00012001">
        <w:rPr>
          <w:rFonts w:cs="Arial"/>
          <w:b/>
          <w:color w:val="000000"/>
        </w:rPr>
        <w:t>Next update</w:t>
      </w:r>
    </w:p>
    <w:p w:rsidR="007B3E55" w:rsidRPr="00012001" w:rsidRDefault="007B3E55" w:rsidP="007B3E55">
      <w:pPr>
        <w:rPr>
          <w:rFonts w:cs="Arial"/>
          <w:b/>
          <w:color w:val="000000"/>
          <w:sz w:val="20"/>
        </w:rPr>
      </w:pPr>
    </w:p>
    <w:p w:rsidR="007B3E55" w:rsidRPr="00012001" w:rsidRDefault="007B3E55" w:rsidP="007B3E55">
      <w:pPr>
        <w:numPr>
          <w:ilvl w:val="0"/>
          <w:numId w:val="14"/>
        </w:numPr>
        <w:rPr>
          <w:rFonts w:cs="Arial"/>
          <w:color w:val="000000"/>
          <w:sz w:val="20"/>
        </w:rPr>
      </w:pPr>
      <w:r w:rsidRPr="00012001">
        <w:rPr>
          <w:rFonts w:cs="Arial"/>
          <w:color w:val="000000"/>
          <w:sz w:val="20"/>
          <w:szCs w:val="22"/>
        </w:rPr>
        <w:t>Mid 2013, using the 2011-2012 HES.</w:t>
      </w:r>
    </w:p>
    <w:p w:rsidR="007B3E55" w:rsidRDefault="007B3E55" w:rsidP="007B3E55">
      <w:pPr>
        <w:rPr>
          <w:rFonts w:cs="Arial"/>
          <w:sz w:val="20"/>
        </w:rPr>
      </w:pPr>
    </w:p>
    <w:p w:rsidR="007B3E55" w:rsidRDefault="00CC17AF" w:rsidP="00007F84">
      <w:pPr>
        <w:jc w:val="both"/>
        <w:rPr>
          <w:rFonts w:cs="Arial"/>
          <w:szCs w:val="22"/>
        </w:rPr>
        <w:sectPr w:rsidR="007B3E55" w:rsidSect="00E5533B">
          <w:headerReference w:type="default" r:id="rId24"/>
          <w:pgSz w:w="11909" w:h="16834" w:code="9"/>
          <w:pgMar w:top="1440" w:right="1474" w:bottom="1440" w:left="1474" w:header="709" w:footer="709" w:gutter="0"/>
          <w:cols w:space="720"/>
        </w:sectPr>
      </w:pPr>
      <w:r>
        <w:rPr>
          <w:rFonts w:cs="Arial"/>
          <w:szCs w:val="22"/>
        </w:rPr>
        <w:br w:type="page"/>
      </w:r>
    </w:p>
    <w:p w:rsidR="007B3E55" w:rsidRPr="000B577F" w:rsidRDefault="007B3E55" w:rsidP="007B3E55">
      <w:pPr>
        <w:jc w:val="center"/>
        <w:rPr>
          <w:rFonts w:cs="Arial"/>
          <w:b/>
          <w:color w:val="000000"/>
          <w:sz w:val="32"/>
          <w:szCs w:val="32"/>
        </w:rPr>
      </w:pPr>
      <w:r w:rsidRPr="000B577F">
        <w:rPr>
          <w:b/>
          <w:sz w:val="32"/>
          <w:szCs w:val="32"/>
        </w:rPr>
        <w:lastRenderedPageBreak/>
        <w:t>Section A</w:t>
      </w:r>
    </w:p>
    <w:p w:rsidR="007B3E55" w:rsidRPr="001F6116" w:rsidRDefault="007B3E55" w:rsidP="007B3E55">
      <w:pPr>
        <w:pStyle w:val="Heading1"/>
        <w:jc w:val="center"/>
        <w:rPr>
          <w:sz w:val="32"/>
          <w:lang w:val="en-GB"/>
        </w:rPr>
      </w:pPr>
      <w:r w:rsidRPr="001F6116">
        <w:rPr>
          <w:sz w:val="32"/>
        </w:rPr>
        <w:t>Introduction</w:t>
      </w:r>
    </w:p>
    <w:p w:rsidR="007B3E55" w:rsidRDefault="007B3E55" w:rsidP="007B3E55">
      <w:pPr>
        <w:jc w:val="both"/>
        <w:rPr>
          <w:rFonts w:cs="Arial"/>
          <w:szCs w:val="22"/>
        </w:rPr>
      </w:pPr>
    </w:p>
    <w:p w:rsidR="007B3E55" w:rsidRPr="00C0341E" w:rsidRDefault="007B3E55" w:rsidP="007B3E55">
      <w:pPr>
        <w:jc w:val="both"/>
        <w:rPr>
          <w:rFonts w:cs="Arial"/>
          <w:sz w:val="20"/>
          <w:szCs w:val="22"/>
        </w:rPr>
      </w:pPr>
      <w:r w:rsidRPr="00C0341E">
        <w:rPr>
          <w:rFonts w:cs="Arial"/>
          <w:sz w:val="20"/>
          <w:szCs w:val="22"/>
        </w:rPr>
        <w:t>This introduction outlines the core concepts and assumptions used in the report.  More detail is provided on selected issues in the Appendices as indicated.  The matters covered in this section are:</w:t>
      </w:r>
    </w:p>
    <w:p w:rsidR="007B3E55" w:rsidRPr="00C0341E" w:rsidRDefault="007B3E55" w:rsidP="007B3E55">
      <w:pPr>
        <w:numPr>
          <w:ilvl w:val="0"/>
          <w:numId w:val="6"/>
        </w:numPr>
        <w:tabs>
          <w:tab w:val="clear" w:pos="720"/>
          <w:tab w:val="num" w:pos="630"/>
        </w:tabs>
        <w:spacing w:before="120"/>
        <w:ind w:left="630" w:hanging="270"/>
        <w:jc w:val="both"/>
        <w:rPr>
          <w:rFonts w:cs="Arial"/>
          <w:sz w:val="20"/>
          <w:szCs w:val="22"/>
        </w:rPr>
      </w:pPr>
      <w:r w:rsidRPr="00C0341E">
        <w:rPr>
          <w:rFonts w:cs="Arial"/>
          <w:sz w:val="20"/>
          <w:szCs w:val="22"/>
        </w:rPr>
        <w:t xml:space="preserve">gross and disposable household income </w:t>
      </w:r>
    </w:p>
    <w:p w:rsidR="007B3E55" w:rsidRPr="00C0341E" w:rsidRDefault="007B3E55" w:rsidP="007B3E55">
      <w:pPr>
        <w:numPr>
          <w:ilvl w:val="0"/>
          <w:numId w:val="6"/>
        </w:numPr>
        <w:tabs>
          <w:tab w:val="clear" w:pos="720"/>
          <w:tab w:val="num" w:pos="630"/>
        </w:tabs>
        <w:spacing w:before="60"/>
        <w:ind w:left="630" w:hanging="270"/>
        <w:jc w:val="both"/>
        <w:rPr>
          <w:rFonts w:cs="Arial"/>
          <w:sz w:val="20"/>
          <w:szCs w:val="22"/>
        </w:rPr>
      </w:pPr>
      <w:r w:rsidRPr="00C0341E">
        <w:rPr>
          <w:rFonts w:cs="Arial"/>
          <w:sz w:val="20"/>
          <w:szCs w:val="22"/>
        </w:rPr>
        <w:t>equivalised disposable household income and (potential) living standards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equivalisation: comparing incomes across different household and family types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the income sharing unit and the unit of analysis for the presentation of results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the bottom income decile: income not a reliable indicator of economic wellbeing</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housing costs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data source: the Household Economic Survey (HES)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convention for naming HES years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HES years used in the report</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treatment of negative incomes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adjusting for inflation</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ethnicity</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household and family types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reliability of results</w:t>
      </w:r>
    </w:p>
    <w:p w:rsidR="007B3E55" w:rsidRPr="00C0341E" w:rsidRDefault="007B3E55" w:rsidP="007B3E55">
      <w:pPr>
        <w:numPr>
          <w:ilvl w:val="0"/>
          <w:numId w:val="3"/>
        </w:numPr>
        <w:tabs>
          <w:tab w:val="clear" w:pos="720"/>
          <w:tab w:val="num" w:pos="630"/>
        </w:tabs>
        <w:spacing w:before="60"/>
        <w:ind w:left="630" w:hanging="270"/>
        <w:jc w:val="both"/>
        <w:rPr>
          <w:rFonts w:cs="Arial"/>
          <w:sz w:val="20"/>
          <w:szCs w:val="22"/>
        </w:rPr>
      </w:pPr>
      <w:r w:rsidRPr="00C0341E">
        <w:rPr>
          <w:rFonts w:cs="Arial"/>
          <w:sz w:val="20"/>
          <w:szCs w:val="22"/>
        </w:rPr>
        <w:t>s</w:t>
      </w:r>
      <w:r w:rsidRPr="00C0341E">
        <w:rPr>
          <w:sz w:val="20"/>
          <w:szCs w:val="22"/>
        </w:rPr>
        <w:t>ummary of key measures used for reporting on income inequality and poverty</w:t>
      </w:r>
      <w:r w:rsidR="00EA0B96">
        <w:rPr>
          <w:sz w:val="20"/>
          <w:szCs w:val="22"/>
        </w:rPr>
        <w:t>.</w:t>
      </w:r>
    </w:p>
    <w:p w:rsidR="007B3E55" w:rsidRDefault="007B3E55" w:rsidP="007B3E55">
      <w:pPr>
        <w:spacing w:before="60"/>
        <w:ind w:left="360"/>
        <w:jc w:val="both"/>
        <w:rPr>
          <w:rFonts w:cs="Arial"/>
          <w:szCs w:val="22"/>
        </w:rPr>
      </w:pPr>
    </w:p>
    <w:p w:rsidR="007B3E55" w:rsidRPr="00FB07CC" w:rsidRDefault="007B3E55" w:rsidP="007B3E55">
      <w:pPr>
        <w:jc w:val="both"/>
        <w:rPr>
          <w:rFonts w:cs="Arial"/>
          <w:szCs w:val="22"/>
          <w:lang w:val="en-US"/>
        </w:rPr>
      </w:pPr>
    </w:p>
    <w:p w:rsidR="007B3E55" w:rsidRDefault="007B3E55" w:rsidP="007B3E55">
      <w:pPr>
        <w:jc w:val="both"/>
        <w:rPr>
          <w:rFonts w:cs="Arial"/>
          <w:b/>
          <w:szCs w:val="22"/>
        </w:rPr>
      </w:pPr>
      <w:r>
        <w:rPr>
          <w:rFonts w:cs="Arial"/>
          <w:b/>
          <w:szCs w:val="22"/>
        </w:rPr>
        <w:t>Gross and disposable household incomes</w:t>
      </w:r>
    </w:p>
    <w:p w:rsidR="007B3E55" w:rsidRDefault="007B3E55" w:rsidP="007B3E55">
      <w:pPr>
        <w:jc w:val="both"/>
        <w:rPr>
          <w:rFonts w:cs="Arial"/>
          <w:b/>
          <w:szCs w:val="22"/>
        </w:rPr>
      </w:pPr>
    </w:p>
    <w:p w:rsidR="007B3E55" w:rsidRPr="00C0341E" w:rsidRDefault="007B3E55" w:rsidP="007B3E55">
      <w:pPr>
        <w:jc w:val="both"/>
        <w:rPr>
          <w:rFonts w:cs="Arial"/>
          <w:sz w:val="20"/>
          <w:szCs w:val="22"/>
        </w:rPr>
      </w:pPr>
      <w:r w:rsidRPr="00C0341E">
        <w:rPr>
          <w:rFonts w:cs="Arial"/>
          <w:sz w:val="20"/>
          <w:szCs w:val="22"/>
        </w:rPr>
        <w:t>Gross household income is the total of all income before tax for the previous 12 months from all sources for all household members aged 15 years or over.  Gross household income is calculated directly from the income information given by respondents in the survey.</w:t>
      </w:r>
      <w:r w:rsidRPr="00C0341E">
        <w:rPr>
          <w:rStyle w:val="FootnoteReference"/>
          <w:rFonts w:cs="Arial"/>
          <w:sz w:val="20"/>
          <w:szCs w:val="22"/>
        </w:rPr>
        <w:footnoteReference w:id="8"/>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Disposable household income is the total of all after-tax income for all household members. To calculate disposable income Statistics New Zealand uses the Treasury’s tax-benefit microsimulation model (Taxwell</w:t>
      </w:r>
      <w:r w:rsidRPr="00C0341E">
        <w:rPr>
          <w:rStyle w:val="FootnoteReference"/>
          <w:rFonts w:cs="Arial"/>
          <w:sz w:val="20"/>
          <w:szCs w:val="22"/>
        </w:rPr>
        <w:footnoteReference w:id="9"/>
      </w:r>
      <w:r w:rsidRPr="00C0341E">
        <w:rPr>
          <w:rFonts w:cs="Arial"/>
          <w:sz w:val="20"/>
          <w:szCs w:val="22"/>
        </w:rPr>
        <w:t>) to estimate tax liabilities for individuals and benefit units.  The resulting personal disposable incomes are summed to give disposable household income.  Disposable household income is sometimes referred to as net income or after-tax cash income.</w:t>
      </w:r>
    </w:p>
    <w:p w:rsidR="007B3E55" w:rsidRPr="00C0341E" w:rsidRDefault="007B3E55" w:rsidP="007B3E55">
      <w:pPr>
        <w:jc w:val="both"/>
        <w:rPr>
          <w:rFonts w:cs="Arial"/>
          <w:sz w:val="20"/>
          <w:szCs w:val="22"/>
        </w:rPr>
      </w:pPr>
    </w:p>
    <w:p w:rsidR="007B3E55" w:rsidRPr="00C0341E" w:rsidRDefault="007B3E55" w:rsidP="007B3E55">
      <w:pPr>
        <w:jc w:val="both"/>
        <w:rPr>
          <w:rFonts w:cs="Arial"/>
          <w:b/>
          <w:sz w:val="20"/>
          <w:szCs w:val="22"/>
        </w:rPr>
      </w:pPr>
      <w:r w:rsidRPr="00C0341E">
        <w:rPr>
          <w:rFonts w:cs="Arial"/>
          <w:sz w:val="20"/>
          <w:szCs w:val="22"/>
        </w:rPr>
        <w:t>This report provides only limited information on gross household income and (unequivalised) disposable household income.</w:t>
      </w:r>
    </w:p>
    <w:p w:rsidR="007B3E55" w:rsidRPr="000415DF" w:rsidRDefault="007B3E55" w:rsidP="007B3E55">
      <w:pPr>
        <w:jc w:val="both"/>
        <w:rPr>
          <w:rFonts w:cs="Arial"/>
          <w:b/>
          <w:szCs w:val="22"/>
        </w:rPr>
      </w:pPr>
      <w:r w:rsidRPr="00C0341E">
        <w:rPr>
          <w:rFonts w:cs="Arial"/>
          <w:b/>
          <w:sz w:val="20"/>
          <w:szCs w:val="22"/>
        </w:rPr>
        <w:br w:type="page"/>
      </w:r>
      <w:r w:rsidRPr="000415DF">
        <w:rPr>
          <w:rFonts w:cs="Arial"/>
          <w:b/>
          <w:szCs w:val="22"/>
        </w:rPr>
        <w:lastRenderedPageBreak/>
        <w:t>Equivalised disposable household income and (potential) living standards</w:t>
      </w:r>
    </w:p>
    <w:p w:rsidR="007B3E55" w:rsidRDefault="007B3E55" w:rsidP="007B3E55">
      <w:pPr>
        <w:jc w:val="both"/>
        <w:rPr>
          <w:rFonts w:cs="Arial"/>
          <w:szCs w:val="22"/>
        </w:rPr>
      </w:pPr>
    </w:p>
    <w:p w:rsidR="007B3E55" w:rsidRPr="00C0341E" w:rsidRDefault="007B3E55" w:rsidP="007B3E55">
      <w:pPr>
        <w:jc w:val="both"/>
        <w:rPr>
          <w:rFonts w:cs="Arial"/>
          <w:sz w:val="20"/>
          <w:szCs w:val="22"/>
        </w:rPr>
      </w:pPr>
      <w:r w:rsidRPr="00C0341E">
        <w:rPr>
          <w:rFonts w:cs="Arial"/>
          <w:sz w:val="20"/>
          <w:szCs w:val="22"/>
        </w:rPr>
        <w:t xml:space="preserve">The primary income measure used in the report is disposable household income for the twelve months prior to interview, adjusted for household size and composition.  This is referred to as equivalised disposable household income and is the international standard income measure for reports of this type.  The measure is usually taken as an indicator of a household’s access to economic resources or of its consumption possibilities, and therefore as </w:t>
      </w:r>
      <w:r w:rsidRPr="00C0341E">
        <w:rPr>
          <w:rFonts w:cs="Arial"/>
          <w:i/>
          <w:sz w:val="20"/>
          <w:szCs w:val="22"/>
          <w:u w:val="single"/>
        </w:rPr>
        <w:t>a proxy measure of a household’s material wellbeing or living standards</w:t>
      </w:r>
      <w:r w:rsidRPr="00C0341E">
        <w:rPr>
          <w:rFonts w:cs="Arial"/>
          <w:sz w:val="20"/>
          <w:szCs w:val="22"/>
        </w:rPr>
        <w:t>.</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While current household income is a very significant contributor to household living standards and material wellbeing, other factors are important too.  </w:t>
      </w:r>
      <w:r>
        <w:rPr>
          <w:rFonts w:cs="Arial"/>
          <w:sz w:val="20"/>
          <w:szCs w:val="22"/>
        </w:rPr>
        <w:t>Some of these</w:t>
      </w:r>
      <w:r w:rsidRPr="00C0341E">
        <w:rPr>
          <w:rFonts w:cs="Arial"/>
          <w:sz w:val="20"/>
          <w:szCs w:val="22"/>
        </w:rPr>
        <w:t xml:space="preserve"> can be taken account </w:t>
      </w:r>
      <w:r>
        <w:rPr>
          <w:rFonts w:cs="Arial"/>
          <w:sz w:val="20"/>
          <w:szCs w:val="22"/>
        </w:rPr>
        <w:t xml:space="preserve">(eg </w:t>
      </w:r>
      <w:r w:rsidRPr="00C0341E">
        <w:rPr>
          <w:rFonts w:cs="Arial"/>
          <w:sz w:val="20"/>
          <w:szCs w:val="22"/>
        </w:rPr>
        <w:t xml:space="preserve"> household size and composition</w:t>
      </w:r>
      <w:r>
        <w:rPr>
          <w:rFonts w:cs="Arial"/>
          <w:sz w:val="20"/>
          <w:szCs w:val="22"/>
        </w:rPr>
        <w:t xml:space="preserve"> through</w:t>
      </w:r>
      <w:r w:rsidRPr="00C0341E">
        <w:rPr>
          <w:rFonts w:cs="Arial"/>
          <w:sz w:val="20"/>
          <w:szCs w:val="22"/>
        </w:rPr>
        <w:t xml:space="preserve"> </w:t>
      </w:r>
      <w:r>
        <w:rPr>
          <w:rFonts w:cs="Arial"/>
          <w:sz w:val="20"/>
          <w:szCs w:val="22"/>
        </w:rPr>
        <w:t>an</w:t>
      </w:r>
      <w:r w:rsidRPr="00C0341E">
        <w:rPr>
          <w:rFonts w:cs="Arial"/>
          <w:sz w:val="20"/>
          <w:szCs w:val="22"/>
        </w:rPr>
        <w:t xml:space="preserve"> equivalising process</w:t>
      </w:r>
      <w:r>
        <w:rPr>
          <w:rFonts w:cs="Arial"/>
          <w:sz w:val="20"/>
          <w:szCs w:val="22"/>
        </w:rPr>
        <w:t>)</w:t>
      </w:r>
      <w:r w:rsidRPr="00C0341E">
        <w:rPr>
          <w:rFonts w:cs="Arial"/>
          <w:sz w:val="20"/>
          <w:szCs w:val="22"/>
        </w:rPr>
        <w:t xml:space="preserve">, but there are others where a simple compensating adjustment between households is not feasible.  </w:t>
      </w:r>
    </w:p>
    <w:p w:rsidR="007B3E55" w:rsidRPr="00C0341E" w:rsidRDefault="007B3E55" w:rsidP="007B3E55">
      <w:pPr>
        <w:jc w:val="both"/>
        <w:rPr>
          <w:rFonts w:cs="Arial"/>
          <w:b/>
          <w:sz w:val="20"/>
          <w:szCs w:val="22"/>
        </w:rPr>
      </w:pPr>
    </w:p>
    <w:p w:rsidR="007B3E55" w:rsidRPr="00C0341E" w:rsidRDefault="007B3E55" w:rsidP="007B3E55">
      <w:pPr>
        <w:jc w:val="both"/>
        <w:rPr>
          <w:rFonts w:cs="Arial"/>
          <w:sz w:val="20"/>
          <w:szCs w:val="22"/>
        </w:rPr>
      </w:pPr>
      <w:r w:rsidRPr="00C0341E">
        <w:rPr>
          <w:rFonts w:cs="Arial"/>
          <w:b/>
          <w:sz w:val="20"/>
          <w:szCs w:val="22"/>
        </w:rPr>
        <w:t>Figure A.1</w:t>
      </w:r>
      <w:r w:rsidRPr="00C0341E">
        <w:rPr>
          <w:rFonts w:cs="Arial"/>
          <w:sz w:val="20"/>
          <w:szCs w:val="22"/>
        </w:rPr>
        <w:t xml:space="preserve"> shows at a high level the different factors that can impact on living standards.  The level and quality of financial and physical assets, assistance from support networks and government services, and special demands on the household budget can all have significant positive or negative effects on living standards, over and above the effect of current income.  As these factors fall differently across different households, households with the same or similar equivalised incomes can have different living standards.  For these reasons, current household income, even when adjusted for household size and composition, can only be a rough indicator of actual household living standards.</w:t>
      </w:r>
      <w:r w:rsidRPr="00C0341E">
        <w:rPr>
          <w:rStyle w:val="FootnoteReference"/>
          <w:rFonts w:cs="Arial"/>
          <w:sz w:val="20"/>
          <w:szCs w:val="22"/>
        </w:rPr>
        <w:t xml:space="preserve"> </w:t>
      </w:r>
      <w:r w:rsidRPr="00C0341E">
        <w:rPr>
          <w:rStyle w:val="FootnoteReference"/>
          <w:rFonts w:cs="Arial"/>
          <w:sz w:val="20"/>
          <w:szCs w:val="22"/>
        </w:rPr>
        <w:footnoteReference w:id="10"/>
      </w:r>
      <w:r w:rsidRPr="00C0341E">
        <w:rPr>
          <w:rFonts w:cs="Arial"/>
          <w:sz w:val="20"/>
          <w:szCs w:val="22"/>
        </w:rPr>
        <w:t xml:space="preserve"> </w:t>
      </w:r>
      <w:r w:rsidRPr="00C0341E">
        <w:rPr>
          <w:rStyle w:val="FootnoteReference"/>
          <w:rFonts w:cs="Arial"/>
          <w:sz w:val="20"/>
          <w:szCs w:val="22"/>
        </w:rPr>
        <w:footnoteReference w:id="11"/>
      </w:r>
    </w:p>
    <w:p w:rsidR="007B3E55" w:rsidRDefault="007B3E55" w:rsidP="007B3E55">
      <w:pPr>
        <w:jc w:val="both"/>
        <w:rPr>
          <w:rFonts w:cs="Arial"/>
          <w:szCs w:val="22"/>
        </w:rPr>
      </w:pPr>
    </w:p>
    <w:p w:rsidR="007B3E55" w:rsidRPr="00EC705D" w:rsidRDefault="007B3E55" w:rsidP="007B3E55">
      <w:pPr>
        <w:jc w:val="center"/>
        <w:rPr>
          <w:rFonts w:cs="Arial"/>
          <w:b/>
          <w:sz w:val="20"/>
        </w:rPr>
      </w:pPr>
      <w:r w:rsidRPr="00EC705D">
        <w:rPr>
          <w:rFonts w:cs="Arial"/>
          <w:b/>
          <w:sz w:val="20"/>
        </w:rPr>
        <w:t xml:space="preserve">Figure </w:t>
      </w:r>
      <w:r>
        <w:rPr>
          <w:rFonts w:cs="Arial"/>
          <w:b/>
          <w:sz w:val="20"/>
        </w:rPr>
        <w:t>A.</w:t>
      </w:r>
      <w:r w:rsidRPr="00EC705D">
        <w:rPr>
          <w:rFonts w:cs="Arial"/>
          <w:b/>
          <w:sz w:val="20"/>
        </w:rPr>
        <w:t>1</w:t>
      </w:r>
    </w:p>
    <w:p w:rsidR="007B3E55" w:rsidRPr="00EC705D" w:rsidRDefault="007B3E55" w:rsidP="007B3E55">
      <w:pPr>
        <w:spacing w:after="120"/>
        <w:jc w:val="center"/>
        <w:rPr>
          <w:rFonts w:cs="Arial"/>
          <w:b/>
          <w:sz w:val="20"/>
        </w:rPr>
      </w:pPr>
      <w:r>
        <w:rPr>
          <w:rFonts w:cs="Arial"/>
          <w:b/>
          <w:sz w:val="20"/>
        </w:rPr>
        <w:t>Same current income – different living standards (material wellbeing)</w:t>
      </w:r>
    </w:p>
    <w:p w:rsidR="007B3E55" w:rsidRPr="00DD40EB" w:rsidRDefault="007B3E55" w:rsidP="007B3E55">
      <w:pPr>
        <w:jc w:val="both"/>
        <w:rPr>
          <w:rFonts w:cs="Arial"/>
          <w:szCs w:val="22"/>
        </w:rPr>
      </w:pPr>
      <w:r w:rsidRPr="00DD40EB">
        <w:rPr>
          <w:rFonts w:cs="Arial"/>
          <w:noProof/>
          <w:szCs w:val="22"/>
          <w:lang w:val="en-US"/>
        </w:rPr>
        <w:pict>
          <v:shape id="_x0000_s1190" type="#_x0000_t202" style="position:absolute;left:0;text-align:left;margin-left:208.15pt;margin-top:8.65pt;width:75.8pt;height:35.65pt;z-index:251639296">
            <v:textbox style="mso-next-textbox:#_x0000_s1190">
              <w:txbxContent>
                <w:p w:rsidR="00DE4A2A" w:rsidRPr="00DD40EB" w:rsidRDefault="00DE4A2A" w:rsidP="007B3E55">
                  <w:pPr>
                    <w:spacing w:before="60"/>
                    <w:jc w:val="center"/>
                    <w:rPr>
                      <w:rFonts w:cs="Arial"/>
                      <w:sz w:val="16"/>
                      <w:szCs w:val="16"/>
                    </w:rPr>
                  </w:pPr>
                  <w:r w:rsidRPr="00DD40EB">
                    <w:rPr>
                      <w:rFonts w:cs="Arial"/>
                      <w:sz w:val="18"/>
                      <w:szCs w:val="18"/>
                    </w:rPr>
                    <w:t>Govt services and subsidies</w:t>
                  </w:r>
                </w:p>
              </w:txbxContent>
            </v:textbox>
            <w10:wrap side="left"/>
          </v:shape>
        </w:pict>
      </w:r>
      <w:r w:rsidRPr="00DD40EB">
        <w:rPr>
          <w:rFonts w:cs="Arial"/>
          <w:noProof/>
          <w:szCs w:val="22"/>
          <w:lang w:val="en-US"/>
        </w:rPr>
        <w:pict>
          <v:shape id="_x0000_s1177" type="#_x0000_t202" style="position:absolute;left:0;text-align:left;margin-left:315.4pt;margin-top:5.65pt;width:92.3pt;height:38.65pt;z-index:251625984">
            <v:textbox style="mso-next-textbox:#_x0000_s1177">
              <w:txbxContent>
                <w:p w:rsidR="00DE4A2A" w:rsidRPr="00DD40EB" w:rsidRDefault="00DE4A2A" w:rsidP="007B3E55">
                  <w:pPr>
                    <w:jc w:val="center"/>
                    <w:rPr>
                      <w:rFonts w:cs="Arial"/>
                      <w:sz w:val="16"/>
                      <w:szCs w:val="16"/>
                    </w:rPr>
                  </w:pPr>
                  <w:r w:rsidRPr="00DD40EB">
                    <w:rPr>
                      <w:rFonts w:cs="Arial"/>
                      <w:sz w:val="18"/>
                      <w:szCs w:val="18"/>
                    </w:rPr>
                    <w:t>Budgeting knowledge, skills and commitment</w:t>
                  </w:r>
                </w:p>
                <w:p w:rsidR="00DE4A2A" w:rsidRPr="00475252" w:rsidRDefault="00DE4A2A" w:rsidP="007B3E55">
                  <w:pPr>
                    <w:rPr>
                      <w:szCs w:val="16"/>
                    </w:rPr>
                  </w:pPr>
                </w:p>
              </w:txbxContent>
            </v:textbox>
            <w10:wrap side="left"/>
          </v:shape>
        </w:pict>
      </w:r>
      <w:r w:rsidRPr="00DD40EB">
        <w:rPr>
          <w:rFonts w:cs="Arial"/>
          <w:noProof/>
          <w:szCs w:val="22"/>
          <w:lang w:val="en-US"/>
        </w:rPr>
        <w:pict>
          <v:shape id="_x0000_s1176" type="#_x0000_t202" style="position:absolute;left:0;text-align:left;margin-left:36.3pt;margin-top:5.4pt;width:108pt;height:52.8pt;z-index:251624960" fillcolor="#ddd">
            <v:textbox style="mso-next-textbox:#_x0000_s1176">
              <w:txbxContent>
                <w:p w:rsidR="00DE4A2A" w:rsidRPr="00DD40EB" w:rsidRDefault="00DE4A2A" w:rsidP="007B3E55">
                  <w:pPr>
                    <w:spacing w:before="20"/>
                    <w:jc w:val="center"/>
                    <w:rPr>
                      <w:rFonts w:cs="Arial"/>
                      <w:b/>
                      <w:sz w:val="20"/>
                    </w:rPr>
                  </w:pPr>
                  <w:r w:rsidRPr="00DD40EB">
                    <w:rPr>
                      <w:rFonts w:cs="Arial"/>
                      <w:b/>
                      <w:sz w:val="20"/>
                    </w:rPr>
                    <w:t>Current HH income</w:t>
                  </w:r>
                </w:p>
                <w:p w:rsidR="00DE4A2A" w:rsidRPr="00DD40EB" w:rsidRDefault="00DE4A2A" w:rsidP="007B3E55">
                  <w:pPr>
                    <w:jc w:val="center"/>
                    <w:rPr>
                      <w:rFonts w:cs="Arial"/>
                      <w:b/>
                      <w:sz w:val="16"/>
                      <w:szCs w:val="16"/>
                    </w:rPr>
                  </w:pPr>
                  <w:r w:rsidRPr="00DD40EB">
                    <w:rPr>
                      <w:rFonts w:cs="Arial"/>
                      <w:b/>
                      <w:sz w:val="16"/>
                      <w:szCs w:val="16"/>
                    </w:rPr>
                    <w:t>(last 12 months)</w:t>
                  </w:r>
                </w:p>
                <w:p w:rsidR="00DE4A2A" w:rsidRPr="00DD40EB" w:rsidRDefault="00DE4A2A" w:rsidP="007B3E55">
                  <w:pPr>
                    <w:spacing w:before="60"/>
                    <w:jc w:val="center"/>
                    <w:rPr>
                      <w:rFonts w:cs="Arial"/>
                      <w:sz w:val="16"/>
                      <w:szCs w:val="16"/>
                    </w:rPr>
                  </w:pPr>
                  <w:r w:rsidRPr="00DD40EB">
                    <w:rPr>
                      <w:rFonts w:cs="Arial"/>
                      <w:sz w:val="16"/>
                      <w:szCs w:val="16"/>
                    </w:rPr>
                    <w:t>- adjusted for HH size and</w:t>
                  </w:r>
                  <w:r w:rsidRPr="00DD40EB">
                    <w:rPr>
                      <w:rFonts w:cs="Arial"/>
                      <w:b/>
                      <w:sz w:val="16"/>
                      <w:szCs w:val="16"/>
                    </w:rPr>
                    <w:t xml:space="preserve"> </w:t>
                  </w:r>
                  <w:r w:rsidRPr="00DD40EB">
                    <w:rPr>
                      <w:rFonts w:cs="Arial"/>
                      <w:sz w:val="16"/>
                      <w:szCs w:val="16"/>
                    </w:rPr>
                    <w:t>composition</w:t>
                  </w:r>
                </w:p>
              </w:txbxContent>
            </v:textbox>
            <w10:wrap side="left"/>
          </v:shape>
        </w:pict>
      </w:r>
      <w:r w:rsidRPr="00DD40EB">
        <w:rPr>
          <w:rFonts w:cs="Arial"/>
          <w:noProof/>
          <w:szCs w:val="22"/>
          <w:lang w:val="en-US"/>
        </w:rPr>
        <w:pict>
          <v:shape id="_x0000_s1173" type="#_x0000_t202" style="position:absolute;left:0;text-align:left;margin-left:143.95pt;margin-top:11.55pt;width:20.1pt;height:19.25pt;z-index:251621888" stroked="f">
            <v:textbox style="mso-next-textbox:#_x0000_s1173">
              <w:txbxContent>
                <w:p w:rsidR="00DE4A2A" w:rsidRPr="006E08FD" w:rsidRDefault="00DE4A2A" w:rsidP="007B3E55">
                  <w:r>
                    <w:t>+</w:t>
                  </w:r>
                </w:p>
              </w:txbxContent>
            </v:textbox>
            <w10:wrap side="left"/>
          </v:shape>
        </w:pict>
      </w:r>
    </w:p>
    <w:p w:rsidR="007B3E55" w:rsidRPr="00DD40EB" w:rsidRDefault="007B3E55" w:rsidP="007B3E55">
      <w:pPr>
        <w:jc w:val="both"/>
        <w:rPr>
          <w:rFonts w:cs="Arial"/>
          <w:szCs w:val="22"/>
        </w:rPr>
      </w:pPr>
    </w:p>
    <w:p w:rsidR="007B3E55" w:rsidRPr="00DD40EB" w:rsidRDefault="007B3E55" w:rsidP="007B3E55">
      <w:pPr>
        <w:jc w:val="both"/>
        <w:rPr>
          <w:rFonts w:cs="Arial"/>
          <w:szCs w:val="22"/>
        </w:rPr>
      </w:pPr>
      <w:r w:rsidRPr="00DD40EB">
        <w:rPr>
          <w:rFonts w:cs="Arial"/>
          <w:noProof/>
          <w:szCs w:val="22"/>
          <w:lang w:val="en-US"/>
        </w:rPr>
        <w:pict>
          <v:line id="_x0000_s1182" style="position:absolute;left:0;text-align:left;z-index:251631104" from="151.25pt,3.7pt" to="250.85pt,53.1pt" strokeweight="1.5pt">
            <v:stroke endarrow="block"/>
            <w10:wrap side="left"/>
          </v:line>
        </w:pict>
      </w:r>
    </w:p>
    <w:p w:rsidR="007B3E55" w:rsidRPr="00DD40EB" w:rsidRDefault="007B3E55" w:rsidP="007B3E55">
      <w:pPr>
        <w:jc w:val="both"/>
        <w:rPr>
          <w:rFonts w:cs="Arial"/>
          <w:szCs w:val="22"/>
        </w:rPr>
      </w:pPr>
      <w:r w:rsidRPr="00DD40EB">
        <w:rPr>
          <w:rFonts w:cs="Arial"/>
          <w:noProof/>
          <w:szCs w:val="22"/>
          <w:lang w:val="en-US"/>
        </w:rPr>
        <w:pict>
          <v:shape id="_x0000_s1192" type="#_x0000_t202" style="position:absolute;left:0;text-align:left;margin-left:243.05pt;margin-top:6.85pt;width:19.35pt;height:17.75pt;z-index:251641344" stroked="f">
            <v:textbox style="mso-next-textbox:#_x0000_s1192">
              <w:txbxContent>
                <w:p w:rsidR="00DE4A2A" w:rsidRPr="006E08FD" w:rsidRDefault="00DE4A2A" w:rsidP="007B3E55">
                  <w:r>
                    <w:t>+</w:t>
                  </w:r>
                </w:p>
              </w:txbxContent>
            </v:textbox>
            <w10:wrap side="left"/>
          </v:shape>
        </w:pict>
      </w:r>
      <w:r w:rsidRPr="00DD40EB">
        <w:rPr>
          <w:rFonts w:cs="Arial"/>
          <w:noProof/>
          <w:szCs w:val="22"/>
          <w:lang w:val="en-US"/>
        </w:rPr>
        <w:pict>
          <v:line id="_x0000_s1191" style="position:absolute;left:0;text-align:left;z-index:251640320" from="266pt,10.55pt" to="284.65pt,36.5pt" strokeweight="1.5pt">
            <v:stroke endarrow="block"/>
            <w10:wrap side="left"/>
          </v:line>
        </w:pict>
      </w:r>
      <w:r w:rsidRPr="00DD40EB">
        <w:rPr>
          <w:rFonts w:cs="Arial"/>
          <w:noProof/>
          <w:szCs w:val="22"/>
          <w:lang w:val="en-US"/>
        </w:rPr>
        <w:pict>
          <v:shape id="_x0000_s1188" style="position:absolute;left:0;text-align:left;margin-left:168.3pt;margin-top:.15pt;width:30.1pt;height:29.3pt;z-index:251637248" coordsize="552,469" path="m,c138,78,276,157,368,235v92,78,156,195,184,234e" filled="f">
            <v:stroke dashstyle="dash" endarrow="block"/>
            <v:path arrowok="t"/>
            <w10:wrap side="left"/>
          </v:shape>
        </w:pict>
      </w:r>
      <w:r w:rsidRPr="00DD40EB">
        <w:rPr>
          <w:rFonts w:cs="Arial"/>
          <w:noProof/>
          <w:szCs w:val="22"/>
          <w:lang w:val="en-US"/>
        </w:rPr>
        <w:pict>
          <v:shape id="_x0000_s1172" type="#_x0000_t202" style="position:absolute;left:0;text-align:left;margin-left:339.3pt;margin-top:5.45pt;width:20.1pt;height:19.25pt;z-index:251620864" stroked="f">
            <v:textbox style="mso-next-textbox:#_x0000_s1172">
              <w:txbxContent>
                <w:p w:rsidR="00DE4A2A" w:rsidRPr="006E08FD" w:rsidRDefault="00DE4A2A" w:rsidP="007B3E55">
                  <w:r>
                    <w:t>+</w:t>
                  </w:r>
                </w:p>
              </w:txbxContent>
            </v:textbox>
            <w10:wrap side="left"/>
          </v:shape>
        </w:pict>
      </w:r>
      <w:r w:rsidRPr="00DD40EB">
        <w:rPr>
          <w:rFonts w:cs="Arial"/>
          <w:noProof/>
          <w:szCs w:val="22"/>
          <w:lang w:val="en-US"/>
        </w:rPr>
        <w:pict>
          <v:line id="_x0000_s1184" style="position:absolute;left:0;text-align:left;flip:x;z-index:251633152" from="313.15pt,10.55pt" to="343.25pt,36.5pt" strokeweight="1.5pt">
            <v:stroke endarrow="block"/>
            <w10:wrap side="left"/>
          </v:line>
        </w:pict>
      </w:r>
    </w:p>
    <w:p w:rsidR="007B3E55" w:rsidRPr="00DD40EB" w:rsidRDefault="007B3E55" w:rsidP="007B3E55">
      <w:pPr>
        <w:jc w:val="both"/>
        <w:rPr>
          <w:rFonts w:cs="Arial"/>
          <w:szCs w:val="22"/>
        </w:rPr>
      </w:pPr>
      <w:r w:rsidRPr="00DD40EB">
        <w:rPr>
          <w:rFonts w:cs="Arial"/>
          <w:noProof/>
          <w:szCs w:val="22"/>
          <w:lang w:val="en-US"/>
        </w:rPr>
        <w:pict>
          <v:oval id="_x0000_s1185" style="position:absolute;left:0;text-align:left;margin-left:154.8pt;margin-top:7pt;width:68.7pt;height:90.4pt;z-index:251634176" filled="f">
            <w10:wrap side="left"/>
          </v:oval>
        </w:pict>
      </w:r>
    </w:p>
    <w:p w:rsidR="007B3E55" w:rsidRPr="00DD40EB" w:rsidRDefault="007B3E55" w:rsidP="007B3E55">
      <w:pPr>
        <w:jc w:val="both"/>
        <w:rPr>
          <w:rFonts w:cs="Arial"/>
          <w:szCs w:val="22"/>
        </w:rPr>
      </w:pPr>
    </w:p>
    <w:p w:rsidR="007B3E55" w:rsidRPr="00DD40EB" w:rsidRDefault="007B3E55" w:rsidP="007B3E55">
      <w:pPr>
        <w:jc w:val="both"/>
        <w:rPr>
          <w:rFonts w:cs="Arial"/>
          <w:szCs w:val="22"/>
        </w:rPr>
      </w:pPr>
      <w:r w:rsidRPr="00DD40EB">
        <w:rPr>
          <w:rFonts w:cs="Arial"/>
          <w:noProof/>
          <w:szCs w:val="22"/>
          <w:lang w:val="en-US"/>
        </w:rPr>
        <w:pict>
          <v:shape id="_x0000_s1174" type="#_x0000_t202" style="position:absolute;left:0;text-align:left;margin-left:264.6pt;margin-top:5.8pt;width:129.95pt;height:42.75pt;z-index:251622912" fillcolor="#ddd">
            <v:textbox style="mso-next-textbox:#_x0000_s1174">
              <w:txbxContent>
                <w:p w:rsidR="00DE4A2A" w:rsidRPr="00DD40EB" w:rsidRDefault="00DE4A2A" w:rsidP="007B3E55">
                  <w:pPr>
                    <w:spacing w:before="60"/>
                    <w:jc w:val="center"/>
                    <w:rPr>
                      <w:rFonts w:cs="Arial"/>
                      <w:b/>
                    </w:rPr>
                  </w:pPr>
                  <w:r w:rsidRPr="00DD40EB">
                    <w:rPr>
                      <w:rFonts w:cs="Arial"/>
                      <w:b/>
                    </w:rPr>
                    <w:t>Living standards</w:t>
                  </w:r>
                </w:p>
                <w:p w:rsidR="00DE4A2A" w:rsidRPr="00DD40EB" w:rsidRDefault="00DE4A2A" w:rsidP="007B3E55">
                  <w:pPr>
                    <w:spacing w:before="20"/>
                    <w:jc w:val="center"/>
                    <w:rPr>
                      <w:rFonts w:cs="Arial"/>
                      <w:sz w:val="18"/>
                      <w:szCs w:val="18"/>
                    </w:rPr>
                  </w:pPr>
                  <w:r w:rsidRPr="00DD40EB">
                    <w:rPr>
                      <w:rFonts w:cs="Arial"/>
                      <w:sz w:val="18"/>
                      <w:szCs w:val="18"/>
                    </w:rPr>
                    <w:t>(material wellbeing)</w:t>
                  </w:r>
                </w:p>
              </w:txbxContent>
            </v:textbox>
            <w10:wrap side="left"/>
          </v:shape>
        </w:pict>
      </w:r>
      <w:r w:rsidRPr="00DD40EB">
        <w:rPr>
          <w:rFonts w:cs="Arial"/>
          <w:noProof/>
          <w:szCs w:val="22"/>
          <w:lang w:val="en-US"/>
        </w:rPr>
        <w:pict>
          <v:shape id="_x0000_s1171" type="#_x0000_t202" style="position:absolute;left:0;text-align:left;margin-left:96.8pt;margin-top:6.2pt;width:20.1pt;height:19.25pt;z-index:251619840" stroked="f">
            <v:textbox style="mso-next-textbox:#_x0000_s1171">
              <w:txbxContent>
                <w:p w:rsidR="00DE4A2A" w:rsidRPr="006E08FD" w:rsidRDefault="00DE4A2A" w:rsidP="007B3E55">
                  <w:r>
                    <w:t>+</w:t>
                  </w:r>
                </w:p>
              </w:txbxContent>
            </v:textbox>
            <w10:wrap side="left"/>
          </v:shape>
        </w:pict>
      </w:r>
      <w:r w:rsidRPr="00DD40EB">
        <w:rPr>
          <w:rFonts w:cs="Arial"/>
          <w:noProof/>
          <w:szCs w:val="22"/>
          <w:lang w:val="en-US"/>
        </w:rPr>
        <w:pict>
          <v:shape id="_x0000_s1186" type="#_x0000_t202" style="position:absolute;left:0;text-align:left;margin-left:162.25pt;margin-top:4.05pt;width:55.3pt;height:44.55pt;z-index:251635200" filled="f" stroked="f">
            <v:textbox style="mso-next-textbox:#_x0000_s1186">
              <w:txbxContent>
                <w:p w:rsidR="00DE4A2A" w:rsidRPr="00DD40EB" w:rsidRDefault="00DE4A2A" w:rsidP="007B3E55">
                  <w:pPr>
                    <w:jc w:val="center"/>
                    <w:rPr>
                      <w:rFonts w:cs="Arial"/>
                      <w:sz w:val="16"/>
                      <w:szCs w:val="16"/>
                    </w:rPr>
                  </w:pPr>
                  <w:r w:rsidRPr="00DD40EB">
                    <w:rPr>
                      <w:rFonts w:cs="Arial"/>
                      <w:sz w:val="16"/>
                      <w:szCs w:val="16"/>
                    </w:rPr>
                    <w:t>Financial</w:t>
                  </w:r>
                </w:p>
                <w:p w:rsidR="00DE4A2A" w:rsidRPr="00DD40EB" w:rsidRDefault="00DE4A2A" w:rsidP="007B3E55">
                  <w:pPr>
                    <w:jc w:val="center"/>
                    <w:rPr>
                      <w:rFonts w:cs="Arial"/>
                      <w:sz w:val="16"/>
                      <w:szCs w:val="16"/>
                    </w:rPr>
                  </w:pPr>
                  <w:r w:rsidRPr="00DD40EB">
                    <w:rPr>
                      <w:rFonts w:cs="Arial"/>
                      <w:sz w:val="16"/>
                      <w:szCs w:val="16"/>
                    </w:rPr>
                    <w:t>and</w:t>
                  </w:r>
                </w:p>
                <w:p w:rsidR="00DE4A2A" w:rsidRPr="00DD40EB" w:rsidRDefault="00DE4A2A" w:rsidP="007B3E55">
                  <w:pPr>
                    <w:jc w:val="center"/>
                    <w:rPr>
                      <w:rFonts w:cs="Arial"/>
                      <w:sz w:val="16"/>
                      <w:szCs w:val="16"/>
                    </w:rPr>
                  </w:pPr>
                  <w:r w:rsidRPr="00DD40EB">
                    <w:rPr>
                      <w:rFonts w:cs="Arial"/>
                      <w:sz w:val="16"/>
                      <w:szCs w:val="16"/>
                    </w:rPr>
                    <w:t>physical</w:t>
                  </w:r>
                </w:p>
                <w:p w:rsidR="00DE4A2A" w:rsidRPr="00DD40EB" w:rsidRDefault="00DE4A2A" w:rsidP="007B3E55">
                  <w:pPr>
                    <w:jc w:val="center"/>
                    <w:rPr>
                      <w:rFonts w:cs="Arial"/>
                      <w:sz w:val="16"/>
                      <w:szCs w:val="16"/>
                    </w:rPr>
                  </w:pPr>
                  <w:r w:rsidRPr="00DD40EB">
                    <w:rPr>
                      <w:rFonts w:cs="Arial"/>
                      <w:sz w:val="16"/>
                      <w:szCs w:val="16"/>
                    </w:rPr>
                    <w:t>assets</w:t>
                  </w:r>
                </w:p>
              </w:txbxContent>
            </v:textbox>
            <w10:wrap side="left"/>
          </v:shape>
        </w:pict>
      </w:r>
      <w:r w:rsidRPr="00DD40EB">
        <w:rPr>
          <w:rFonts w:cs="Arial"/>
          <w:noProof/>
          <w:szCs w:val="22"/>
          <w:lang w:val="en-US"/>
        </w:rPr>
        <w:pict>
          <v:shape id="_x0000_s1175" type="#_x0000_t202" style="position:absolute;left:0;text-align:left;margin-left:18.45pt;margin-top:4.05pt;width:79.5pt;height:44.35pt;z-index:251623936">
            <v:textbox style="mso-next-textbox:#_x0000_s1175">
              <w:txbxContent>
                <w:p w:rsidR="00DE4A2A" w:rsidRPr="00DD40EB" w:rsidRDefault="00DE4A2A" w:rsidP="007B3E55">
                  <w:pPr>
                    <w:spacing w:before="60"/>
                    <w:jc w:val="center"/>
                    <w:rPr>
                      <w:rFonts w:cs="Arial"/>
                      <w:sz w:val="18"/>
                      <w:szCs w:val="18"/>
                    </w:rPr>
                  </w:pPr>
                  <w:r w:rsidRPr="00DD40EB">
                    <w:rPr>
                      <w:rFonts w:cs="Arial"/>
                      <w:sz w:val="18"/>
                      <w:szCs w:val="18"/>
                    </w:rPr>
                    <w:t>Income, gifts, etc received in earlier years</w:t>
                  </w:r>
                </w:p>
                <w:p w:rsidR="00DE4A2A" w:rsidRPr="000F57AE" w:rsidRDefault="00DE4A2A" w:rsidP="007B3E55">
                  <w:pPr>
                    <w:rPr>
                      <w:sz w:val="16"/>
                      <w:szCs w:val="16"/>
                    </w:rPr>
                  </w:pPr>
                </w:p>
              </w:txbxContent>
            </v:textbox>
            <w10:wrap side="left"/>
          </v:shape>
        </w:pict>
      </w:r>
    </w:p>
    <w:p w:rsidR="007B3E55" w:rsidRPr="00DD40EB" w:rsidRDefault="007B3E55" w:rsidP="007B3E55">
      <w:pPr>
        <w:jc w:val="both"/>
        <w:rPr>
          <w:rFonts w:cs="Arial"/>
          <w:szCs w:val="22"/>
        </w:rPr>
      </w:pPr>
    </w:p>
    <w:p w:rsidR="007B3E55" w:rsidRPr="00DD40EB" w:rsidRDefault="007B3E55" w:rsidP="007B3E55">
      <w:pPr>
        <w:jc w:val="both"/>
        <w:rPr>
          <w:rFonts w:cs="Arial"/>
          <w:szCs w:val="22"/>
        </w:rPr>
      </w:pPr>
      <w:r w:rsidRPr="00DD40EB">
        <w:rPr>
          <w:rFonts w:cs="Arial"/>
          <w:noProof/>
          <w:szCs w:val="22"/>
          <w:lang w:val="en-US"/>
        </w:rPr>
        <w:pict>
          <v:line id="_x0000_s1180" style="position:absolute;left:0;text-align:left;z-index:251629056" from="106.35pt,.5pt" to="164.95pt,1.35pt" strokeweight="1pt">
            <v:stroke dashstyle="dash" endarrow="block"/>
            <w10:wrap side="left"/>
          </v:line>
        </w:pict>
      </w:r>
      <w:r w:rsidRPr="00DD40EB">
        <w:rPr>
          <w:rFonts w:cs="Arial"/>
          <w:noProof/>
          <w:szCs w:val="22"/>
          <w:lang w:val="en-US"/>
        </w:rPr>
        <w:pict>
          <v:line id="_x0000_s1187" style="position:absolute;left:0;text-align:left;z-index:251636224" from="219.6pt,1.6pt" to="258.95pt,2.45pt" strokeweight="1.5pt">
            <v:stroke endarrow="block"/>
            <w10:wrap side="left"/>
          </v:line>
        </w:pict>
      </w:r>
    </w:p>
    <w:p w:rsidR="007B3E55" w:rsidRPr="00DD40EB" w:rsidRDefault="007B3E55" w:rsidP="007B3E55">
      <w:pPr>
        <w:jc w:val="both"/>
        <w:rPr>
          <w:rFonts w:cs="Arial"/>
          <w:szCs w:val="22"/>
        </w:rPr>
      </w:pPr>
      <w:r w:rsidRPr="00DD40EB">
        <w:rPr>
          <w:rFonts w:cs="Arial"/>
          <w:noProof/>
          <w:szCs w:val="22"/>
          <w:lang w:val="en-US"/>
        </w:rPr>
        <w:pict>
          <v:line id="_x0000_s1181" style="position:absolute;left:0;text-align:left;flip:y;z-index:251630080" from="163.5pt,8.15pt" to="250.6pt,65.1pt" strokeweight="1.5pt">
            <v:stroke endarrow="block"/>
            <w10:wrap side="left"/>
          </v:line>
        </w:pict>
      </w:r>
    </w:p>
    <w:p w:rsidR="007B3E55" w:rsidRPr="00DD40EB" w:rsidRDefault="007B3E55" w:rsidP="007B3E55">
      <w:pPr>
        <w:jc w:val="both"/>
        <w:rPr>
          <w:rFonts w:cs="Arial"/>
          <w:szCs w:val="22"/>
        </w:rPr>
      </w:pPr>
      <w:r>
        <w:rPr>
          <w:rFonts w:cs="Arial"/>
          <w:noProof/>
          <w:szCs w:val="22"/>
          <w:lang w:val="en-US"/>
        </w:rPr>
        <w:pict>
          <v:line id="_x0000_s1194" style="position:absolute;left:0;text-align:left;flip:y;z-index:251643392" from="231.5pt,11.15pt" to="262.15pt,54.2pt" strokeweight="1.5pt">
            <v:stroke endarrow="block"/>
            <w10:wrap side="left"/>
          </v:line>
        </w:pict>
      </w:r>
      <w:r w:rsidRPr="00DD40EB">
        <w:rPr>
          <w:rFonts w:cs="Arial"/>
          <w:noProof/>
          <w:szCs w:val="22"/>
          <w:lang w:val="en-US"/>
        </w:rPr>
        <w:pict>
          <v:line id="_x0000_s1183" style="position:absolute;left:0;text-align:left;flip:x y;z-index:251632128" from="317.65pt,1.65pt" to="335.5pt,21.1pt" strokeweight="1.5pt">
            <v:stroke endarrow="block"/>
            <w10:wrap side="left"/>
          </v:line>
        </w:pict>
      </w:r>
      <w:r w:rsidRPr="00DD40EB">
        <w:rPr>
          <w:rFonts w:cs="Arial"/>
          <w:noProof/>
          <w:szCs w:val="22"/>
          <w:lang w:val="en-US"/>
        </w:rPr>
        <w:pict>
          <v:shape id="_x0000_s1169" type="#_x0000_t202" style="position:absolute;left:0;text-align:left;margin-left:336.85pt;margin-top:5.4pt;width:20.1pt;height:19.25pt;z-index:251617792" stroked="f">
            <v:textbox style="mso-next-textbox:#_x0000_s1169">
              <w:txbxContent>
                <w:p w:rsidR="00DE4A2A" w:rsidRPr="006E08FD" w:rsidRDefault="00DE4A2A" w:rsidP="007B3E55">
                  <w:r>
                    <w:rPr>
                      <w:rFonts w:cs="Arial"/>
                    </w:rPr>
                    <w:t>–</w:t>
                  </w:r>
                </w:p>
              </w:txbxContent>
            </v:textbox>
            <w10:wrap side="left"/>
          </v:shape>
        </w:pict>
      </w:r>
    </w:p>
    <w:p w:rsidR="007B3E55" w:rsidRPr="00DD40EB" w:rsidRDefault="007B3E55" w:rsidP="007B3E55">
      <w:pPr>
        <w:jc w:val="both"/>
        <w:rPr>
          <w:rFonts w:cs="Arial"/>
          <w:szCs w:val="22"/>
        </w:rPr>
      </w:pPr>
      <w:r w:rsidRPr="00DD40EB">
        <w:rPr>
          <w:rFonts w:cs="Arial"/>
          <w:noProof/>
          <w:szCs w:val="22"/>
          <w:lang w:val="en-US"/>
        </w:rPr>
        <w:pict>
          <v:shape id="_x0000_s1178" type="#_x0000_t202" style="position:absolute;left:0;text-align:left;margin-left:18.45pt;margin-top:11.7pt;width:137.3pt;height:61.2pt;z-index:251627008">
            <v:textbox style="mso-next-textbox:#_x0000_s1178">
              <w:txbxContent>
                <w:p w:rsidR="00DE4A2A" w:rsidRPr="00DD40EB" w:rsidRDefault="00DE4A2A" w:rsidP="007B3E55">
                  <w:pPr>
                    <w:spacing w:after="60"/>
                    <w:rPr>
                      <w:rFonts w:cs="Arial"/>
                      <w:sz w:val="18"/>
                      <w:szCs w:val="18"/>
                    </w:rPr>
                  </w:pPr>
                  <w:r w:rsidRPr="00DD40EB">
                    <w:rPr>
                      <w:rFonts w:cs="Arial"/>
                      <w:sz w:val="18"/>
                      <w:szCs w:val="18"/>
                    </w:rPr>
                    <w:t>Contributions to assets and current budget not picked up by ‘income’</w:t>
                  </w:r>
                </w:p>
                <w:p w:rsidR="00DE4A2A" w:rsidRPr="00DD40EB" w:rsidRDefault="00DE4A2A" w:rsidP="007B3E55">
                  <w:pPr>
                    <w:tabs>
                      <w:tab w:val="left" w:pos="360"/>
                    </w:tabs>
                    <w:ind w:left="360" w:hanging="360"/>
                    <w:rPr>
                      <w:rFonts w:cs="Arial"/>
                      <w:sz w:val="16"/>
                      <w:szCs w:val="16"/>
                    </w:rPr>
                  </w:pPr>
                  <w:r w:rsidRPr="00DD40EB">
                    <w:rPr>
                      <w:rFonts w:cs="Arial"/>
                      <w:sz w:val="16"/>
                      <w:szCs w:val="16"/>
                    </w:rPr>
                    <w:t>eg</w:t>
                  </w:r>
                  <w:r w:rsidRPr="00DD40EB">
                    <w:rPr>
                      <w:rFonts w:cs="Arial"/>
                      <w:sz w:val="16"/>
                      <w:szCs w:val="16"/>
                    </w:rPr>
                    <w:tab/>
                    <w:t>- HH production</w:t>
                  </w:r>
                </w:p>
                <w:p w:rsidR="00DE4A2A" w:rsidRPr="00DD40EB" w:rsidRDefault="00DE4A2A" w:rsidP="007B3E55">
                  <w:pPr>
                    <w:tabs>
                      <w:tab w:val="left" w:pos="360"/>
                    </w:tabs>
                    <w:ind w:left="360" w:hanging="360"/>
                    <w:rPr>
                      <w:rFonts w:cs="Arial"/>
                      <w:sz w:val="16"/>
                      <w:szCs w:val="16"/>
                    </w:rPr>
                  </w:pPr>
                  <w:r w:rsidRPr="00DD40EB">
                    <w:rPr>
                      <w:rFonts w:cs="Arial"/>
                      <w:sz w:val="16"/>
                      <w:szCs w:val="16"/>
                    </w:rPr>
                    <w:tab/>
                    <w:t>- help from outside the HH</w:t>
                  </w:r>
                </w:p>
              </w:txbxContent>
            </v:textbox>
            <w10:wrap side="left"/>
          </v:shape>
        </w:pict>
      </w:r>
      <w:r w:rsidRPr="00DD40EB">
        <w:rPr>
          <w:rFonts w:cs="Arial"/>
          <w:noProof/>
          <w:szCs w:val="22"/>
          <w:lang w:val="en-US"/>
        </w:rPr>
        <w:pict>
          <v:shape id="_x0000_s1189" style="position:absolute;left:0;text-align:left;margin-left:176.65pt;margin-top:-.3pt;width:20.95pt;height:30.15pt;z-index:251638272" coordsize="419,603" path="m,603c107,511,215,419,285,319,355,219,400,53,419,e" filled="f">
            <v:stroke dashstyle="dash" endarrow="block"/>
            <v:path arrowok="t"/>
            <w10:wrap side="left"/>
          </v:shape>
        </w:pict>
      </w:r>
    </w:p>
    <w:p w:rsidR="007B3E55" w:rsidRPr="00DD40EB" w:rsidRDefault="007B3E55" w:rsidP="007B3E55">
      <w:pPr>
        <w:jc w:val="both"/>
        <w:rPr>
          <w:rFonts w:cs="Arial"/>
          <w:szCs w:val="22"/>
        </w:rPr>
      </w:pPr>
      <w:r>
        <w:rPr>
          <w:rFonts w:cs="Arial"/>
          <w:noProof/>
          <w:sz w:val="20"/>
          <w:lang w:val="en-US"/>
        </w:rPr>
        <w:pict>
          <v:shape id="_x0000_s1195" type="#_x0000_t202" style="position:absolute;left:0;text-align:left;margin-left:217.35pt;margin-top:9.1pt;width:14.85pt;height:15.5pt;z-index:251644416" stroked="f">
            <v:textbox style="mso-next-textbox:#_x0000_s1195" inset="3.6pt,,3.6pt,0">
              <w:txbxContent>
                <w:p w:rsidR="00DE4A2A" w:rsidRPr="006E08FD" w:rsidRDefault="00DE4A2A" w:rsidP="007B3E55">
                  <w:r>
                    <w:t>±</w:t>
                  </w:r>
                </w:p>
              </w:txbxContent>
            </v:textbox>
            <w10:wrap side="left"/>
          </v:shape>
        </w:pict>
      </w:r>
      <w:r w:rsidRPr="00DD40EB">
        <w:rPr>
          <w:rFonts w:cs="Arial"/>
          <w:noProof/>
          <w:szCs w:val="22"/>
          <w:lang w:val="en-US"/>
        </w:rPr>
        <w:pict>
          <v:shape id="_x0000_s1179" type="#_x0000_t202" style="position:absolute;left:0;text-align:left;margin-left:267.4pt;margin-top:0;width:149.85pt;height:77.95pt;z-index:251628032">
            <v:textbox style="mso-next-textbox:#_x0000_s1179">
              <w:txbxContent>
                <w:p w:rsidR="00DE4A2A" w:rsidRPr="00DD40EB" w:rsidRDefault="00DE4A2A" w:rsidP="007B3E55">
                  <w:pPr>
                    <w:spacing w:after="60"/>
                    <w:rPr>
                      <w:rFonts w:cs="Arial"/>
                      <w:sz w:val="16"/>
                      <w:szCs w:val="16"/>
                    </w:rPr>
                  </w:pPr>
                  <w:r w:rsidRPr="00DD40EB">
                    <w:rPr>
                      <w:rFonts w:cs="Arial"/>
                      <w:sz w:val="18"/>
                      <w:szCs w:val="18"/>
                    </w:rPr>
                    <w:t xml:space="preserve">Special demands on the budget </w:t>
                  </w:r>
                  <w:r w:rsidRPr="00DD40EB">
                    <w:rPr>
                      <w:rFonts w:cs="Arial"/>
                      <w:sz w:val="16"/>
                      <w:szCs w:val="16"/>
                    </w:rPr>
                    <w:t>(especially for those with low current incomes and limited financial assets)</w:t>
                  </w:r>
                </w:p>
                <w:p w:rsidR="00DE4A2A" w:rsidRPr="00DD40EB" w:rsidRDefault="00DE4A2A" w:rsidP="007B3E55">
                  <w:pPr>
                    <w:tabs>
                      <w:tab w:val="left" w:pos="540"/>
                    </w:tabs>
                    <w:ind w:left="360" w:hanging="360"/>
                    <w:rPr>
                      <w:rFonts w:cs="Arial"/>
                      <w:sz w:val="16"/>
                      <w:szCs w:val="16"/>
                    </w:rPr>
                  </w:pPr>
                  <w:r w:rsidRPr="00DD40EB">
                    <w:rPr>
                      <w:rFonts w:cs="Arial"/>
                      <w:sz w:val="16"/>
                      <w:szCs w:val="16"/>
                    </w:rPr>
                    <w:t>eg</w:t>
                  </w:r>
                  <w:r w:rsidRPr="00DD40EB">
                    <w:rPr>
                      <w:rFonts w:cs="Arial"/>
                      <w:sz w:val="16"/>
                      <w:szCs w:val="16"/>
                    </w:rPr>
                    <w:tab/>
                    <w:t xml:space="preserve">- </w:t>
                  </w:r>
                  <w:r w:rsidRPr="00DD40EB">
                    <w:rPr>
                      <w:rFonts w:cs="Arial"/>
                      <w:sz w:val="16"/>
                      <w:szCs w:val="16"/>
                    </w:rPr>
                    <w:tab/>
                    <w:t>health/disability costs</w:t>
                  </w:r>
                </w:p>
                <w:p w:rsidR="00DE4A2A" w:rsidRPr="00DD40EB" w:rsidRDefault="00DE4A2A" w:rsidP="007B3E55">
                  <w:pPr>
                    <w:tabs>
                      <w:tab w:val="left" w:pos="540"/>
                    </w:tabs>
                    <w:ind w:left="360" w:hanging="360"/>
                    <w:rPr>
                      <w:rFonts w:cs="Arial"/>
                      <w:sz w:val="16"/>
                      <w:szCs w:val="16"/>
                    </w:rPr>
                  </w:pPr>
                  <w:r w:rsidRPr="00DD40EB">
                    <w:rPr>
                      <w:rFonts w:cs="Arial"/>
                      <w:sz w:val="16"/>
                      <w:szCs w:val="16"/>
                    </w:rPr>
                    <w:tab/>
                    <w:t xml:space="preserve">- </w:t>
                  </w:r>
                  <w:r w:rsidRPr="00DD40EB">
                    <w:rPr>
                      <w:rFonts w:cs="Arial"/>
                      <w:sz w:val="16"/>
                      <w:szCs w:val="16"/>
                    </w:rPr>
                    <w:tab/>
                    <w:t xml:space="preserve">high accommodation costs </w:t>
                  </w:r>
                </w:p>
                <w:p w:rsidR="00DE4A2A" w:rsidRPr="00DD40EB" w:rsidRDefault="00DE4A2A" w:rsidP="007B3E55">
                  <w:pPr>
                    <w:tabs>
                      <w:tab w:val="left" w:pos="540"/>
                    </w:tabs>
                    <w:ind w:left="360" w:hanging="360"/>
                    <w:rPr>
                      <w:rFonts w:cs="Arial"/>
                      <w:sz w:val="16"/>
                      <w:szCs w:val="16"/>
                    </w:rPr>
                  </w:pPr>
                  <w:r w:rsidRPr="00DD40EB">
                    <w:rPr>
                      <w:rFonts w:cs="Arial"/>
                      <w:sz w:val="16"/>
                      <w:szCs w:val="16"/>
                    </w:rPr>
                    <w:tab/>
                    <w:t xml:space="preserve">- </w:t>
                  </w:r>
                  <w:r w:rsidRPr="00DD40EB">
                    <w:rPr>
                      <w:rFonts w:cs="Arial"/>
                      <w:sz w:val="16"/>
                      <w:szCs w:val="16"/>
                    </w:rPr>
                    <w:tab/>
                    <w:t>high debt servicing</w:t>
                  </w:r>
                </w:p>
                <w:p w:rsidR="00DE4A2A" w:rsidRPr="00DD40EB" w:rsidRDefault="00DE4A2A" w:rsidP="007B3E55">
                  <w:pPr>
                    <w:tabs>
                      <w:tab w:val="left" w:pos="540"/>
                    </w:tabs>
                    <w:ind w:left="360" w:hanging="360"/>
                    <w:rPr>
                      <w:rFonts w:cs="Arial"/>
                      <w:sz w:val="16"/>
                      <w:szCs w:val="16"/>
                    </w:rPr>
                  </w:pPr>
                  <w:r w:rsidRPr="00DD40EB">
                    <w:rPr>
                      <w:rFonts w:cs="Arial"/>
                      <w:sz w:val="16"/>
                      <w:szCs w:val="16"/>
                    </w:rPr>
                    <w:tab/>
                    <w:t xml:space="preserve">- </w:t>
                  </w:r>
                  <w:r w:rsidRPr="00DD40EB">
                    <w:rPr>
                      <w:rFonts w:cs="Arial"/>
                      <w:sz w:val="16"/>
                      <w:szCs w:val="16"/>
                    </w:rPr>
                    <w:tab/>
                    <w:t>unexpected bills</w:t>
                  </w:r>
                </w:p>
              </w:txbxContent>
            </v:textbox>
            <w10:wrap side="left"/>
          </v:shape>
        </w:pict>
      </w:r>
    </w:p>
    <w:p w:rsidR="007B3E55" w:rsidRPr="00DD40EB" w:rsidRDefault="007B3E55" w:rsidP="007B3E55">
      <w:pPr>
        <w:jc w:val="both"/>
        <w:rPr>
          <w:rFonts w:cs="Arial"/>
          <w:szCs w:val="22"/>
        </w:rPr>
      </w:pPr>
      <w:r w:rsidRPr="00DD40EB">
        <w:rPr>
          <w:rFonts w:cs="Arial"/>
          <w:noProof/>
          <w:szCs w:val="22"/>
          <w:lang w:val="en-US"/>
        </w:rPr>
        <w:pict>
          <v:shape id="_x0000_s1170" type="#_x0000_t202" style="position:absolute;left:0;text-align:left;margin-left:157.35pt;margin-top:10.3pt;width:20.1pt;height:19.25pt;z-index:251618816" stroked="f">
            <v:textbox style="mso-next-textbox:#_x0000_s1170">
              <w:txbxContent>
                <w:p w:rsidR="00DE4A2A" w:rsidRPr="006E08FD" w:rsidRDefault="00DE4A2A" w:rsidP="007B3E55">
                  <w:r>
                    <w:t>+</w:t>
                  </w:r>
                </w:p>
              </w:txbxContent>
            </v:textbox>
            <w10:wrap side="left"/>
          </v:shape>
        </w:pict>
      </w:r>
    </w:p>
    <w:p w:rsidR="007B3E55" w:rsidRPr="00DD40EB" w:rsidRDefault="007B3E55" w:rsidP="007B3E55">
      <w:pPr>
        <w:jc w:val="both"/>
        <w:rPr>
          <w:rFonts w:cs="Arial"/>
          <w:szCs w:val="22"/>
        </w:rPr>
      </w:pPr>
      <w:r>
        <w:rPr>
          <w:rFonts w:cs="Arial"/>
          <w:noProof/>
          <w:sz w:val="20"/>
          <w:lang w:val="en-US"/>
        </w:rPr>
        <w:pict>
          <v:shape id="_x0000_s1193" type="#_x0000_t202" style="position:absolute;left:0;text-align:left;margin-left:176.65pt;margin-top:11.25pt;width:74.3pt;height:61.15pt;z-index:251642368">
            <v:textbox style="mso-next-textbox:#_x0000_s1193" inset="3.6pt,,3.6pt">
              <w:txbxContent>
                <w:p w:rsidR="00DE4A2A" w:rsidRPr="00DD40EB" w:rsidRDefault="00DE4A2A" w:rsidP="007B3E55">
                  <w:pPr>
                    <w:spacing w:before="60"/>
                    <w:jc w:val="center"/>
                    <w:rPr>
                      <w:rFonts w:cs="Arial"/>
                      <w:sz w:val="16"/>
                      <w:szCs w:val="16"/>
                    </w:rPr>
                  </w:pPr>
                  <w:r>
                    <w:rPr>
                      <w:rFonts w:cs="Arial"/>
                      <w:sz w:val="18"/>
                      <w:szCs w:val="18"/>
                    </w:rPr>
                    <w:t>Differences in prices for different geographical areas</w:t>
                  </w:r>
                </w:p>
              </w:txbxContent>
            </v:textbox>
            <w10:wrap side="left"/>
          </v:shape>
        </w:pict>
      </w:r>
    </w:p>
    <w:p w:rsidR="007B3E55" w:rsidRPr="00DD40EB" w:rsidRDefault="007B3E55" w:rsidP="007B3E55">
      <w:pPr>
        <w:jc w:val="both"/>
        <w:rPr>
          <w:rFonts w:cs="Arial"/>
          <w:szCs w:val="22"/>
        </w:rPr>
      </w:pPr>
    </w:p>
    <w:p w:rsidR="007B3E55" w:rsidRDefault="007B3E55" w:rsidP="007B3E55">
      <w:pPr>
        <w:rPr>
          <w:rFonts w:cs="Arial"/>
          <w:b/>
          <w:sz w:val="20"/>
        </w:rPr>
      </w:pPr>
    </w:p>
    <w:p w:rsidR="007B3E55" w:rsidRDefault="007B3E55" w:rsidP="007B3E55">
      <w:pPr>
        <w:jc w:val="both"/>
        <w:rPr>
          <w:rFonts w:cs="Arial"/>
          <w:sz w:val="20"/>
        </w:rPr>
      </w:pPr>
    </w:p>
    <w:p w:rsidR="007B3E55" w:rsidRDefault="007B3E55" w:rsidP="007B3E55">
      <w:pPr>
        <w:jc w:val="both"/>
        <w:rPr>
          <w:rFonts w:cs="Arial"/>
          <w:sz w:val="20"/>
        </w:rPr>
      </w:pPr>
    </w:p>
    <w:p w:rsidR="007B3E55" w:rsidRDefault="007B3E55" w:rsidP="007B3E55">
      <w:pPr>
        <w:jc w:val="both"/>
        <w:rPr>
          <w:rFonts w:cs="Arial"/>
          <w:sz w:val="20"/>
        </w:rPr>
      </w:pPr>
    </w:p>
    <w:p w:rsidR="007B3E55" w:rsidRPr="00C0341E" w:rsidRDefault="007B3E55" w:rsidP="007B3E55">
      <w:pPr>
        <w:jc w:val="both"/>
        <w:rPr>
          <w:rFonts w:cs="Arial"/>
          <w:sz w:val="20"/>
          <w:szCs w:val="22"/>
        </w:rPr>
      </w:pPr>
      <w:r w:rsidRPr="00C0341E">
        <w:rPr>
          <w:rFonts w:cs="Arial"/>
          <w:sz w:val="20"/>
          <w:szCs w:val="22"/>
        </w:rPr>
        <w:lastRenderedPageBreak/>
        <w:t xml:space="preserve">Another way of looking at the relationship between household income and living standards is to understand equivalised disposable income to be </w:t>
      </w:r>
      <w:r w:rsidRPr="00C0341E">
        <w:rPr>
          <w:rFonts w:cs="Arial"/>
          <w:i/>
          <w:sz w:val="20"/>
          <w:szCs w:val="22"/>
          <w:u w:val="single"/>
        </w:rPr>
        <w:t>an indicator</w:t>
      </w:r>
      <w:r w:rsidRPr="00C0341E">
        <w:rPr>
          <w:rFonts w:cs="Arial"/>
          <w:sz w:val="20"/>
          <w:szCs w:val="22"/>
        </w:rPr>
        <w:t xml:space="preserve"> that allows comparisons </w:t>
      </w:r>
      <w:r w:rsidRPr="00C0341E">
        <w:rPr>
          <w:rFonts w:cs="Arial"/>
          <w:i/>
          <w:sz w:val="20"/>
          <w:szCs w:val="22"/>
          <w:u w:val="single"/>
        </w:rPr>
        <w:t>of the</w:t>
      </w:r>
      <w:r w:rsidRPr="00C0341E">
        <w:rPr>
          <w:rFonts w:cs="Arial"/>
          <w:sz w:val="20"/>
          <w:szCs w:val="22"/>
          <w:u w:val="single"/>
        </w:rPr>
        <w:t xml:space="preserve"> </w:t>
      </w:r>
      <w:r w:rsidRPr="00C0341E">
        <w:rPr>
          <w:rFonts w:cs="Arial"/>
          <w:i/>
          <w:sz w:val="20"/>
          <w:szCs w:val="22"/>
          <w:u w:val="single"/>
        </w:rPr>
        <w:t>potential living standards</w:t>
      </w:r>
      <w:r w:rsidRPr="00C0341E">
        <w:rPr>
          <w:rFonts w:cs="Arial"/>
          <w:sz w:val="20"/>
          <w:szCs w:val="22"/>
        </w:rPr>
        <w:t xml:space="preserve"> of different households – that is, comparison of the relative levels of consumption of goods and services that individuals could attain given the disposable income of the household in which they live, </w:t>
      </w:r>
      <w:r w:rsidRPr="00C0341E">
        <w:rPr>
          <w:rFonts w:cs="Arial"/>
          <w:i/>
          <w:sz w:val="20"/>
          <w:szCs w:val="22"/>
          <w:u w:val="single"/>
        </w:rPr>
        <w:t>all else being equal</w:t>
      </w:r>
      <w:r w:rsidRPr="00C0341E">
        <w:rPr>
          <w:rFonts w:cs="Arial"/>
          <w:sz w:val="20"/>
          <w:szCs w:val="22"/>
        </w:rPr>
        <w:t>.  This recognises that equivalisation takes</w:t>
      </w:r>
      <w:r>
        <w:rPr>
          <w:rFonts w:cs="Arial"/>
          <w:sz w:val="20"/>
          <w:szCs w:val="22"/>
        </w:rPr>
        <w:t xml:space="preserve"> (reasonable)</w:t>
      </w:r>
      <w:r w:rsidRPr="00C0341E">
        <w:rPr>
          <w:rFonts w:cs="Arial"/>
          <w:sz w:val="20"/>
          <w:szCs w:val="22"/>
        </w:rPr>
        <w:t xml:space="preserve"> account of two major differences between households (size and composition), but not of other special demands on the budget, differences in wealth and assistance from outside the household, and so on.  All else is in fact not equal.</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Whether understood as a rough but readily available proxy for actual household living standards or as a measure of potential living standards (all else being equal), equivalised household disposable income is an important measure to understand and report on.  </w:t>
      </w:r>
      <w:r w:rsidRPr="00C0341E">
        <w:rPr>
          <w:sz w:val="20"/>
          <w:szCs w:val="22"/>
          <w:lang w:val="en-NZ"/>
        </w:rPr>
        <w:t>For modern governments, direct income support is one of the most straightforward policy levers available for poverty alleviation</w:t>
      </w:r>
      <w:r w:rsidRPr="00C0341E">
        <w:rPr>
          <w:szCs w:val="24"/>
          <w:lang w:val="en-NZ"/>
        </w:rPr>
        <w:t xml:space="preserve">.  </w:t>
      </w:r>
      <w:r w:rsidRPr="00C0341E">
        <w:rPr>
          <w:rFonts w:cs="Arial"/>
          <w:sz w:val="20"/>
          <w:szCs w:val="22"/>
        </w:rPr>
        <w:t>Changes over time in the overall distribution of household income and in the relative position of subgroups can give insight into changes in the social and economic fabric of the country and inform policy evaluation and development. Income information is regularly collected, easily manipulable and relatively easy to understand.</w:t>
      </w:r>
      <w:r w:rsidRPr="00C0341E">
        <w:rPr>
          <w:rStyle w:val="FootnoteReference"/>
          <w:rFonts w:cs="Arial"/>
          <w:sz w:val="20"/>
          <w:szCs w:val="22"/>
        </w:rPr>
        <w:footnoteReference w:id="12"/>
      </w:r>
      <w:r w:rsidRPr="00C0341E">
        <w:rPr>
          <w:rFonts w:cs="Arial"/>
          <w:sz w:val="20"/>
          <w:szCs w:val="22"/>
        </w:rPr>
        <w:t xml:space="preserve">  </w:t>
      </w:r>
      <w:bookmarkStart w:id="1" w:name="_Toc115142410"/>
      <w:bookmarkStart w:id="2" w:name="_Toc115142411"/>
    </w:p>
    <w:p w:rsidR="007B3E55" w:rsidRPr="00E041C1" w:rsidRDefault="007B3E55" w:rsidP="007B3E55">
      <w:pPr>
        <w:jc w:val="both"/>
        <w:rPr>
          <w:rFonts w:cs="Arial"/>
          <w:sz w:val="20"/>
        </w:rPr>
      </w:pPr>
    </w:p>
    <w:p w:rsidR="007B3E55" w:rsidRPr="00E041C1" w:rsidRDefault="007B3E55" w:rsidP="007B3E55">
      <w:pPr>
        <w:pStyle w:val="Heading2"/>
        <w:jc w:val="both"/>
        <w:rPr>
          <w:sz w:val="20"/>
          <w:szCs w:val="20"/>
        </w:rPr>
      </w:pPr>
    </w:p>
    <w:p w:rsidR="007B3E55" w:rsidRPr="00BE68EA" w:rsidRDefault="007B3E55" w:rsidP="007B3E55">
      <w:pPr>
        <w:pStyle w:val="Heading2"/>
        <w:jc w:val="both"/>
        <w:rPr>
          <w:sz w:val="22"/>
          <w:szCs w:val="22"/>
        </w:rPr>
      </w:pPr>
      <w:r w:rsidRPr="00BE68EA">
        <w:rPr>
          <w:sz w:val="22"/>
          <w:szCs w:val="22"/>
        </w:rPr>
        <w:t>Equivalisation</w:t>
      </w:r>
      <w:r>
        <w:rPr>
          <w:sz w:val="22"/>
          <w:szCs w:val="22"/>
        </w:rPr>
        <w:t>: comparing incomes across different household and family types</w:t>
      </w:r>
    </w:p>
    <w:p w:rsidR="007B3E55" w:rsidRPr="007A52A1" w:rsidRDefault="007B3E55" w:rsidP="007B3E55">
      <w:pPr>
        <w:jc w:val="both"/>
        <w:rPr>
          <w:rFonts w:cs="Arial"/>
          <w:szCs w:val="22"/>
          <w:lang w:val="en-NZ"/>
        </w:rPr>
      </w:pPr>
    </w:p>
    <w:p w:rsidR="007B3E55" w:rsidRPr="00C0341E" w:rsidRDefault="007B3E55" w:rsidP="007B3E55">
      <w:pPr>
        <w:jc w:val="both"/>
        <w:rPr>
          <w:rFonts w:cs="Arial"/>
          <w:sz w:val="20"/>
          <w:szCs w:val="22"/>
        </w:rPr>
      </w:pPr>
      <w:r w:rsidRPr="00C0341E">
        <w:rPr>
          <w:rFonts w:cs="Arial"/>
          <w:sz w:val="20"/>
          <w:szCs w:val="22"/>
        </w:rPr>
        <w:t>Equivalisation reflects the two common sense notions that:</w:t>
      </w:r>
    </w:p>
    <w:p w:rsidR="007B3E55" w:rsidRPr="00C0341E" w:rsidRDefault="007B3E55" w:rsidP="007B3E55">
      <w:pPr>
        <w:numPr>
          <w:ilvl w:val="0"/>
          <w:numId w:val="7"/>
        </w:numPr>
        <w:tabs>
          <w:tab w:val="clear" w:pos="1440"/>
          <w:tab w:val="num" w:pos="630"/>
        </w:tabs>
        <w:spacing w:before="60"/>
        <w:ind w:left="630" w:hanging="270"/>
        <w:jc w:val="both"/>
        <w:rPr>
          <w:rFonts w:cs="Arial"/>
          <w:sz w:val="20"/>
          <w:szCs w:val="22"/>
        </w:rPr>
      </w:pPr>
      <w:r w:rsidRPr="00C0341E">
        <w:rPr>
          <w:rFonts w:cs="Arial"/>
          <w:sz w:val="20"/>
          <w:szCs w:val="22"/>
        </w:rPr>
        <w:t>a larger household needs more income than a smaller household for the two households to have similar standards of living (all else being equal), and</w:t>
      </w:r>
    </w:p>
    <w:p w:rsidR="007B3E55" w:rsidRPr="00C0341E" w:rsidRDefault="007B3E55" w:rsidP="007B3E55">
      <w:pPr>
        <w:numPr>
          <w:ilvl w:val="0"/>
          <w:numId w:val="7"/>
        </w:numPr>
        <w:tabs>
          <w:tab w:val="clear" w:pos="1440"/>
          <w:tab w:val="num" w:pos="630"/>
        </w:tabs>
        <w:spacing w:before="60"/>
        <w:ind w:left="630" w:hanging="270"/>
        <w:jc w:val="both"/>
        <w:rPr>
          <w:rFonts w:cs="Arial"/>
          <w:sz w:val="20"/>
          <w:szCs w:val="22"/>
        </w:rPr>
      </w:pPr>
      <w:r w:rsidRPr="00C0341E">
        <w:rPr>
          <w:rFonts w:cs="Arial"/>
          <w:sz w:val="20"/>
          <w:szCs w:val="22"/>
        </w:rPr>
        <w:t xml:space="preserve">there are economies of scale as household size increases.  </w:t>
      </w:r>
    </w:p>
    <w:p w:rsidR="007B3E55" w:rsidRPr="00C0341E" w:rsidRDefault="007B3E55" w:rsidP="007B3E55">
      <w:pPr>
        <w:jc w:val="both"/>
        <w:rPr>
          <w:rFonts w:cs="Arial"/>
          <w:sz w:val="20"/>
          <w:szCs w:val="22"/>
        </w:rPr>
      </w:pPr>
    </w:p>
    <w:p w:rsidR="007B3E55" w:rsidRPr="00C0341E" w:rsidRDefault="007B3E55" w:rsidP="007B3E55">
      <w:pPr>
        <w:jc w:val="both"/>
        <w:rPr>
          <w:rFonts w:cs="Arial"/>
          <w:i/>
          <w:sz w:val="20"/>
          <w:szCs w:val="22"/>
          <w:u w:val="single"/>
        </w:rPr>
      </w:pPr>
      <w:r w:rsidRPr="00C0341E">
        <w:rPr>
          <w:rFonts w:cs="Arial"/>
          <w:sz w:val="20"/>
          <w:szCs w:val="22"/>
        </w:rPr>
        <w:t xml:space="preserve">Most sets of equivalence ratios also assume that children cost less than adults.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Equivalising is a means of standardising household incomes in terms of household size and composition so that the relative material wellbeing of households of different sizes and compositions can be more sensibly compared.  The adjustment also makes comparisons over time more realistic because it takes into account the changes over time in the composition and average size of households.</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While considerable research has been undertaken to try to estimate appropriate values for equivalence scales, no universally accepted ‘correct’ set of equivalence ratios has emerged, even when household size and composition are the only factors being considered.</w:t>
      </w:r>
      <w:r w:rsidRPr="00C0341E">
        <w:rPr>
          <w:rStyle w:val="FootnoteReference"/>
          <w:rFonts w:cs="Arial"/>
          <w:sz w:val="20"/>
          <w:szCs w:val="22"/>
        </w:rPr>
        <w:footnoteReference w:id="13"/>
      </w:r>
      <w:r w:rsidRPr="00C0341E">
        <w:rPr>
          <w:rFonts w:cs="Arial"/>
          <w:sz w:val="20"/>
          <w:szCs w:val="22"/>
        </w:rPr>
        <w:t xml:space="preserve">  </w:t>
      </w:r>
    </w:p>
    <w:p w:rsidR="007B3E55" w:rsidRPr="00C0341E" w:rsidRDefault="007B3E55" w:rsidP="007B3E55">
      <w:pPr>
        <w:jc w:val="both"/>
        <w:rPr>
          <w:rFonts w:cs="Arial"/>
          <w:sz w:val="20"/>
          <w:szCs w:val="22"/>
        </w:rPr>
      </w:pPr>
    </w:p>
    <w:p w:rsidR="007B3E55" w:rsidRPr="00C0341E" w:rsidRDefault="007B3E55" w:rsidP="007B3E55">
      <w:pPr>
        <w:jc w:val="both"/>
        <w:rPr>
          <w:rFonts w:cs="Arial"/>
          <w:b/>
          <w:sz w:val="20"/>
          <w:szCs w:val="22"/>
        </w:rPr>
      </w:pPr>
      <w:r w:rsidRPr="00C0341E">
        <w:rPr>
          <w:rFonts w:cs="Arial"/>
          <w:sz w:val="20"/>
          <w:szCs w:val="22"/>
        </w:rPr>
        <w:t xml:space="preserve">The primary equivalence scale used in the analysis in this paper, the 1988 Revised Jensen Scale, is a scale that (by design) sits in the middle of the range of scales in the literature of that time.  It is very close to what has come to be known as ‘the modified OECD scale’ which is now used by </w:t>
      </w:r>
      <w:smartTag w:uri="urn:schemas-microsoft-com:office:smarttags" w:element="City">
        <w:r w:rsidRPr="00C0341E">
          <w:rPr>
            <w:rFonts w:cs="Arial"/>
            <w:sz w:val="20"/>
            <w:szCs w:val="22"/>
          </w:rPr>
          <w:t>Eurostat</w:t>
        </w:r>
      </w:smartTag>
      <w:r w:rsidRPr="00C0341E">
        <w:rPr>
          <w:rFonts w:cs="Arial"/>
          <w:sz w:val="20"/>
          <w:szCs w:val="22"/>
        </w:rPr>
        <w:t xml:space="preserve">, </w:t>
      </w:r>
      <w:smartTag w:uri="urn:schemas-microsoft-com:office:smarttags" w:element="country-region">
        <w:r w:rsidRPr="00C0341E">
          <w:rPr>
            <w:rFonts w:cs="Arial"/>
            <w:sz w:val="20"/>
            <w:szCs w:val="22"/>
          </w:rPr>
          <w:t>Australia</w:t>
        </w:r>
      </w:smartTag>
      <w:r w:rsidRPr="00C0341E">
        <w:rPr>
          <w:rFonts w:cs="Arial"/>
          <w:sz w:val="20"/>
          <w:szCs w:val="22"/>
        </w:rPr>
        <w:t xml:space="preserve">, the </w:t>
      </w:r>
      <w:smartTag w:uri="urn:schemas-microsoft-com:office:smarttags" w:element="place">
        <w:smartTag w:uri="urn:schemas-microsoft-com:office:smarttags" w:element="country-region">
          <w:r w:rsidRPr="00C0341E">
            <w:rPr>
              <w:rFonts w:cs="Arial"/>
              <w:sz w:val="20"/>
              <w:szCs w:val="22"/>
            </w:rPr>
            <w:t>United Kingdom</w:t>
          </w:r>
        </w:smartTag>
      </w:smartTag>
      <w:r w:rsidRPr="00C0341E">
        <w:rPr>
          <w:rFonts w:cs="Arial"/>
          <w:sz w:val="20"/>
          <w:szCs w:val="22"/>
        </w:rPr>
        <w:t xml:space="preserve"> and others.  Different equivalence scales are used for the international comparison sections, in line with the conventions of the sources. Further discussion of the effect of the choice of equivalence scale is provided in </w:t>
      </w:r>
      <w:r w:rsidRPr="00C0341E">
        <w:rPr>
          <w:rFonts w:cs="Arial"/>
          <w:b/>
          <w:sz w:val="20"/>
          <w:szCs w:val="22"/>
        </w:rPr>
        <w:t>Appendix 3</w:t>
      </w:r>
      <w:r w:rsidRPr="00C0341E">
        <w:rPr>
          <w:rFonts w:cs="Arial"/>
          <w:sz w:val="20"/>
          <w:szCs w:val="22"/>
        </w:rPr>
        <w:t>.</w:t>
      </w:r>
      <w:r w:rsidRPr="00C0341E">
        <w:rPr>
          <w:rFonts w:cs="Arial"/>
          <w:b/>
          <w:sz w:val="20"/>
          <w:szCs w:val="22"/>
        </w:rPr>
        <w:t xml:space="preserve">  </w:t>
      </w:r>
    </w:p>
    <w:p w:rsidR="007B3E55" w:rsidRDefault="007B3E55" w:rsidP="007B3E55">
      <w:pPr>
        <w:jc w:val="both"/>
        <w:rPr>
          <w:rFonts w:cs="Arial"/>
          <w:szCs w:val="22"/>
        </w:rPr>
      </w:pPr>
    </w:p>
    <w:p w:rsidR="007B3E55" w:rsidRDefault="007B3E55" w:rsidP="007B3E55">
      <w:pPr>
        <w:jc w:val="both"/>
        <w:rPr>
          <w:rFonts w:cs="Arial"/>
          <w:sz w:val="20"/>
        </w:rPr>
      </w:pPr>
      <w:r w:rsidRPr="0098788F">
        <w:rPr>
          <w:rFonts w:cs="Arial"/>
          <w:sz w:val="20"/>
        </w:rPr>
        <w:t xml:space="preserve">This paper uses the single person household as the reference household – ie a single person unit has an equivalence scale value of 1.0.  A household of a couple and no children  (2,0) is rated at 1.54, meaning that such a household is considered to have 1.54 equivalent adults.  A two adult, two child household is rated as 2.17.  This means that this household type (2,2) is rated as having </w:t>
      </w:r>
      <w:r w:rsidRPr="0098788F">
        <w:rPr>
          <w:rFonts w:cs="Arial"/>
          <w:sz w:val="20"/>
        </w:rPr>
        <w:lastRenderedPageBreak/>
        <w:t>2.17 equivalent adults: it requires 2.17 times the income of a single person household to have the same purchasing power or to achieve a comparable material wellbeing, all else being equal.</w:t>
      </w:r>
    </w:p>
    <w:p w:rsidR="007B3E55" w:rsidRDefault="007B3E55" w:rsidP="007B3E55">
      <w:pPr>
        <w:jc w:val="both"/>
        <w:rPr>
          <w:rFonts w:cs="Arial"/>
          <w:sz w:val="20"/>
        </w:rPr>
      </w:pPr>
    </w:p>
    <w:p w:rsidR="007B3E55" w:rsidRPr="00C0341E" w:rsidRDefault="007B3E55" w:rsidP="007B3E55">
      <w:pPr>
        <w:jc w:val="both"/>
        <w:rPr>
          <w:rFonts w:cs="Arial"/>
          <w:sz w:val="20"/>
          <w:szCs w:val="22"/>
        </w:rPr>
      </w:pPr>
      <w:r w:rsidRPr="00C73F9D">
        <w:rPr>
          <w:sz w:val="20"/>
        </w:rPr>
        <w:t xml:space="preserve">Other commonly used reference </w:t>
      </w:r>
      <w:r>
        <w:rPr>
          <w:sz w:val="20"/>
        </w:rPr>
        <w:t>households</w:t>
      </w:r>
      <w:r w:rsidRPr="00C73F9D">
        <w:rPr>
          <w:sz w:val="20"/>
        </w:rPr>
        <w:t xml:space="preserve"> are the couple, the couple with one child and the couple with two children. The choice of reference </w:t>
      </w:r>
      <w:r>
        <w:rPr>
          <w:sz w:val="20"/>
        </w:rPr>
        <w:t>household</w:t>
      </w:r>
      <w:r w:rsidRPr="00C73F9D">
        <w:rPr>
          <w:sz w:val="20"/>
        </w:rPr>
        <w:t xml:space="preserve"> affects the numerical value of equivalised income but makes no difference to any of the distributional, inequality and hardship analysis that follows.</w:t>
      </w:r>
    </w:p>
    <w:p w:rsidR="007B3E55" w:rsidRDefault="007B3E55" w:rsidP="007B3E55">
      <w:pPr>
        <w:jc w:val="both"/>
        <w:rPr>
          <w:rFonts w:cs="Arial"/>
          <w:b/>
          <w:szCs w:val="22"/>
        </w:rPr>
      </w:pPr>
    </w:p>
    <w:p w:rsidR="007B3E55" w:rsidRPr="00C0341E" w:rsidRDefault="007B3E55" w:rsidP="007B3E55">
      <w:pPr>
        <w:jc w:val="both"/>
        <w:rPr>
          <w:rFonts w:cs="Arial"/>
          <w:sz w:val="20"/>
          <w:szCs w:val="22"/>
        </w:rPr>
      </w:pPr>
      <w:r w:rsidRPr="00C0341E">
        <w:rPr>
          <w:rFonts w:cs="Arial"/>
          <w:b/>
          <w:sz w:val="20"/>
          <w:szCs w:val="22"/>
        </w:rPr>
        <w:t>Table A.1</w:t>
      </w:r>
      <w:r w:rsidRPr="00C0341E">
        <w:rPr>
          <w:rFonts w:cs="Arial"/>
          <w:sz w:val="20"/>
          <w:szCs w:val="22"/>
        </w:rPr>
        <w:t xml:space="preserve"> provides a look-up chart to convert equivalised dollars (dollars per equivalent adult) to ordinary dollars and vice versa for selected households.</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The first row of figures identifies the family or household type: (1,2) is a one adult, two child household, and so on.  The second row gives the values of the equivalence ratios used.   The body of the table indicates, for example, that a (2,2) household needs around $28,000 to have the same purchasing power as a (1,1) household with an income of around $18,000.  Each has an equivalised income of $13,000 (or, to put it another way, each household has an income of $13,000 per equivalent adult). </w:t>
      </w:r>
    </w:p>
    <w:p w:rsidR="007B3E55" w:rsidRPr="004F5F00" w:rsidRDefault="007B3E55" w:rsidP="007B3E55">
      <w:pPr>
        <w:jc w:val="both"/>
        <w:rPr>
          <w:rFonts w:cs="Arial"/>
          <w:szCs w:val="22"/>
        </w:rPr>
      </w:pPr>
    </w:p>
    <w:p w:rsidR="007B3E55" w:rsidRPr="001C42C0" w:rsidRDefault="007B3E55" w:rsidP="007B3E55">
      <w:pPr>
        <w:spacing w:before="120"/>
        <w:jc w:val="center"/>
        <w:rPr>
          <w:rFonts w:cs="Arial"/>
          <w:b/>
          <w:sz w:val="18"/>
        </w:rPr>
      </w:pPr>
      <w:r w:rsidRPr="001C42C0">
        <w:rPr>
          <w:rFonts w:cs="Arial"/>
          <w:b/>
          <w:sz w:val="18"/>
        </w:rPr>
        <w:t>Table A.1</w:t>
      </w:r>
    </w:p>
    <w:p w:rsidR="007B3E55" w:rsidRPr="001C42C0" w:rsidRDefault="007B3E55" w:rsidP="007B3E55">
      <w:pPr>
        <w:spacing w:after="120"/>
        <w:jc w:val="center"/>
        <w:rPr>
          <w:rFonts w:cs="Arial"/>
          <w:b/>
          <w:sz w:val="18"/>
        </w:rPr>
      </w:pPr>
      <w:r w:rsidRPr="001C42C0">
        <w:rPr>
          <w:rFonts w:cs="Arial"/>
          <w:b/>
          <w:sz w:val="18"/>
        </w:rPr>
        <w:t>Conversion of equivalised dollars to ordinary dollars for low-to-middle-income households</w:t>
      </w:r>
    </w:p>
    <w:tbl>
      <w:tblPr>
        <w:tblW w:w="9015" w:type="dxa"/>
        <w:jc w:val="center"/>
        <w:tblLayout w:type="fixed"/>
        <w:tblLook w:val="0000"/>
      </w:tblPr>
      <w:tblGrid>
        <w:gridCol w:w="40"/>
        <w:gridCol w:w="922"/>
        <w:gridCol w:w="41"/>
        <w:gridCol w:w="743"/>
        <w:gridCol w:w="42"/>
        <w:gridCol w:w="761"/>
        <w:gridCol w:w="42"/>
        <w:gridCol w:w="761"/>
        <w:gridCol w:w="42"/>
        <w:gridCol w:w="761"/>
        <w:gridCol w:w="42"/>
        <w:gridCol w:w="761"/>
        <w:gridCol w:w="42"/>
        <w:gridCol w:w="761"/>
        <w:gridCol w:w="42"/>
        <w:gridCol w:w="761"/>
        <w:gridCol w:w="42"/>
        <w:gridCol w:w="761"/>
        <w:gridCol w:w="42"/>
        <w:gridCol w:w="761"/>
        <w:gridCol w:w="42"/>
        <w:gridCol w:w="761"/>
        <w:gridCol w:w="42"/>
      </w:tblGrid>
      <w:tr w:rsidR="007B3E55" w:rsidRPr="003458A0">
        <w:trPr>
          <w:gridBefore w:val="1"/>
          <w:wBefore w:w="40" w:type="dxa"/>
          <w:trHeight w:val="593"/>
          <w:jc w:val="center"/>
        </w:trPr>
        <w:tc>
          <w:tcPr>
            <w:tcW w:w="963" w:type="dxa"/>
            <w:gridSpan w:val="2"/>
            <w:tcBorders>
              <w:top w:val="single" w:sz="4" w:space="0" w:color="auto"/>
              <w:left w:val="single" w:sz="4" w:space="0" w:color="auto"/>
              <w:bottom w:val="single" w:sz="4" w:space="0" w:color="auto"/>
              <w:right w:val="nil"/>
            </w:tcBorders>
            <w:shd w:val="clear" w:color="auto" w:fill="auto"/>
            <w:noWrap/>
            <w:vAlign w:val="center"/>
          </w:tcPr>
          <w:p w:rsidR="007B3E55" w:rsidRPr="001C42C0" w:rsidRDefault="007B3E55" w:rsidP="00614C04">
            <w:pPr>
              <w:jc w:val="center"/>
              <w:rPr>
                <w:rFonts w:cs="Arial"/>
                <w:b/>
                <w:bCs/>
                <w:sz w:val="18"/>
                <w:lang w:val="en-US"/>
              </w:rPr>
            </w:pPr>
            <w:r w:rsidRPr="001C42C0">
              <w:rPr>
                <w:rFonts w:cs="Arial"/>
                <w:b/>
                <w:bCs/>
                <w:sz w:val="18"/>
                <w:lang w:val="en-US"/>
              </w:rPr>
              <w:t>Equiv income</w:t>
            </w:r>
          </w:p>
        </w:tc>
        <w:tc>
          <w:tcPr>
            <w:tcW w:w="8012"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1C42C0" w:rsidRDefault="007B3E55" w:rsidP="00614C04">
            <w:pPr>
              <w:jc w:val="center"/>
              <w:rPr>
                <w:rFonts w:cs="Arial"/>
                <w:b/>
                <w:bCs/>
                <w:sz w:val="18"/>
                <w:lang w:val="en-US"/>
              </w:rPr>
            </w:pPr>
            <w:r w:rsidRPr="001C42C0">
              <w:rPr>
                <w:rFonts w:cs="Arial"/>
                <w:b/>
                <w:bCs/>
                <w:sz w:val="18"/>
                <w:lang w:val="en-US"/>
              </w:rPr>
              <w:t xml:space="preserve">Income for families and households of various types </w:t>
            </w:r>
          </w:p>
          <w:p w:rsidR="007B3E55" w:rsidRPr="001C42C0" w:rsidRDefault="007B3E55" w:rsidP="00614C04">
            <w:pPr>
              <w:jc w:val="center"/>
              <w:rPr>
                <w:rFonts w:cs="Arial"/>
                <w:b/>
                <w:bCs/>
                <w:sz w:val="18"/>
                <w:lang w:val="en-US"/>
              </w:rPr>
            </w:pPr>
            <w:r w:rsidRPr="001C42C0">
              <w:rPr>
                <w:rFonts w:cs="Arial"/>
                <w:b/>
                <w:bCs/>
                <w:sz w:val="18"/>
                <w:lang w:val="en-US"/>
              </w:rPr>
              <w:t>in ‘ordinary dollars’</w:t>
            </w:r>
          </w:p>
        </w:tc>
      </w:tr>
      <w:tr w:rsidR="007B3E55" w:rsidRPr="003458A0">
        <w:trPr>
          <w:gridBefore w:val="1"/>
          <w:wBefore w:w="40" w:type="dxa"/>
          <w:trHeight w:val="395"/>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20"/>
              <w:jc w:val="center"/>
              <w:rPr>
                <w:rFonts w:cs="Arial"/>
                <w:b/>
                <w:bCs/>
                <w:sz w:val="18"/>
                <w:szCs w:val="18"/>
                <w:lang w:val="en-US"/>
              </w:rPr>
            </w:pPr>
            <w:r w:rsidRPr="00C1634A">
              <w:rPr>
                <w:rFonts w:cs="Arial"/>
                <w:b/>
                <w:bCs/>
                <w:sz w:val="18"/>
                <w:szCs w:val="18"/>
                <w:lang w:val="en-US"/>
              </w:rPr>
              <w:t>(1,0)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(1,1)</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(1,3)</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(2,0)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(2,1)</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(2,2)</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(2,3)</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jc w:val="center"/>
              <w:rPr>
                <w:rFonts w:cs="Arial"/>
                <w:b/>
                <w:bCs/>
                <w:sz w:val="18"/>
                <w:szCs w:val="18"/>
                <w:lang w:val="en-US"/>
              </w:rPr>
            </w:pPr>
            <w:r w:rsidRPr="00C1634A">
              <w:rPr>
                <w:rFonts w:cs="Arial"/>
                <w:b/>
                <w:bCs/>
                <w:sz w:val="18"/>
                <w:szCs w:val="18"/>
                <w:lang w:val="en-US"/>
              </w:rPr>
              <w:t>(2,4)</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C1634A" w:rsidRDefault="007B3E55" w:rsidP="00614C04">
            <w:pPr>
              <w:jc w:val="center"/>
              <w:rPr>
                <w:rFonts w:cs="Arial"/>
                <w:b/>
                <w:bCs/>
                <w:sz w:val="18"/>
                <w:szCs w:val="18"/>
                <w:lang w:val="en-US"/>
              </w:rPr>
            </w:pPr>
            <w:r>
              <w:rPr>
                <w:rFonts w:cs="Arial"/>
                <w:b/>
                <w:bCs/>
                <w:sz w:val="18"/>
                <w:szCs w:val="18"/>
                <w:lang w:val="en-US"/>
              </w:rPr>
              <w:t>(3,0)</w:t>
            </w:r>
          </w:p>
        </w:tc>
      </w:tr>
      <w:tr w:rsidR="007B3E55" w:rsidRPr="00DB2937">
        <w:trPr>
          <w:gridBefore w:val="1"/>
          <w:wBefore w:w="40" w:type="dxa"/>
          <w:trHeight w:val="323"/>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bCs/>
                <w:sz w:val="18"/>
                <w:szCs w:val="18"/>
                <w:lang w:val="en-US"/>
              </w:rPr>
            </w:pP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1.00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1.40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1.75</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2.06</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1.54</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1.86</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2.17</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2.43</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Cs/>
                <w:sz w:val="18"/>
                <w:szCs w:val="18"/>
                <w:lang w:val="en-US"/>
              </w:rPr>
            </w:pPr>
            <w:r w:rsidRPr="00C1634A">
              <w:rPr>
                <w:rFonts w:cs="Arial"/>
                <w:bCs/>
                <w:sz w:val="18"/>
                <w:szCs w:val="18"/>
                <w:lang w:val="en-US"/>
              </w:rPr>
              <w:t>2.69</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C1634A" w:rsidRDefault="007B3E55" w:rsidP="00614C04">
            <w:pPr>
              <w:spacing w:before="60" w:after="60"/>
              <w:jc w:val="center"/>
              <w:rPr>
                <w:rFonts w:cs="Arial"/>
                <w:bCs/>
                <w:sz w:val="18"/>
                <w:szCs w:val="18"/>
                <w:lang w:val="en-US"/>
              </w:rPr>
            </w:pPr>
            <w:r>
              <w:rPr>
                <w:rFonts w:cs="Arial"/>
                <w:bCs/>
                <w:sz w:val="18"/>
                <w:szCs w:val="18"/>
                <w:lang w:val="en-US"/>
              </w:rPr>
              <w:t>1.98</w:t>
            </w:r>
          </w:p>
        </w:tc>
      </w:tr>
      <w:tr w:rsidR="007B3E55" w:rsidRPr="003458A0">
        <w:trPr>
          <w:gridBefore w:val="1"/>
          <w:wBefore w:w="40" w:type="dxa"/>
          <w:trHeight w:val="350"/>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sidRPr="00C1634A">
              <w:rPr>
                <w:rFonts w:cs="Arial"/>
                <w:b/>
                <w:sz w:val="18"/>
                <w:szCs w:val="18"/>
                <w:lang w:val="en-US"/>
              </w:rPr>
              <w:t>$10,000</w:t>
            </w: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14,000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17,500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20,600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15,400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18,600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21,700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24,300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26,900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19,800</w:t>
            </w:r>
          </w:p>
        </w:tc>
      </w:tr>
      <w:tr w:rsidR="007B3E55" w:rsidRPr="003458A0">
        <w:trPr>
          <w:gridBefore w:val="1"/>
          <w:wBefore w:w="40" w:type="dxa"/>
          <w:trHeight w:val="360"/>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sidRPr="00C1634A">
              <w:rPr>
                <w:rFonts w:cs="Arial"/>
                <w:b/>
                <w:sz w:val="18"/>
                <w:szCs w:val="18"/>
                <w:lang w:val="en-US"/>
              </w:rPr>
              <w:t>$11,000</w:t>
            </w: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11,000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15,400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19,300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22,700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16,900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20,500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23,900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26,730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29,600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21,800</w:t>
            </w:r>
          </w:p>
        </w:tc>
      </w:tr>
      <w:tr w:rsidR="007B3E55" w:rsidRPr="003458A0">
        <w:trPr>
          <w:gridBefore w:val="1"/>
          <w:wBefore w:w="40" w:type="dxa"/>
          <w:trHeight w:val="360"/>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sidRPr="00C1634A">
              <w:rPr>
                <w:rFonts w:cs="Arial"/>
                <w:b/>
                <w:sz w:val="18"/>
                <w:szCs w:val="18"/>
                <w:lang w:val="en-US"/>
              </w:rPr>
              <w:t>$12,000</w:t>
            </w: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12,000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16,</w:t>
            </w:r>
            <w:r>
              <w:rPr>
                <w:rFonts w:cs="Arial"/>
                <w:sz w:val="16"/>
                <w:szCs w:val="16"/>
                <w:lang w:val="en-US"/>
              </w:rPr>
              <w:t>9</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21,000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24,700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18,500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22,300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29,160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32,300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23,800</w:t>
            </w:r>
          </w:p>
        </w:tc>
      </w:tr>
      <w:tr w:rsidR="007B3E55" w:rsidRPr="003458A0">
        <w:trPr>
          <w:gridBefore w:val="1"/>
          <w:wBefore w:w="40" w:type="dxa"/>
          <w:trHeight w:val="360"/>
          <w:jc w:val="center"/>
        </w:trPr>
        <w:tc>
          <w:tcPr>
            <w:tcW w:w="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sidRPr="00C1634A">
              <w:rPr>
                <w:rFonts w:cs="Arial"/>
                <w:b/>
                <w:sz w:val="18"/>
                <w:szCs w:val="18"/>
                <w:lang w:val="en-US"/>
              </w:rPr>
              <w:t>$13,000</w:t>
            </w:r>
          </w:p>
        </w:tc>
        <w:tc>
          <w:tcPr>
            <w:tcW w:w="7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13,000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B3E55" w:rsidRPr="00E22875" w:rsidRDefault="007B3E55" w:rsidP="00614C04">
            <w:pPr>
              <w:spacing w:before="60" w:after="60"/>
              <w:jc w:val="center"/>
              <w:rPr>
                <w:rFonts w:cs="Arial"/>
                <w:b/>
                <w:sz w:val="16"/>
                <w:szCs w:val="16"/>
                <w:lang w:val="en-US"/>
              </w:rPr>
            </w:pPr>
            <w:r w:rsidRPr="00E22875">
              <w:rPr>
                <w:rFonts w:cs="Arial"/>
                <w:b/>
                <w:sz w:val="16"/>
                <w:szCs w:val="16"/>
                <w:lang w:val="en-US"/>
              </w:rPr>
              <w:t>18,</w:t>
            </w:r>
            <w:r>
              <w:rPr>
                <w:rFonts w:cs="Arial"/>
                <w:b/>
                <w:sz w:val="16"/>
                <w:szCs w:val="16"/>
                <w:lang w:val="en-US"/>
              </w:rPr>
              <w:t>3</w:t>
            </w:r>
            <w:r w:rsidRPr="00E22875">
              <w:rPr>
                <w:rFonts w:cs="Arial"/>
                <w:b/>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22,800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24,200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B3E55" w:rsidRPr="00E22875" w:rsidRDefault="007B3E55" w:rsidP="00614C04">
            <w:pPr>
              <w:spacing w:before="60" w:after="60"/>
              <w:jc w:val="center"/>
              <w:rPr>
                <w:rFonts w:cs="Arial"/>
                <w:b/>
                <w:sz w:val="16"/>
                <w:szCs w:val="16"/>
                <w:lang w:val="en-US"/>
              </w:rPr>
            </w:pPr>
            <w:r>
              <w:rPr>
                <w:rFonts w:cs="Arial"/>
                <w:b/>
                <w:sz w:val="16"/>
                <w:szCs w:val="16"/>
                <w:lang w:val="en-US"/>
              </w:rPr>
              <w:t>28,1</w:t>
            </w:r>
            <w:r w:rsidRPr="00E22875">
              <w:rPr>
                <w:rFonts w:cs="Arial"/>
                <w:b/>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31,600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35,000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25,800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sidRPr="00C1634A">
              <w:rPr>
                <w:rFonts w:cs="Arial"/>
                <w:b/>
                <w:sz w:val="18"/>
                <w:szCs w:val="18"/>
                <w:lang w:val="en-US"/>
              </w:rPr>
              <w:t>$14,000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14,000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19,</w:t>
            </w:r>
            <w:r>
              <w:rPr>
                <w:rFonts w:cs="Arial"/>
                <w:sz w:val="16"/>
                <w:szCs w:val="16"/>
                <w:lang w:val="en-US"/>
              </w:rPr>
              <w:t>7</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24,500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28,800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21,600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30,400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34,000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37,700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27,700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C1634A" w:rsidRDefault="007B3E55" w:rsidP="00614C04">
            <w:pPr>
              <w:spacing w:before="60" w:after="60"/>
              <w:jc w:val="center"/>
              <w:rPr>
                <w:rFonts w:cs="Arial"/>
                <w:b/>
                <w:sz w:val="18"/>
                <w:szCs w:val="18"/>
                <w:lang w:val="en-US"/>
              </w:rPr>
            </w:pPr>
            <w:r>
              <w:rPr>
                <w:rFonts w:cs="Arial"/>
                <w:b/>
                <w:sz w:val="18"/>
                <w:szCs w:val="18"/>
                <w:lang w:val="en-US"/>
              </w:rPr>
              <w:t>$15,000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15,000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21,</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26,300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30,900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23,100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27,900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32,600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36,500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40,400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29,700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$20,000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28,</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35,000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41,200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30,800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37,200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43,400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48,600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53,800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39,600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$25,000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25,000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35,</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43,800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51,500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38,500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46,500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54,</w:t>
            </w:r>
            <w:r>
              <w:rPr>
                <w:rFonts w:cs="Arial"/>
                <w:sz w:val="16"/>
                <w:szCs w:val="16"/>
                <w:lang w:val="en-US"/>
              </w:rPr>
              <w:t>0</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60,800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67,</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49,</w:t>
            </w:r>
            <w:r>
              <w:rPr>
                <w:rFonts w:cs="Arial"/>
                <w:sz w:val="16"/>
                <w:szCs w:val="16"/>
                <w:lang w:val="en-US"/>
              </w:rPr>
              <w:t>4</w:t>
            </w:r>
            <w:r w:rsidRPr="00F92BDC">
              <w:rPr>
                <w:rFonts w:cs="Arial"/>
                <w:sz w:val="16"/>
                <w:szCs w:val="16"/>
                <w:lang w:val="en-US"/>
              </w:rPr>
              <w:t>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$30,000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30,000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42,</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52,</w:t>
            </w:r>
            <w:r>
              <w:rPr>
                <w:rFonts w:cs="Arial"/>
                <w:sz w:val="16"/>
                <w:szCs w:val="16"/>
                <w:lang w:val="en-US"/>
              </w:rPr>
              <w:t>4</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61,</w:t>
            </w:r>
            <w:r>
              <w:rPr>
                <w:rFonts w:cs="Arial"/>
                <w:sz w:val="16"/>
                <w:szCs w:val="16"/>
                <w:lang w:val="en-US"/>
              </w:rPr>
              <w:t>6</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46,</w:t>
            </w:r>
            <w:r>
              <w:rPr>
                <w:rFonts w:cs="Arial"/>
                <w:sz w:val="16"/>
                <w:szCs w:val="16"/>
                <w:lang w:val="en-US"/>
              </w:rPr>
              <w:t>1</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55,</w:t>
            </w:r>
            <w:r>
              <w:rPr>
                <w:rFonts w:cs="Arial"/>
                <w:sz w:val="16"/>
                <w:szCs w:val="16"/>
                <w:lang w:val="en-US"/>
              </w:rPr>
              <w:t>9</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6</w:t>
            </w:r>
            <w:r>
              <w:rPr>
                <w:rFonts w:cs="Arial"/>
                <w:sz w:val="16"/>
                <w:szCs w:val="16"/>
                <w:lang w:val="en-US"/>
              </w:rPr>
              <w:t>4</w:t>
            </w:r>
            <w:r w:rsidRPr="00F92BDC">
              <w:rPr>
                <w:rFonts w:cs="Arial"/>
                <w:sz w:val="16"/>
                <w:szCs w:val="16"/>
                <w:lang w:val="en-US"/>
              </w:rPr>
              <w:t>,</w:t>
            </w:r>
            <w:r>
              <w:rPr>
                <w:rFonts w:cs="Arial"/>
                <w:sz w:val="16"/>
                <w:szCs w:val="16"/>
                <w:lang w:val="en-US"/>
              </w:rPr>
              <w:t>8</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72,900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80,</w:t>
            </w:r>
            <w:r>
              <w:rPr>
                <w:rFonts w:cs="Arial"/>
                <w:sz w:val="16"/>
                <w:szCs w:val="16"/>
                <w:lang w:val="en-US"/>
              </w:rPr>
              <w:t>6</w:t>
            </w:r>
            <w:r w:rsidRPr="00F92BDC">
              <w:rPr>
                <w:rFonts w:cs="Arial"/>
                <w:sz w:val="16"/>
                <w:szCs w:val="16"/>
                <w:lang w:val="en-US"/>
              </w:rPr>
              <w:t>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sidRPr="00F92BDC">
              <w:rPr>
                <w:rFonts w:cs="Arial"/>
                <w:sz w:val="16"/>
                <w:szCs w:val="16"/>
                <w:lang w:val="en-US"/>
              </w:rPr>
              <w:t>59,</w:t>
            </w:r>
            <w:r>
              <w:rPr>
                <w:rFonts w:cs="Arial"/>
                <w:sz w:val="16"/>
                <w:szCs w:val="16"/>
                <w:lang w:val="en-US"/>
              </w:rPr>
              <w:t>3</w:t>
            </w:r>
            <w:r w:rsidRPr="00F92BDC">
              <w:rPr>
                <w:rFonts w:cs="Arial"/>
                <w:sz w:val="16"/>
                <w:szCs w:val="16"/>
                <w:lang w:val="en-US"/>
              </w:rPr>
              <w:t>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$35,000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35,000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49,200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61,200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71,800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53,800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65,200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75,600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85,100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94,000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69,200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$40,000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40,000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56,200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69,900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82,100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61,500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103,700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74,600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86,400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97,200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79,000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$45,000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45,000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63,200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78,600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92,400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69,200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83,900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97,100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109,400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120,800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88,900</w:t>
            </w:r>
          </w:p>
        </w:tc>
      </w:tr>
      <w:tr w:rsidR="007B3E55" w:rsidRPr="003458A0">
        <w:trPr>
          <w:gridAfter w:val="1"/>
          <w:wAfter w:w="42" w:type="dxa"/>
          <w:trHeight w:val="360"/>
          <w:jc w:val="center"/>
        </w:trPr>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Default="007B3E55" w:rsidP="00614C04">
            <w:pPr>
              <w:spacing w:before="60" w:after="60"/>
              <w:jc w:val="center"/>
              <w:rPr>
                <w:rFonts w:cs="Arial"/>
                <w:b/>
                <w:sz w:val="18"/>
                <w:szCs w:val="18"/>
                <w:lang w:val="en-US"/>
              </w:rPr>
            </w:pPr>
            <w:r>
              <w:rPr>
                <w:rFonts w:cs="Arial"/>
                <w:b/>
                <w:sz w:val="18"/>
                <w:szCs w:val="18"/>
                <w:lang w:val="en-US"/>
              </w:rPr>
              <w:t>$50,000</w:t>
            </w:r>
          </w:p>
        </w:tc>
        <w:tc>
          <w:tcPr>
            <w:tcW w:w="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50,000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70,236</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87,367</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102,641</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76,844</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93,200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107,900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121,500</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134,300</w:t>
            </w:r>
          </w:p>
        </w:tc>
        <w:tc>
          <w:tcPr>
            <w:tcW w:w="803" w:type="dxa"/>
            <w:gridSpan w:val="2"/>
            <w:tcBorders>
              <w:top w:val="single" w:sz="4" w:space="0" w:color="auto"/>
              <w:left w:val="single" w:sz="4" w:space="0" w:color="auto"/>
              <w:bottom w:val="single" w:sz="4" w:space="0" w:color="auto"/>
              <w:right w:val="single" w:sz="4" w:space="0" w:color="auto"/>
            </w:tcBorders>
            <w:vAlign w:val="center"/>
          </w:tcPr>
          <w:p w:rsidR="007B3E55" w:rsidRPr="00F92BDC" w:rsidRDefault="007B3E55" w:rsidP="00614C04">
            <w:pPr>
              <w:spacing w:before="60" w:after="60"/>
              <w:jc w:val="center"/>
              <w:rPr>
                <w:rFonts w:cs="Arial"/>
                <w:sz w:val="16"/>
                <w:szCs w:val="16"/>
                <w:lang w:val="en-US"/>
              </w:rPr>
            </w:pPr>
            <w:r>
              <w:rPr>
                <w:rFonts w:cs="Arial"/>
                <w:sz w:val="16"/>
                <w:szCs w:val="16"/>
                <w:lang w:val="en-US"/>
              </w:rPr>
              <w:t>98,800</w:t>
            </w:r>
          </w:p>
        </w:tc>
      </w:tr>
    </w:tbl>
    <w:p w:rsidR="007B3E55" w:rsidRDefault="007B3E55" w:rsidP="007B3E55">
      <w:pPr>
        <w:pStyle w:val="Heading2"/>
        <w:numPr>
          <w:ilvl w:val="0"/>
          <w:numId w:val="13"/>
        </w:numPr>
        <w:tabs>
          <w:tab w:val="num" w:pos="360"/>
        </w:tabs>
        <w:spacing w:before="180"/>
        <w:ind w:left="360" w:hanging="274"/>
        <w:rPr>
          <w:b w:val="0"/>
          <w:sz w:val="18"/>
          <w:szCs w:val="18"/>
        </w:rPr>
      </w:pPr>
      <w:r w:rsidRPr="005A4AC6">
        <w:rPr>
          <w:b w:val="0"/>
          <w:sz w:val="18"/>
          <w:szCs w:val="18"/>
        </w:rPr>
        <w:t xml:space="preserve">This table uses the </w:t>
      </w:r>
      <w:r>
        <w:rPr>
          <w:b w:val="0"/>
          <w:sz w:val="18"/>
          <w:szCs w:val="18"/>
        </w:rPr>
        <w:t xml:space="preserve">1988 Revised Jensen </w:t>
      </w:r>
      <w:r w:rsidRPr="005A4AC6">
        <w:rPr>
          <w:b w:val="0"/>
          <w:sz w:val="18"/>
          <w:szCs w:val="18"/>
        </w:rPr>
        <w:t>equivalence scale, as does the rest of the report</w:t>
      </w:r>
      <w:r>
        <w:rPr>
          <w:b w:val="0"/>
          <w:sz w:val="18"/>
          <w:szCs w:val="18"/>
        </w:rPr>
        <w:t>,</w:t>
      </w:r>
      <w:r w:rsidRPr="005A4AC6">
        <w:rPr>
          <w:b w:val="0"/>
          <w:sz w:val="18"/>
          <w:szCs w:val="18"/>
        </w:rPr>
        <w:t xml:space="preserve"> except wher</w:t>
      </w:r>
      <w:r>
        <w:rPr>
          <w:b w:val="0"/>
          <w:sz w:val="18"/>
          <w:szCs w:val="18"/>
        </w:rPr>
        <w:t>e it is stated otherwise.</w:t>
      </w:r>
    </w:p>
    <w:p w:rsidR="007B3E55" w:rsidRDefault="007B3E55" w:rsidP="007B3E55">
      <w:pPr>
        <w:pStyle w:val="Heading2"/>
        <w:numPr>
          <w:ilvl w:val="0"/>
          <w:numId w:val="13"/>
        </w:numPr>
        <w:tabs>
          <w:tab w:val="num" w:pos="360"/>
        </w:tabs>
        <w:spacing w:before="120"/>
        <w:ind w:left="360" w:hanging="270"/>
        <w:rPr>
          <w:b w:val="0"/>
          <w:sz w:val="18"/>
          <w:szCs w:val="18"/>
        </w:rPr>
      </w:pPr>
      <w:r>
        <w:rPr>
          <w:b w:val="0"/>
          <w:sz w:val="18"/>
          <w:szCs w:val="18"/>
        </w:rPr>
        <w:t>A (2,3) household is one comprising 2 adults and 3 children (aged under 18 years), and so on.</w:t>
      </w:r>
    </w:p>
    <w:p w:rsidR="007B3E55" w:rsidRPr="00C70B16" w:rsidRDefault="007B3E55" w:rsidP="007B3E55">
      <w:pPr>
        <w:rPr>
          <w:lang w:val="en-NZ"/>
        </w:rPr>
      </w:pPr>
    </w:p>
    <w:p w:rsidR="007B3E55" w:rsidRPr="00C70B16" w:rsidRDefault="007B3E55" w:rsidP="007B3E55">
      <w:pPr>
        <w:rPr>
          <w:lang w:val="en-NZ"/>
        </w:rPr>
      </w:pPr>
    </w:p>
    <w:p w:rsidR="007B3E55" w:rsidRPr="00E05A73" w:rsidRDefault="007B3E55" w:rsidP="007B3E55">
      <w:pPr>
        <w:rPr>
          <w:lang w:val="en-NZ"/>
        </w:rPr>
      </w:pPr>
    </w:p>
    <w:p w:rsidR="007B3E55" w:rsidRDefault="007B3E55" w:rsidP="007B3E55">
      <w:pPr>
        <w:pStyle w:val="Heading2"/>
        <w:rPr>
          <w:sz w:val="22"/>
          <w:szCs w:val="22"/>
        </w:rPr>
      </w:pPr>
    </w:p>
    <w:p w:rsidR="007B3E55" w:rsidRPr="00A525FF" w:rsidRDefault="007B3E55" w:rsidP="007B3E55">
      <w:pPr>
        <w:rPr>
          <w:lang w:val="en-NZ"/>
        </w:rPr>
      </w:pPr>
    </w:p>
    <w:p w:rsidR="007B3E55" w:rsidRPr="00BE68EA" w:rsidRDefault="007B3E55" w:rsidP="007B3E55">
      <w:pPr>
        <w:pStyle w:val="Heading2"/>
        <w:rPr>
          <w:sz w:val="22"/>
          <w:szCs w:val="22"/>
        </w:rPr>
      </w:pPr>
      <w:r>
        <w:rPr>
          <w:sz w:val="22"/>
          <w:szCs w:val="22"/>
        </w:rPr>
        <w:br w:type="page"/>
      </w:r>
      <w:r w:rsidRPr="00BE68EA">
        <w:rPr>
          <w:sz w:val="22"/>
          <w:szCs w:val="22"/>
        </w:rPr>
        <w:lastRenderedPageBreak/>
        <w:t>Income sharing unit and the unit of analysis for the presentation of results</w:t>
      </w:r>
      <w:bookmarkEnd w:id="1"/>
      <w:bookmarkEnd w:id="2"/>
    </w:p>
    <w:p w:rsidR="007B3E55" w:rsidRPr="00AB6EC7" w:rsidRDefault="007B3E55" w:rsidP="007B3E55">
      <w:pPr>
        <w:jc w:val="both"/>
        <w:rPr>
          <w:rFonts w:cs="Arial"/>
          <w:b/>
          <w:sz w:val="20"/>
        </w:rPr>
      </w:pPr>
    </w:p>
    <w:p w:rsidR="007B3E55" w:rsidRPr="00C0341E" w:rsidRDefault="007B3E55" w:rsidP="007B3E55">
      <w:pPr>
        <w:jc w:val="both"/>
        <w:rPr>
          <w:rFonts w:cs="Arial"/>
          <w:sz w:val="20"/>
          <w:szCs w:val="22"/>
        </w:rPr>
      </w:pPr>
      <w:r w:rsidRPr="00C0341E">
        <w:rPr>
          <w:rFonts w:cs="Arial"/>
          <w:sz w:val="20"/>
          <w:szCs w:val="22"/>
        </w:rPr>
        <w:t>The household is used as the income sharing unit (or unit of income aggregation).  All individuals in the household are assumed to benefit reasonably equally from the combined income of the household and to share a similar standard of living.  Clearly this is not always the case but it is “defensible as [an approximation] to a very complicated reality of intra- and inter-household patterns of sharing” (Bradbury, 2003:25).</w:t>
      </w:r>
    </w:p>
    <w:p w:rsidR="007B3E55" w:rsidRPr="00C0341E" w:rsidRDefault="007B3E55" w:rsidP="007B3E55">
      <w:pPr>
        <w:jc w:val="both"/>
        <w:rPr>
          <w:rFonts w:cs="Arial"/>
          <w:sz w:val="20"/>
          <w:szCs w:val="22"/>
        </w:rPr>
      </w:pPr>
    </w:p>
    <w:p w:rsidR="007B3E55" w:rsidRPr="00C0341E" w:rsidRDefault="007B3E55" w:rsidP="007B3E55">
      <w:pPr>
        <w:jc w:val="both"/>
        <w:rPr>
          <w:sz w:val="20"/>
        </w:rPr>
      </w:pPr>
      <w:r w:rsidRPr="00C0341E">
        <w:rPr>
          <w:sz w:val="20"/>
        </w:rPr>
        <w:t>The use of the household as the income sharing unit is in line with international standard practice.</w:t>
      </w:r>
      <w:r w:rsidRPr="00C0341E">
        <w:rPr>
          <w:rStyle w:val="FootnoteReference"/>
          <w:sz w:val="20"/>
        </w:rPr>
        <w:footnoteReference w:id="14"/>
      </w:r>
      <w:r w:rsidRPr="00C0341E">
        <w:rPr>
          <w:sz w:val="20"/>
        </w:rPr>
        <w:t xml:space="preserve">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The unit of analysis for reporting purposes is the individual.  The household’s equivalised disposable income is attributed to each household member as an indicator of the individual’s (potential) living standards and is used for ranking purposes.</w:t>
      </w:r>
      <w:r w:rsidRPr="00C0341E">
        <w:rPr>
          <w:rStyle w:val="FootnoteReference"/>
          <w:rFonts w:cs="Arial"/>
          <w:sz w:val="20"/>
          <w:szCs w:val="22"/>
        </w:rPr>
        <w:footnoteReference w:id="15"/>
      </w:r>
    </w:p>
    <w:p w:rsidR="007B3E55" w:rsidRPr="00C0341E" w:rsidRDefault="007B3E55" w:rsidP="007B3E55">
      <w:pPr>
        <w:jc w:val="both"/>
        <w:rPr>
          <w:rFonts w:cs="Arial"/>
          <w:sz w:val="20"/>
          <w:szCs w:val="22"/>
        </w:rPr>
      </w:pPr>
    </w:p>
    <w:p w:rsidR="007B3E55" w:rsidRPr="00C0341E" w:rsidRDefault="007B3E55" w:rsidP="007B3E55">
      <w:pPr>
        <w:jc w:val="both"/>
        <w:rPr>
          <w:sz w:val="20"/>
        </w:rPr>
      </w:pPr>
      <w:r w:rsidRPr="00C0341E">
        <w:rPr>
          <w:sz w:val="20"/>
        </w:rPr>
        <w:t>For subgroup analysis individuals are grouped by their own characteristics (eg age), or by the characteristics of their household or family type</w:t>
      </w:r>
      <w:r>
        <w:rPr>
          <w:sz w:val="20"/>
        </w:rPr>
        <w:t xml:space="preserve"> (eg two-</w:t>
      </w:r>
      <w:r w:rsidRPr="00C0341E">
        <w:rPr>
          <w:sz w:val="20"/>
        </w:rPr>
        <w:t>parent, ‘workless’, and so on).  In all cases the individual is ranked or classified according to the income of their household as this gives the best income-based indication of their economic wellbeing, in line with the central purpose of this report.</w:t>
      </w:r>
    </w:p>
    <w:p w:rsidR="007B3E55" w:rsidRPr="00C0341E" w:rsidRDefault="007B3E55" w:rsidP="007B3E55">
      <w:pPr>
        <w:jc w:val="both"/>
        <w:rPr>
          <w:sz w:val="20"/>
        </w:rPr>
      </w:pPr>
    </w:p>
    <w:p w:rsidR="007B3E55" w:rsidRPr="00C0341E" w:rsidRDefault="007B3E55" w:rsidP="007B3E55">
      <w:pPr>
        <w:jc w:val="both"/>
        <w:rPr>
          <w:sz w:val="20"/>
        </w:rPr>
      </w:pPr>
      <w:r w:rsidRPr="00C0341E">
        <w:rPr>
          <w:sz w:val="20"/>
        </w:rPr>
        <w:t xml:space="preserve">A key subgroup in this report is dependent children.   Dependent children are all those under 18 years, except for those 16 and 17 year olds who are in receipt of a benefit in their own right or who are employed for 30 hours or more a week.   </w:t>
      </w:r>
    </w:p>
    <w:p w:rsidR="007B3E55" w:rsidRPr="00C0341E" w:rsidRDefault="007B3E55" w:rsidP="007B3E55">
      <w:pPr>
        <w:jc w:val="both"/>
        <w:rPr>
          <w:sz w:val="20"/>
        </w:rPr>
      </w:pPr>
    </w:p>
    <w:p w:rsidR="007B3E55" w:rsidRPr="00C0341E" w:rsidRDefault="007B3E55" w:rsidP="007B3E55">
      <w:pPr>
        <w:jc w:val="both"/>
        <w:rPr>
          <w:sz w:val="20"/>
          <w:szCs w:val="22"/>
        </w:rPr>
      </w:pPr>
      <w:r w:rsidRPr="00C0341E">
        <w:rPr>
          <w:sz w:val="20"/>
        </w:rPr>
        <w:t>For international comparisons using OECD data, children are taken as all those under 18 years.   The use of ‘0 to17 years’ rather than ‘dependent children’ makes virtually no difference to the reported results.</w:t>
      </w:r>
    </w:p>
    <w:p w:rsidR="007B3E55" w:rsidRDefault="007B3E55" w:rsidP="007B3E55">
      <w:pPr>
        <w:jc w:val="both"/>
        <w:rPr>
          <w:sz w:val="20"/>
        </w:rPr>
      </w:pPr>
      <w:r w:rsidRPr="00C0341E">
        <w:rPr>
          <w:sz w:val="20"/>
        </w:rPr>
        <w:t xml:space="preserve"> </w:t>
      </w:r>
    </w:p>
    <w:p w:rsidR="007B3E55" w:rsidRPr="00C0341E" w:rsidRDefault="007B3E55" w:rsidP="007B3E55">
      <w:pPr>
        <w:jc w:val="both"/>
        <w:rPr>
          <w:sz w:val="20"/>
        </w:rPr>
      </w:pPr>
    </w:p>
    <w:p w:rsidR="007B3E55" w:rsidRPr="00C0341E" w:rsidRDefault="007B3E55" w:rsidP="007B3E55">
      <w:pPr>
        <w:pStyle w:val="FootnoteText"/>
        <w:jc w:val="both"/>
        <w:rPr>
          <w:sz w:val="20"/>
          <w:szCs w:val="22"/>
          <w:u w:val="single"/>
        </w:rPr>
      </w:pPr>
      <w:bookmarkStart w:id="3" w:name="_Toc115142412"/>
      <w:r w:rsidRPr="00C0341E">
        <w:rPr>
          <w:sz w:val="20"/>
          <w:szCs w:val="22"/>
          <w:u w:val="single"/>
        </w:rPr>
        <w:t>The economic family unit (</w:t>
      </w:r>
      <w:smartTag w:uri="urn:schemas-microsoft-com:office:smarttags" w:element="stockticker">
        <w:r w:rsidRPr="00C0341E">
          <w:rPr>
            <w:sz w:val="20"/>
            <w:szCs w:val="22"/>
            <w:u w:val="single"/>
          </w:rPr>
          <w:t>EFU</w:t>
        </w:r>
      </w:smartTag>
      <w:r w:rsidRPr="00C0341E">
        <w:rPr>
          <w:sz w:val="20"/>
          <w:szCs w:val="22"/>
          <w:u w:val="single"/>
        </w:rPr>
        <w:t>)</w:t>
      </w:r>
    </w:p>
    <w:p w:rsidR="007B3E55" w:rsidRPr="00C0341E" w:rsidRDefault="007B3E55" w:rsidP="007B3E55">
      <w:pPr>
        <w:pStyle w:val="FootnoteText"/>
        <w:jc w:val="both"/>
        <w:rPr>
          <w:sz w:val="20"/>
          <w:szCs w:val="22"/>
        </w:rPr>
      </w:pPr>
    </w:p>
    <w:p w:rsidR="007B3E55" w:rsidRPr="00C0341E" w:rsidRDefault="007B3E55" w:rsidP="007B3E55">
      <w:pPr>
        <w:pStyle w:val="FootnoteText"/>
        <w:jc w:val="both"/>
        <w:rPr>
          <w:sz w:val="20"/>
          <w:szCs w:val="22"/>
        </w:rPr>
      </w:pPr>
      <w:r w:rsidRPr="00C0341E">
        <w:rPr>
          <w:sz w:val="20"/>
          <w:szCs w:val="22"/>
        </w:rPr>
        <w:t xml:space="preserve">An alternative income sharing unit that has sometimes been used is the benefit eligibility unit, often referred to in </w:t>
      </w:r>
      <w:smartTag w:uri="urn:schemas-microsoft-com:office:smarttags" w:element="place">
        <w:smartTag w:uri="urn:schemas-microsoft-com:office:smarttags" w:element="country-region">
          <w:r w:rsidRPr="00C0341E">
            <w:rPr>
              <w:sz w:val="20"/>
              <w:szCs w:val="22"/>
            </w:rPr>
            <w:t>New Zealand</w:t>
          </w:r>
        </w:smartTag>
      </w:smartTag>
      <w:r w:rsidRPr="00C0341E">
        <w:rPr>
          <w:sz w:val="20"/>
          <w:szCs w:val="22"/>
        </w:rPr>
        <w:t xml:space="preserve"> as the economic family unit or </w:t>
      </w:r>
      <w:smartTag w:uri="urn:schemas-microsoft-com:office:smarttags" w:element="stockticker">
        <w:r w:rsidRPr="00C0341E">
          <w:rPr>
            <w:sz w:val="20"/>
            <w:szCs w:val="22"/>
          </w:rPr>
          <w:t>EFU</w:t>
        </w:r>
      </w:smartTag>
      <w:r w:rsidRPr="00C0341E">
        <w:rPr>
          <w:sz w:val="20"/>
          <w:szCs w:val="22"/>
        </w:rPr>
        <w:t xml:space="preserve">.  The </w:t>
      </w:r>
      <w:smartTag w:uri="urn:schemas-microsoft-com:office:smarttags" w:element="stockticker">
        <w:r w:rsidRPr="00C0341E">
          <w:rPr>
            <w:sz w:val="20"/>
            <w:szCs w:val="22"/>
          </w:rPr>
          <w:t>EFU</w:t>
        </w:r>
      </w:smartTag>
      <w:r w:rsidRPr="00C0341E">
        <w:rPr>
          <w:sz w:val="20"/>
          <w:szCs w:val="22"/>
        </w:rPr>
        <w:t xml:space="preserve"> approach allows for only three ways to group individuals when it comes to income sharing: couple only, two parent with dependent children, and sole parent with dependent children.  All other individuals are treated as if they are ‘on their own’ even when they share (to varying degrees) in the general resources of a larger household.  The Ministry of Social Development used the </w:t>
      </w:r>
      <w:smartTag w:uri="urn:schemas-microsoft-com:office:smarttags" w:element="stockticker">
        <w:r w:rsidRPr="00C0341E">
          <w:rPr>
            <w:sz w:val="20"/>
            <w:szCs w:val="22"/>
          </w:rPr>
          <w:t>EFU</w:t>
        </w:r>
      </w:smartTag>
      <w:r w:rsidRPr="00C0341E">
        <w:rPr>
          <w:sz w:val="20"/>
          <w:szCs w:val="22"/>
        </w:rPr>
        <w:t xml:space="preserve"> approach in incomes analysis from 2002 to 2006</w:t>
      </w:r>
      <w:r>
        <w:rPr>
          <w:sz w:val="20"/>
          <w:szCs w:val="22"/>
        </w:rPr>
        <w:t xml:space="preserve"> but </w:t>
      </w:r>
      <w:r w:rsidRPr="00C0341E">
        <w:rPr>
          <w:sz w:val="20"/>
          <w:szCs w:val="22"/>
        </w:rPr>
        <w:t xml:space="preserve">reverted to the household approach </w:t>
      </w:r>
      <w:r>
        <w:rPr>
          <w:sz w:val="20"/>
          <w:szCs w:val="22"/>
        </w:rPr>
        <w:t xml:space="preserve">in 2007 </w:t>
      </w:r>
      <w:r w:rsidRPr="00C0341E">
        <w:rPr>
          <w:sz w:val="20"/>
          <w:szCs w:val="22"/>
        </w:rPr>
        <w:t>as fewer anomalies are created by this approach.  It also br</w:t>
      </w:r>
      <w:r>
        <w:rPr>
          <w:sz w:val="20"/>
          <w:szCs w:val="22"/>
        </w:rPr>
        <w:t>ought</w:t>
      </w:r>
      <w:r w:rsidRPr="00C0341E">
        <w:rPr>
          <w:sz w:val="20"/>
          <w:szCs w:val="22"/>
        </w:rPr>
        <w:t xml:space="preserve"> </w:t>
      </w:r>
      <w:smartTag w:uri="urn:schemas-microsoft-com:office:smarttags" w:element="place">
        <w:smartTag w:uri="urn:schemas-microsoft-com:office:smarttags" w:element="country-region">
          <w:r w:rsidRPr="00C0341E">
            <w:rPr>
              <w:sz w:val="20"/>
              <w:szCs w:val="22"/>
            </w:rPr>
            <w:t>New Zealand</w:t>
          </w:r>
        </w:smartTag>
      </w:smartTag>
      <w:r w:rsidRPr="00C0341E">
        <w:rPr>
          <w:sz w:val="20"/>
          <w:szCs w:val="22"/>
        </w:rPr>
        <w:t xml:space="preserve"> back into line with international practice.</w:t>
      </w:r>
      <w:r w:rsidRPr="00C0341E">
        <w:rPr>
          <w:rStyle w:val="FootnoteReference"/>
          <w:sz w:val="20"/>
          <w:szCs w:val="22"/>
        </w:rPr>
        <w:footnoteReference w:id="16"/>
      </w:r>
      <w:r w:rsidRPr="00C0341E">
        <w:rPr>
          <w:sz w:val="20"/>
          <w:szCs w:val="22"/>
        </w:rPr>
        <w:t xml:space="preserve"> </w:t>
      </w:r>
    </w:p>
    <w:p w:rsidR="007B3E55" w:rsidRPr="00AB6EC7" w:rsidRDefault="007B3E55" w:rsidP="007B3E55">
      <w:pPr>
        <w:pStyle w:val="FootnoteText"/>
        <w:jc w:val="both"/>
        <w:rPr>
          <w:sz w:val="20"/>
        </w:rPr>
      </w:pPr>
    </w:p>
    <w:p w:rsidR="007B3E55" w:rsidRPr="00AB6EC7" w:rsidRDefault="007B3E55" w:rsidP="007B3E55">
      <w:pPr>
        <w:pStyle w:val="Heading2"/>
        <w:rPr>
          <w:sz w:val="20"/>
          <w:szCs w:val="20"/>
        </w:rPr>
      </w:pPr>
    </w:p>
    <w:p w:rsidR="007B3E55" w:rsidRPr="00BE68EA" w:rsidRDefault="007B3E55" w:rsidP="007B3E55">
      <w:pPr>
        <w:pStyle w:val="Heading2"/>
        <w:rPr>
          <w:sz w:val="22"/>
          <w:szCs w:val="22"/>
        </w:rPr>
      </w:pPr>
      <w:r>
        <w:rPr>
          <w:sz w:val="22"/>
          <w:szCs w:val="22"/>
        </w:rPr>
        <w:br w:type="page"/>
      </w:r>
      <w:r>
        <w:rPr>
          <w:sz w:val="22"/>
          <w:szCs w:val="22"/>
        </w:rPr>
        <w:lastRenderedPageBreak/>
        <w:t>Rules for determining household membership</w:t>
      </w:r>
    </w:p>
    <w:p w:rsidR="007B3E55" w:rsidRPr="00AB6EC7" w:rsidRDefault="007B3E55" w:rsidP="007B3E55">
      <w:pPr>
        <w:jc w:val="both"/>
        <w:rPr>
          <w:rFonts w:cs="Arial"/>
          <w:b/>
          <w:sz w:val="20"/>
        </w:rPr>
      </w:pPr>
    </w:p>
    <w:bookmarkEnd w:id="3"/>
    <w:p w:rsidR="007B3E55" w:rsidRDefault="007B3E55" w:rsidP="007B3E55">
      <w:pPr>
        <w:pStyle w:val="Heading2"/>
        <w:jc w:val="both"/>
        <w:rPr>
          <w:b w:val="0"/>
          <w:sz w:val="20"/>
          <w:szCs w:val="20"/>
        </w:rPr>
      </w:pPr>
      <w:r>
        <w:rPr>
          <w:b w:val="0"/>
          <w:sz w:val="20"/>
          <w:szCs w:val="20"/>
        </w:rPr>
        <w:t>A household for the HES</w:t>
      </w:r>
      <w:r w:rsidRPr="00AB6EC7">
        <w:rPr>
          <w:b w:val="0"/>
          <w:sz w:val="20"/>
          <w:szCs w:val="20"/>
        </w:rPr>
        <w:t xml:space="preserve"> relates to a ‘private household’ which is defined as: </w:t>
      </w:r>
    </w:p>
    <w:p w:rsidR="007B3E55" w:rsidRDefault="007B3E55" w:rsidP="00614C04">
      <w:pPr>
        <w:pStyle w:val="Heading2"/>
        <w:numPr>
          <w:ilvl w:val="0"/>
          <w:numId w:val="30"/>
        </w:numPr>
        <w:spacing w:before="60"/>
        <w:ind w:hanging="274"/>
        <w:jc w:val="both"/>
        <w:rPr>
          <w:b w:val="0"/>
          <w:sz w:val="20"/>
          <w:szCs w:val="20"/>
        </w:rPr>
      </w:pPr>
      <w:r>
        <w:rPr>
          <w:b w:val="0"/>
          <w:sz w:val="20"/>
          <w:szCs w:val="20"/>
        </w:rPr>
        <w:t xml:space="preserve">either </w:t>
      </w:r>
      <w:r w:rsidRPr="00AB6EC7">
        <w:rPr>
          <w:b w:val="0"/>
          <w:sz w:val="20"/>
          <w:szCs w:val="20"/>
        </w:rPr>
        <w:t>a single individual living in a dwelling who makes his or he</w:t>
      </w:r>
      <w:r>
        <w:rPr>
          <w:b w:val="0"/>
          <w:sz w:val="20"/>
          <w:szCs w:val="20"/>
        </w:rPr>
        <w:t>r own housekeeping arrangements</w:t>
      </w:r>
      <w:r w:rsidRPr="00AB6EC7">
        <w:rPr>
          <w:b w:val="0"/>
          <w:sz w:val="20"/>
          <w:szCs w:val="20"/>
        </w:rPr>
        <w:t xml:space="preserve"> </w:t>
      </w:r>
    </w:p>
    <w:p w:rsidR="007B3E55" w:rsidRDefault="007B3E55" w:rsidP="00614C04">
      <w:pPr>
        <w:pStyle w:val="Heading2"/>
        <w:numPr>
          <w:ilvl w:val="0"/>
          <w:numId w:val="30"/>
        </w:numPr>
        <w:spacing w:before="60"/>
        <w:ind w:hanging="274"/>
        <w:jc w:val="both"/>
        <w:rPr>
          <w:sz w:val="22"/>
          <w:szCs w:val="22"/>
        </w:rPr>
      </w:pPr>
      <w:r>
        <w:rPr>
          <w:b w:val="0"/>
          <w:sz w:val="20"/>
          <w:szCs w:val="20"/>
        </w:rPr>
        <w:t>or</w:t>
      </w:r>
      <w:r w:rsidRPr="00AB6EC7">
        <w:rPr>
          <w:b w:val="0"/>
          <w:sz w:val="20"/>
          <w:szCs w:val="20"/>
        </w:rPr>
        <w:t xml:space="preserve"> a group of people living in or sharing a dwelling for four or more days a week, who participate in some measure at least in consumption of food pur</w:t>
      </w:r>
      <w:r>
        <w:rPr>
          <w:b w:val="0"/>
          <w:sz w:val="20"/>
          <w:szCs w:val="20"/>
        </w:rPr>
        <w:t xml:space="preserve">chased for joint use by </w:t>
      </w:r>
      <w:r w:rsidRPr="00DD4050">
        <w:rPr>
          <w:b w:val="0"/>
          <w:sz w:val="20"/>
          <w:szCs w:val="20"/>
        </w:rPr>
        <w:t>members  (or who</w:t>
      </w:r>
      <w:r w:rsidRPr="00AB6EC7">
        <w:rPr>
          <w:b w:val="0"/>
          <w:sz w:val="20"/>
          <w:szCs w:val="20"/>
        </w:rPr>
        <w:t>, if not dependent upon a household member, contribute some portion of income towards the provision of essentials of living for the household as a whole</w:t>
      </w:r>
      <w:r>
        <w:rPr>
          <w:b w:val="0"/>
          <w:sz w:val="20"/>
          <w:szCs w:val="20"/>
        </w:rPr>
        <w:t>)</w:t>
      </w:r>
      <w:r w:rsidRPr="00AB6EC7">
        <w:rPr>
          <w:b w:val="0"/>
          <w:sz w:val="20"/>
          <w:szCs w:val="20"/>
        </w:rPr>
        <w:t>.</w:t>
      </w:r>
    </w:p>
    <w:p w:rsidR="007B3E55" w:rsidRDefault="007B3E55" w:rsidP="007B3E55">
      <w:pPr>
        <w:pStyle w:val="Heading2"/>
        <w:jc w:val="both"/>
        <w:rPr>
          <w:sz w:val="22"/>
          <w:szCs w:val="22"/>
        </w:rPr>
      </w:pPr>
    </w:p>
    <w:p w:rsidR="007B3E55" w:rsidRDefault="007B3E55" w:rsidP="007B3E55">
      <w:pPr>
        <w:pStyle w:val="Heading2"/>
        <w:jc w:val="both"/>
        <w:rPr>
          <w:b w:val="0"/>
          <w:sz w:val="20"/>
          <w:szCs w:val="20"/>
        </w:rPr>
      </w:pPr>
      <w:r>
        <w:rPr>
          <w:b w:val="0"/>
          <w:sz w:val="20"/>
          <w:szCs w:val="20"/>
        </w:rPr>
        <w:t>The following are included in the household for survey purposes</w:t>
      </w:r>
      <w:r w:rsidRPr="00AB6EC7">
        <w:rPr>
          <w:b w:val="0"/>
          <w:sz w:val="20"/>
          <w:szCs w:val="20"/>
        </w:rPr>
        <w:t xml:space="preserve">: </w:t>
      </w:r>
    </w:p>
    <w:p w:rsidR="007B3E55" w:rsidRDefault="007B3E55" w:rsidP="00614C04">
      <w:pPr>
        <w:pStyle w:val="Heading2"/>
        <w:numPr>
          <w:ilvl w:val="0"/>
          <w:numId w:val="31"/>
        </w:numPr>
        <w:tabs>
          <w:tab w:val="clear" w:pos="630"/>
          <w:tab w:val="num" w:pos="720"/>
        </w:tabs>
        <w:spacing w:before="60"/>
        <w:ind w:left="720" w:hanging="274"/>
        <w:jc w:val="both"/>
        <w:rPr>
          <w:b w:val="0"/>
          <w:sz w:val="20"/>
          <w:szCs w:val="20"/>
        </w:rPr>
      </w:pPr>
      <w:r w:rsidRPr="00AB6EC7">
        <w:rPr>
          <w:b w:val="0"/>
          <w:sz w:val="20"/>
          <w:szCs w:val="20"/>
        </w:rPr>
        <w:t xml:space="preserve">any person who, because of the nature of his or her occupation cannot spend as many as four nights a week in the household but who makes a financial contribution to the running of the household and is not currently a member of another </w:t>
      </w:r>
      <w:smartTag w:uri="urn:schemas-microsoft-com:office:smarttags" w:element="place">
        <w:smartTag w:uri="urn:schemas-microsoft-com:office:smarttags" w:element="country-region">
          <w:r w:rsidRPr="00AB6EC7">
            <w:rPr>
              <w:b w:val="0"/>
              <w:sz w:val="20"/>
              <w:szCs w:val="20"/>
            </w:rPr>
            <w:t>N</w:t>
          </w:r>
          <w:r>
            <w:rPr>
              <w:b w:val="0"/>
              <w:sz w:val="20"/>
              <w:szCs w:val="20"/>
            </w:rPr>
            <w:t>ew Zealand</w:t>
          </w:r>
        </w:smartTag>
      </w:smartTag>
      <w:r w:rsidRPr="00AB6EC7">
        <w:rPr>
          <w:b w:val="0"/>
          <w:sz w:val="20"/>
          <w:szCs w:val="20"/>
        </w:rPr>
        <w:t xml:space="preserve"> resident private ho</w:t>
      </w:r>
      <w:r>
        <w:rPr>
          <w:b w:val="0"/>
          <w:sz w:val="20"/>
          <w:szCs w:val="20"/>
        </w:rPr>
        <w:t>usehold in a permanent dwelling</w:t>
      </w:r>
      <w:r w:rsidRPr="00AB6EC7">
        <w:rPr>
          <w:b w:val="0"/>
          <w:sz w:val="20"/>
          <w:szCs w:val="20"/>
        </w:rPr>
        <w:t xml:space="preserve"> </w:t>
      </w:r>
    </w:p>
    <w:p w:rsidR="007B3E55" w:rsidRDefault="007B3E55" w:rsidP="00614C04">
      <w:pPr>
        <w:pStyle w:val="Heading2"/>
        <w:numPr>
          <w:ilvl w:val="0"/>
          <w:numId w:val="31"/>
        </w:numPr>
        <w:tabs>
          <w:tab w:val="clear" w:pos="630"/>
          <w:tab w:val="num" w:pos="720"/>
        </w:tabs>
        <w:spacing w:before="60"/>
        <w:ind w:left="720" w:hanging="274"/>
        <w:jc w:val="both"/>
        <w:rPr>
          <w:b w:val="0"/>
          <w:sz w:val="20"/>
          <w:szCs w:val="20"/>
        </w:rPr>
      </w:pPr>
      <w:r w:rsidRPr="00AB6EC7">
        <w:rPr>
          <w:b w:val="0"/>
          <w:sz w:val="20"/>
          <w:szCs w:val="20"/>
        </w:rPr>
        <w:t>any person at boarding school or other non-private institution who usually spends holidays or other continuous periods at home, and whose living costs are subsidised by at le</w:t>
      </w:r>
      <w:r>
        <w:rPr>
          <w:b w:val="0"/>
          <w:sz w:val="20"/>
          <w:szCs w:val="20"/>
        </w:rPr>
        <w:t>ast 50 percent by the household</w:t>
      </w:r>
      <w:r w:rsidRPr="00AB6EC7">
        <w:rPr>
          <w:b w:val="0"/>
          <w:sz w:val="20"/>
          <w:szCs w:val="20"/>
        </w:rPr>
        <w:t xml:space="preserve"> </w:t>
      </w:r>
    </w:p>
    <w:p w:rsidR="007B3E55" w:rsidRPr="00DD4050" w:rsidRDefault="007B3E55" w:rsidP="00614C04">
      <w:pPr>
        <w:pStyle w:val="Heading2"/>
        <w:numPr>
          <w:ilvl w:val="0"/>
          <w:numId w:val="31"/>
        </w:numPr>
        <w:tabs>
          <w:tab w:val="clear" w:pos="630"/>
          <w:tab w:val="num" w:pos="720"/>
        </w:tabs>
        <w:spacing w:before="60"/>
        <w:ind w:left="720" w:hanging="274"/>
        <w:jc w:val="both"/>
        <w:rPr>
          <w:sz w:val="22"/>
          <w:szCs w:val="22"/>
        </w:rPr>
      </w:pPr>
      <w:r w:rsidRPr="00AB6EC7">
        <w:rPr>
          <w:b w:val="0"/>
          <w:sz w:val="20"/>
          <w:szCs w:val="20"/>
        </w:rPr>
        <w:t>any child whose custody is shared between two households but who spends more than half their time in the sampled hou</w:t>
      </w:r>
      <w:r>
        <w:rPr>
          <w:b w:val="0"/>
          <w:sz w:val="20"/>
          <w:szCs w:val="20"/>
        </w:rPr>
        <w:t xml:space="preserve">sehold </w:t>
      </w:r>
      <w:r>
        <w:rPr>
          <w:b w:val="0"/>
          <w:sz w:val="20"/>
        </w:rPr>
        <w:t>–</w:t>
      </w:r>
      <w:r>
        <w:rPr>
          <w:b w:val="0"/>
          <w:sz w:val="20"/>
          <w:szCs w:val="20"/>
        </w:rPr>
        <w:t xml:space="preserve"> w</w:t>
      </w:r>
      <w:r w:rsidRPr="00AB6EC7">
        <w:rPr>
          <w:b w:val="0"/>
          <w:sz w:val="20"/>
          <w:szCs w:val="20"/>
        </w:rPr>
        <w:t>here custody</w:t>
      </w:r>
      <w:r>
        <w:rPr>
          <w:b w:val="0"/>
          <w:sz w:val="20"/>
          <w:szCs w:val="20"/>
        </w:rPr>
        <w:t xml:space="preserve"> or </w:t>
      </w:r>
      <w:r w:rsidRPr="00AB6EC7">
        <w:rPr>
          <w:b w:val="0"/>
          <w:sz w:val="20"/>
          <w:szCs w:val="20"/>
        </w:rPr>
        <w:t>care is shared equally between two households, the child should be included in the sampled household only if they are there the night the household questionnaire is completed</w:t>
      </w:r>
      <w:r>
        <w:rPr>
          <w:b w:val="0"/>
          <w:sz w:val="20"/>
          <w:szCs w:val="20"/>
        </w:rPr>
        <w:t>.</w:t>
      </w:r>
    </w:p>
    <w:p w:rsidR="007B3E55" w:rsidRDefault="007B3E55" w:rsidP="007B3E55">
      <w:pPr>
        <w:pStyle w:val="Heading2"/>
        <w:jc w:val="both"/>
        <w:rPr>
          <w:b w:val="0"/>
          <w:sz w:val="20"/>
          <w:szCs w:val="20"/>
        </w:rPr>
      </w:pPr>
    </w:p>
    <w:p w:rsidR="007B3E55" w:rsidRPr="00E041C1" w:rsidRDefault="007B3E55" w:rsidP="007B3E55">
      <w:pPr>
        <w:rPr>
          <w:lang w:val="en-NZ"/>
        </w:rPr>
      </w:pPr>
    </w:p>
    <w:p w:rsidR="007B3E55" w:rsidRDefault="007B3E55" w:rsidP="007B3E55">
      <w:pPr>
        <w:pStyle w:val="Heading2"/>
        <w:spacing w:before="60"/>
        <w:jc w:val="both"/>
        <w:rPr>
          <w:sz w:val="22"/>
          <w:szCs w:val="22"/>
        </w:rPr>
      </w:pPr>
      <w:r>
        <w:rPr>
          <w:sz w:val="22"/>
          <w:szCs w:val="22"/>
        </w:rPr>
        <w:t>The bottom income decile: income not a reliable indicator of material wellbeing</w:t>
      </w:r>
    </w:p>
    <w:p w:rsidR="007B3E55" w:rsidRDefault="007B3E55" w:rsidP="007B3E55">
      <w:pPr>
        <w:pStyle w:val="Heading2"/>
        <w:rPr>
          <w:sz w:val="22"/>
          <w:szCs w:val="22"/>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While household income is far from perfect as a measure of material wellbeing it is generally a useful enough indicator.   There are however some households for whom it would clearly be very misleading to take their incomes as even a rough and ready indicator of their material living standards.   This assessment is based on comparisons with </w:t>
      </w:r>
      <w:r>
        <w:rPr>
          <w:rFonts w:cs="Arial"/>
          <w:sz w:val="20"/>
          <w:szCs w:val="22"/>
          <w:lang w:val="en-NZ"/>
        </w:rPr>
        <w:t xml:space="preserve">income </w:t>
      </w:r>
      <w:r w:rsidRPr="00C0341E">
        <w:rPr>
          <w:rFonts w:cs="Arial"/>
          <w:sz w:val="20"/>
          <w:szCs w:val="22"/>
          <w:lang w:val="en-NZ"/>
        </w:rPr>
        <w:t>information</w:t>
      </w:r>
      <w:r>
        <w:rPr>
          <w:rFonts w:cs="Arial"/>
          <w:sz w:val="20"/>
          <w:szCs w:val="22"/>
          <w:lang w:val="en-NZ"/>
        </w:rPr>
        <w:t xml:space="preserve"> from other surveys and known benefit levels, and from HES expenditure information</w:t>
      </w:r>
      <w:r w:rsidRPr="00C0341E">
        <w:rPr>
          <w:rFonts w:cs="Arial"/>
          <w:sz w:val="20"/>
          <w:szCs w:val="22"/>
          <w:lang w:val="en-NZ"/>
        </w:rPr>
        <w:t>: some households have implausibly low incomes, well below the minimum social support levels; some have reported expenditures well above their reported incomes.</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Some of these households will be declaring income from self-employment which can legitimately be much lower than reported expenditure – the declared income may even be negative.  Others will have accurately reported their incomes but will have had access to loans, gifts or ‘savings’ in one form or other which have been used for purchasing goods and services.   Others will have intentionally or unintentionally under-reported their incomes.   </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Households with implausibly low incomes </w:t>
      </w:r>
      <w:r w:rsidRPr="00916031">
        <w:rPr>
          <w:rFonts w:cs="Arial"/>
          <w:sz w:val="20"/>
          <w:szCs w:val="22"/>
          <w:lang w:val="en-NZ"/>
        </w:rPr>
        <w:t>per se</w:t>
      </w:r>
      <w:r w:rsidRPr="00C0341E">
        <w:rPr>
          <w:rFonts w:cs="Arial"/>
          <w:sz w:val="20"/>
          <w:szCs w:val="22"/>
          <w:lang w:val="en-NZ"/>
        </w:rPr>
        <w:t xml:space="preserve"> are of course found only in the bottom decile (bottom </w:t>
      </w:r>
      <w:r>
        <w:rPr>
          <w:rFonts w:cs="Arial"/>
          <w:sz w:val="20"/>
          <w:szCs w:val="22"/>
          <w:lang w:val="en-NZ"/>
        </w:rPr>
        <w:t>10%</w:t>
      </w:r>
      <w:r w:rsidRPr="00C0341E">
        <w:rPr>
          <w:rFonts w:cs="Arial"/>
          <w:sz w:val="20"/>
          <w:szCs w:val="22"/>
          <w:lang w:val="en-NZ"/>
        </w:rPr>
        <w:t xml:space="preserve"> of the income distribution).  The reported incomes of many at the bottom are less than the incomes provided by government cash benefits or New Zealand Superannuation.  This points to mis-reporting or data entry errors.</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Those reporting expenditure much higher than reported income are found in most parts of the income distribution but the bulk of them are found in the bottom decile.   For example, of all those in households reporting expenditure which is more than three times their income, around 70% to 80% are in the bottom income decile in any survey year.</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This noise in the lower end of the income distribution has only a limited impact on most of the indicators used in this report.  For example, it does not impact greatly on the medians as the bulk of households in question would remain below the median even if their expenditures were taken as better estimates of their actual income than what was reported as such.  Nor does it impact significantly on trends over time for either poverty or inequality indicators.  </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In general the impact is significant where the indicator is highly dependent on the incomes of those in the bottom decile or a little above it.  This means, for example, that point-in-time poverty levels </w:t>
      </w:r>
      <w:r w:rsidRPr="00C0341E">
        <w:rPr>
          <w:rFonts w:cs="Arial"/>
          <w:sz w:val="20"/>
          <w:szCs w:val="22"/>
          <w:lang w:val="en-NZ"/>
        </w:rPr>
        <w:lastRenderedPageBreak/>
        <w:t xml:space="preserve">are noticeably affected when poverty lines are set </w:t>
      </w:r>
      <w:r>
        <w:rPr>
          <w:rFonts w:cs="Arial"/>
          <w:sz w:val="20"/>
          <w:szCs w:val="22"/>
          <w:lang w:val="en-NZ"/>
        </w:rPr>
        <w:t>at levels lower than the</w:t>
      </w:r>
      <w:r w:rsidRPr="00C0341E">
        <w:rPr>
          <w:rFonts w:cs="Arial"/>
          <w:sz w:val="20"/>
          <w:szCs w:val="22"/>
          <w:lang w:val="en-NZ"/>
        </w:rPr>
        <w:t xml:space="preserve"> 50% of median</w:t>
      </w:r>
      <w:r>
        <w:rPr>
          <w:rFonts w:cs="Arial"/>
          <w:sz w:val="20"/>
          <w:szCs w:val="22"/>
          <w:lang w:val="en-NZ"/>
        </w:rPr>
        <w:t xml:space="preserve"> line (eg 40% of median)</w:t>
      </w:r>
      <w:r w:rsidRPr="00C0341E">
        <w:rPr>
          <w:rFonts w:cs="Arial"/>
          <w:sz w:val="20"/>
          <w:szCs w:val="22"/>
          <w:lang w:val="en-NZ"/>
        </w:rPr>
        <w:t xml:space="preserve">.  In addition, the level and trend of the P10 (10th percentile) line and measures of poverty depth (see Section E) are also significantly affected.   </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As appropriate, the report makes comment on the likely impact of the noise at the bottom end of the income distribution in the text associated with affected indicators.  </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b/>
          <w:sz w:val="20"/>
          <w:szCs w:val="22"/>
          <w:lang w:val="en-NZ"/>
        </w:rPr>
        <w:t>Appendices 8 and 9</w:t>
      </w:r>
      <w:r w:rsidRPr="00C0341E">
        <w:rPr>
          <w:rFonts w:cs="Arial"/>
          <w:sz w:val="20"/>
          <w:szCs w:val="22"/>
          <w:lang w:val="en-NZ"/>
        </w:rPr>
        <w:t xml:space="preserve"> provide a fuller discussion of the issue.   </w:t>
      </w:r>
    </w:p>
    <w:p w:rsidR="007B3E55" w:rsidRPr="00E84A72" w:rsidRDefault="007B3E55" w:rsidP="007B3E55">
      <w:pPr>
        <w:rPr>
          <w:rFonts w:cs="Arial"/>
          <w:sz w:val="20"/>
          <w:szCs w:val="22"/>
        </w:rPr>
      </w:pPr>
    </w:p>
    <w:p w:rsidR="007B3E55" w:rsidRPr="00E84A72" w:rsidRDefault="007B3E55" w:rsidP="007B3E55">
      <w:pPr>
        <w:pStyle w:val="Heading2"/>
        <w:rPr>
          <w:b w:val="0"/>
          <w:sz w:val="22"/>
          <w:szCs w:val="22"/>
        </w:rPr>
      </w:pPr>
      <w:bookmarkStart w:id="4" w:name="_Toc115142413"/>
    </w:p>
    <w:p w:rsidR="007B3E55" w:rsidRPr="00BE68EA" w:rsidRDefault="007B3E55" w:rsidP="007B3E55">
      <w:pPr>
        <w:pStyle w:val="Heading2"/>
        <w:rPr>
          <w:sz w:val="22"/>
          <w:szCs w:val="22"/>
        </w:rPr>
      </w:pPr>
      <w:r w:rsidRPr="00BE68EA">
        <w:rPr>
          <w:sz w:val="22"/>
          <w:szCs w:val="22"/>
        </w:rPr>
        <w:t xml:space="preserve">Housing </w:t>
      </w:r>
      <w:r>
        <w:rPr>
          <w:sz w:val="22"/>
          <w:szCs w:val="22"/>
        </w:rPr>
        <w:t>c</w:t>
      </w:r>
      <w:r w:rsidRPr="00BE68EA">
        <w:rPr>
          <w:sz w:val="22"/>
          <w:szCs w:val="22"/>
        </w:rPr>
        <w:t>osts</w:t>
      </w:r>
      <w:bookmarkEnd w:id="4"/>
    </w:p>
    <w:p w:rsidR="007B3E55" w:rsidRDefault="007B3E55" w:rsidP="007B3E55">
      <w:pPr>
        <w:jc w:val="both"/>
        <w:rPr>
          <w:rFonts w:cs="Arial"/>
          <w:szCs w:val="22"/>
        </w:rPr>
      </w:pPr>
    </w:p>
    <w:p w:rsidR="007B3E55" w:rsidRPr="00C0341E" w:rsidRDefault="007B3E55" w:rsidP="007B3E55">
      <w:pPr>
        <w:jc w:val="both"/>
        <w:rPr>
          <w:rFonts w:cs="Arial"/>
          <w:sz w:val="20"/>
          <w:szCs w:val="22"/>
        </w:rPr>
      </w:pPr>
      <w:r w:rsidRPr="00C0341E">
        <w:rPr>
          <w:rFonts w:cs="Arial"/>
          <w:sz w:val="20"/>
          <w:szCs w:val="22"/>
        </w:rPr>
        <w:t>The report provides information based on household income both before deducting housing costs (</w:t>
      </w:r>
      <w:smartTag w:uri="urn:schemas-microsoft-com:office:smarttags" w:element="stockticker">
        <w:r w:rsidRPr="00C0341E">
          <w:rPr>
            <w:rFonts w:cs="Arial"/>
            <w:sz w:val="20"/>
            <w:szCs w:val="22"/>
          </w:rPr>
          <w:t>BHC</w:t>
        </w:r>
      </w:smartTag>
      <w:r w:rsidRPr="00C0341E">
        <w:rPr>
          <w:rFonts w:cs="Arial"/>
          <w:sz w:val="20"/>
          <w:szCs w:val="22"/>
        </w:rPr>
        <w:t>) and after deducting housing costs (</w:t>
      </w:r>
      <w:smartTag w:uri="urn:schemas-microsoft-com:office:smarttags" w:element="stockticker">
        <w:r w:rsidRPr="00C0341E">
          <w:rPr>
            <w:rFonts w:cs="Arial"/>
            <w:sz w:val="20"/>
            <w:szCs w:val="22"/>
          </w:rPr>
          <w:t>AHC</w:t>
        </w:r>
      </w:smartTag>
      <w:r w:rsidRPr="00C0341E">
        <w:rPr>
          <w:rFonts w:cs="Arial"/>
          <w:sz w:val="20"/>
          <w:szCs w:val="22"/>
        </w:rPr>
        <w:t>).</w:t>
      </w:r>
      <w:r w:rsidRPr="00C0341E">
        <w:rPr>
          <w:rStyle w:val="FootnoteReference"/>
          <w:rFonts w:cs="Arial"/>
          <w:sz w:val="20"/>
          <w:szCs w:val="22"/>
        </w:rPr>
        <w:footnoteReference w:id="17"/>
      </w:r>
      <w:r w:rsidRPr="00C0341E">
        <w:rPr>
          <w:rFonts w:cs="Arial"/>
          <w:sz w:val="20"/>
          <w:szCs w:val="22"/>
        </w:rPr>
        <w:t xml:space="preserve">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Housing costs include all mortgage outgoings (principal and interest) together with rent and rates for all household members.</w:t>
      </w:r>
      <w:r w:rsidRPr="00C0341E">
        <w:rPr>
          <w:rStyle w:val="FootnoteReference"/>
          <w:rFonts w:cs="Arial"/>
          <w:sz w:val="20"/>
          <w:szCs w:val="22"/>
        </w:rPr>
        <w:footnoteReference w:id="18"/>
      </w:r>
      <w:r w:rsidRPr="00C0341E">
        <w:rPr>
          <w:rFonts w:cs="Arial"/>
          <w:sz w:val="20"/>
          <w:szCs w:val="22"/>
        </w:rPr>
        <w:t xml:space="preserve">  Repairs and maintenance and dwelling insurance are not included.   Any housing-related cash assistance from the state (eg Accommodation Supplement) is included in household income.  These housing costs make up on average around a quarter of the budget for working</w:t>
      </w:r>
      <w:r>
        <w:rPr>
          <w:rFonts w:cs="Arial"/>
          <w:sz w:val="20"/>
          <w:szCs w:val="22"/>
        </w:rPr>
        <w:t>-</w:t>
      </w:r>
      <w:r w:rsidRPr="00C0341E">
        <w:rPr>
          <w:rFonts w:cs="Arial"/>
          <w:sz w:val="20"/>
          <w:szCs w:val="22"/>
        </w:rPr>
        <w:t xml:space="preserve">age low-income households.  For many with low incomes, housing costs make up much more than a quarter of the budget.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For reporting on overall trends in household income and on income inequality, there is value in seeing the similarities and differences between the two measures (</w:t>
      </w:r>
      <w:smartTag w:uri="urn:schemas-microsoft-com:office:smarttags" w:element="stockticker">
        <w:r w:rsidRPr="00C0341E">
          <w:rPr>
            <w:rFonts w:cs="Arial"/>
            <w:sz w:val="20"/>
            <w:szCs w:val="22"/>
          </w:rPr>
          <w:t>BHC</w:t>
        </w:r>
      </w:smartTag>
      <w:r w:rsidRPr="00C0341E">
        <w:rPr>
          <w:rFonts w:cs="Arial"/>
          <w:sz w:val="20"/>
          <w:szCs w:val="22"/>
        </w:rPr>
        <w:t xml:space="preserve"> and </w:t>
      </w:r>
      <w:smartTag w:uri="urn:schemas-microsoft-com:office:smarttags" w:element="stockticker">
        <w:r w:rsidRPr="00C0341E">
          <w:rPr>
            <w:rFonts w:cs="Arial"/>
            <w:sz w:val="20"/>
            <w:szCs w:val="22"/>
          </w:rPr>
          <w:t>AHC</w:t>
        </w:r>
      </w:smartTag>
      <w:r w:rsidRPr="00C0341E">
        <w:rPr>
          <w:rFonts w:cs="Arial"/>
          <w:sz w:val="20"/>
          <w:szCs w:val="22"/>
        </w:rPr>
        <w:t xml:space="preserve">) and in understanding the differing stories they tell.   For reporting on trends in income poverty over time and for comparing hardship across subgroups of the population, the report recommends the use of </w:t>
      </w:r>
      <w:smartTag w:uri="urn:schemas-microsoft-com:office:smarttags" w:element="stockticker">
        <w:r w:rsidRPr="00C0341E">
          <w:rPr>
            <w:rFonts w:cs="Arial"/>
            <w:sz w:val="20"/>
            <w:szCs w:val="22"/>
          </w:rPr>
          <w:t>AHC</w:t>
        </w:r>
      </w:smartTag>
      <w:r w:rsidRPr="00C0341E">
        <w:rPr>
          <w:rFonts w:cs="Arial"/>
          <w:sz w:val="20"/>
          <w:szCs w:val="22"/>
        </w:rPr>
        <w:t xml:space="preserve"> measures, although both </w:t>
      </w:r>
      <w:smartTag w:uri="urn:schemas-microsoft-com:office:smarttags" w:element="stockticker">
        <w:r w:rsidRPr="00C0341E">
          <w:rPr>
            <w:rFonts w:cs="Arial"/>
            <w:sz w:val="20"/>
            <w:szCs w:val="22"/>
          </w:rPr>
          <w:t>BHC</w:t>
        </w:r>
      </w:smartTag>
      <w:r w:rsidRPr="00C0341E">
        <w:rPr>
          <w:rFonts w:cs="Arial"/>
          <w:sz w:val="20"/>
          <w:szCs w:val="22"/>
        </w:rPr>
        <w:t xml:space="preserve"> and </w:t>
      </w:r>
      <w:smartTag w:uri="urn:schemas-microsoft-com:office:smarttags" w:element="stockticker">
        <w:r w:rsidRPr="00C0341E">
          <w:rPr>
            <w:rFonts w:cs="Arial"/>
            <w:sz w:val="20"/>
            <w:szCs w:val="22"/>
          </w:rPr>
          <w:t>AHC</w:t>
        </w:r>
      </w:smartTag>
      <w:r w:rsidRPr="00C0341E">
        <w:rPr>
          <w:rFonts w:cs="Arial"/>
          <w:sz w:val="20"/>
          <w:szCs w:val="22"/>
        </w:rPr>
        <w:t xml:space="preserve"> are reported.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The use of </w:t>
      </w:r>
      <w:smartTag w:uri="urn:schemas-microsoft-com:office:smarttags" w:element="stockticker">
        <w:r w:rsidRPr="00C0341E">
          <w:rPr>
            <w:rFonts w:cs="Arial"/>
            <w:sz w:val="20"/>
            <w:szCs w:val="22"/>
          </w:rPr>
          <w:t>BHC</w:t>
        </w:r>
      </w:smartTag>
      <w:r w:rsidRPr="00C0341E">
        <w:rPr>
          <w:rFonts w:cs="Arial"/>
          <w:sz w:val="20"/>
          <w:szCs w:val="22"/>
        </w:rPr>
        <w:t xml:space="preserve"> measures is generally taken as the self-evident starting point.  They are important for assessing the adequacy of market and social assistance incomes for delivering a minimum acceptable standard of living.  Their use also ensures that the material wellbeing of those on low incomes who choose to live where accommodation is less expensive (eg some rural areas) or who live in ‘cheap’ substandard accommodation is not left overstated (relatively) as the use of an </w:t>
      </w:r>
      <w:smartTag w:uri="urn:schemas-microsoft-com:office:smarttags" w:element="stockticker">
        <w:r w:rsidRPr="00C0341E">
          <w:rPr>
            <w:rFonts w:cs="Arial"/>
            <w:sz w:val="20"/>
            <w:szCs w:val="22"/>
          </w:rPr>
          <w:t>AHC</w:t>
        </w:r>
      </w:smartTag>
      <w:r w:rsidRPr="00C0341E">
        <w:rPr>
          <w:rFonts w:cs="Arial"/>
          <w:sz w:val="20"/>
          <w:szCs w:val="22"/>
        </w:rPr>
        <w:t xml:space="preserve"> approach on its own can do.   </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The rationale for the report’s position that </w:t>
      </w:r>
      <w:smartTag w:uri="urn:schemas-microsoft-com:office:smarttags" w:element="stockticker">
        <w:r w:rsidRPr="00C0341E">
          <w:rPr>
            <w:rFonts w:cs="Arial"/>
            <w:sz w:val="20"/>
            <w:szCs w:val="22"/>
          </w:rPr>
          <w:t>AHC</w:t>
        </w:r>
      </w:smartTag>
      <w:r w:rsidRPr="00C0341E">
        <w:rPr>
          <w:rFonts w:cs="Arial"/>
          <w:sz w:val="20"/>
          <w:szCs w:val="22"/>
        </w:rPr>
        <w:t xml:space="preserve"> analysis should also be reported, and that the </w:t>
      </w:r>
      <w:smartTag w:uri="urn:schemas-microsoft-com:office:smarttags" w:element="stockticker">
        <w:r w:rsidRPr="00C0341E">
          <w:rPr>
            <w:rFonts w:cs="Arial"/>
            <w:sz w:val="20"/>
            <w:szCs w:val="22"/>
          </w:rPr>
          <w:t>AHC</w:t>
        </w:r>
      </w:smartTag>
      <w:r w:rsidRPr="00C0341E">
        <w:rPr>
          <w:rFonts w:cs="Arial"/>
          <w:sz w:val="20"/>
          <w:szCs w:val="22"/>
        </w:rPr>
        <w:t xml:space="preserve"> approach is preferable for subgroup comparisons in </w:t>
      </w:r>
      <w:smartTag w:uri="urn:schemas-microsoft-com:office:smarttags" w:element="place">
        <w:smartTag w:uri="urn:schemas-microsoft-com:office:smarttags" w:element="country-region">
          <w:r w:rsidRPr="00C0341E">
            <w:rPr>
              <w:rFonts w:cs="Arial"/>
              <w:sz w:val="20"/>
              <w:szCs w:val="22"/>
            </w:rPr>
            <w:t>New Zealand</w:t>
          </w:r>
        </w:smartTag>
      </w:smartTag>
      <w:r w:rsidRPr="00C0341E">
        <w:rPr>
          <w:rFonts w:cs="Arial"/>
          <w:sz w:val="20"/>
          <w:szCs w:val="22"/>
        </w:rPr>
        <w:t xml:space="preserve"> is that:</w:t>
      </w:r>
    </w:p>
    <w:p w:rsidR="007B3E55" w:rsidRPr="00C0341E" w:rsidRDefault="007B3E55" w:rsidP="007B3E55">
      <w:pPr>
        <w:numPr>
          <w:ilvl w:val="0"/>
          <w:numId w:val="9"/>
        </w:numPr>
        <w:spacing w:before="120"/>
        <w:jc w:val="both"/>
        <w:rPr>
          <w:rFonts w:cs="Arial"/>
          <w:sz w:val="20"/>
          <w:szCs w:val="22"/>
        </w:rPr>
      </w:pPr>
      <w:r w:rsidRPr="00C0341E">
        <w:rPr>
          <w:rFonts w:cs="Arial"/>
          <w:sz w:val="20"/>
          <w:szCs w:val="22"/>
        </w:rPr>
        <w:t xml:space="preserve">First, variations in housing costs do not necessarily correspond to similar variations in housing quality.   This is most significant when comparing the material wellbeing of age groups. Many older individuals are in households that have good accommodation and relatively low housing costs (eg those living in mortgage-free homes).  Many in an earlier part of the life cycle have a similar standard of accommodation but relatively high accommodation costs.  Ideally, the value of imputed rent for homeowners would be added to income to even up the comparisons (ie the </w:t>
      </w:r>
      <w:smartTag w:uri="urn:schemas-microsoft-com:office:smarttags" w:element="stockticker">
        <w:r w:rsidRPr="00C0341E">
          <w:rPr>
            <w:rFonts w:cs="Arial"/>
            <w:sz w:val="20"/>
            <w:szCs w:val="22"/>
          </w:rPr>
          <w:t>BHC</w:t>
        </w:r>
      </w:smartTag>
      <w:r w:rsidRPr="00C0341E">
        <w:rPr>
          <w:rFonts w:cs="Arial"/>
          <w:sz w:val="20"/>
          <w:szCs w:val="22"/>
        </w:rPr>
        <w:t xml:space="preserve"> approach has limitations in this regard), but the practical difficulties are considerable.  As an approximation for the purposes of comparing material wellbeing, the </w:t>
      </w:r>
      <w:smartTag w:uri="urn:schemas-microsoft-com:office:smarttags" w:element="stockticker">
        <w:r w:rsidRPr="00C0341E">
          <w:rPr>
            <w:rFonts w:cs="Arial"/>
            <w:sz w:val="20"/>
            <w:szCs w:val="22"/>
          </w:rPr>
          <w:t>AHC</w:t>
        </w:r>
      </w:smartTag>
      <w:r w:rsidRPr="00C0341E">
        <w:rPr>
          <w:rFonts w:cs="Arial"/>
          <w:sz w:val="20"/>
          <w:szCs w:val="22"/>
        </w:rPr>
        <w:t xml:space="preserve"> approach deducts housing costs from after-tax cash income for all households. </w:t>
      </w:r>
    </w:p>
    <w:p w:rsidR="007B3E55" w:rsidRPr="00C0341E" w:rsidRDefault="007B3E55" w:rsidP="007B3E55">
      <w:pPr>
        <w:numPr>
          <w:ilvl w:val="0"/>
          <w:numId w:val="9"/>
        </w:numPr>
        <w:spacing w:before="120"/>
        <w:jc w:val="both"/>
        <w:rPr>
          <w:rFonts w:cs="Arial"/>
          <w:sz w:val="20"/>
          <w:szCs w:val="22"/>
        </w:rPr>
      </w:pPr>
      <w:r w:rsidRPr="00C0341E">
        <w:rPr>
          <w:rFonts w:cs="Arial"/>
          <w:sz w:val="20"/>
          <w:szCs w:val="22"/>
        </w:rPr>
        <w:t xml:space="preserve">Once a household is committed to a particular residence, outgoings on housing costs cannot easily be adjusted or put off in ‘tight times’ as they can for other expenses like entertainment and recreation, and even to some degree for basics like food and clothing.  </w:t>
      </w:r>
      <w:r w:rsidRPr="00C0341E">
        <w:rPr>
          <w:rFonts w:cs="Arial"/>
          <w:sz w:val="20"/>
          <w:szCs w:val="22"/>
        </w:rPr>
        <w:lastRenderedPageBreak/>
        <w:t xml:space="preserve">When the primary focus is on trends in income poverty and hardship, it is important to understand trends in ‘residual income’, taking housing costs as a given fixed cost in effect.  Housing costs represent a very significant proportion of the total spending for many low-income households.  </w:t>
      </w:r>
    </w:p>
    <w:p w:rsidR="007B3E55" w:rsidRPr="00C0341E" w:rsidRDefault="007B3E55" w:rsidP="007B3E55">
      <w:pPr>
        <w:numPr>
          <w:ilvl w:val="0"/>
          <w:numId w:val="9"/>
        </w:numPr>
        <w:spacing w:before="120"/>
        <w:jc w:val="both"/>
        <w:rPr>
          <w:rFonts w:cs="Arial"/>
          <w:sz w:val="20"/>
          <w:szCs w:val="22"/>
        </w:rPr>
      </w:pPr>
      <w:r w:rsidRPr="00C0341E">
        <w:rPr>
          <w:rFonts w:cs="Arial"/>
          <w:sz w:val="20"/>
          <w:szCs w:val="22"/>
        </w:rPr>
        <w:t xml:space="preserve">Third, a unique characteristic of the New Zealand </w:t>
      </w:r>
      <w:smartTag w:uri="urn:schemas-microsoft-com:office:smarttags" w:element="stockticker">
        <w:r w:rsidRPr="00C0341E">
          <w:rPr>
            <w:rFonts w:cs="Arial"/>
            <w:sz w:val="20"/>
            <w:szCs w:val="22"/>
          </w:rPr>
          <w:t>BHC</w:t>
        </w:r>
      </w:smartTag>
      <w:r w:rsidRPr="00C0341E">
        <w:rPr>
          <w:rFonts w:cs="Arial"/>
          <w:sz w:val="20"/>
          <w:szCs w:val="22"/>
        </w:rPr>
        <w:t xml:space="preserve"> income distribution is the very large ‘pensioner spike’ at around the value of New Zealand Superannuation.  </w:t>
      </w:r>
      <w:r>
        <w:rPr>
          <w:rFonts w:cs="Arial"/>
          <w:sz w:val="20"/>
          <w:szCs w:val="22"/>
        </w:rPr>
        <w:t>In recent years, the spike has been located close to a 5</w:t>
      </w:r>
      <w:r w:rsidRPr="00C0341E">
        <w:rPr>
          <w:rFonts w:cs="Arial"/>
          <w:sz w:val="20"/>
          <w:szCs w:val="22"/>
        </w:rPr>
        <w:t>0% of median poverty line (</w:t>
      </w:r>
      <w:smartTag w:uri="urn:schemas-microsoft-com:office:smarttags" w:element="stockticker">
        <w:r w:rsidRPr="00C0341E">
          <w:rPr>
            <w:rFonts w:cs="Arial"/>
            <w:sz w:val="20"/>
            <w:szCs w:val="22"/>
          </w:rPr>
          <w:t>BHC</w:t>
        </w:r>
      </w:smartTag>
      <w:r w:rsidRPr="00C0341E">
        <w:rPr>
          <w:rFonts w:cs="Arial"/>
          <w:sz w:val="20"/>
          <w:szCs w:val="22"/>
        </w:rPr>
        <w:t>)</w:t>
      </w:r>
      <w:r>
        <w:rPr>
          <w:rFonts w:cs="Arial"/>
          <w:sz w:val="20"/>
          <w:szCs w:val="22"/>
        </w:rPr>
        <w:t xml:space="preserve">.  In the late 1990s it was around a 60% of median poverty line. </w:t>
      </w:r>
      <w:r w:rsidRPr="00C0341E">
        <w:rPr>
          <w:rFonts w:cs="Arial"/>
          <w:sz w:val="20"/>
          <w:szCs w:val="22"/>
        </w:rPr>
        <w:t xml:space="preserve"> </w:t>
      </w:r>
      <w:r>
        <w:rPr>
          <w:rFonts w:cs="Arial"/>
          <w:sz w:val="20"/>
          <w:szCs w:val="22"/>
        </w:rPr>
        <w:t>The presence of the spike</w:t>
      </w:r>
      <w:r w:rsidRPr="00C0341E">
        <w:rPr>
          <w:rFonts w:cs="Arial"/>
          <w:sz w:val="20"/>
          <w:szCs w:val="22"/>
        </w:rPr>
        <w:t xml:space="preserve"> can lead to large variations in reported poverty rates for the 65+ group over time, leaving the misleading impression that there are significant changes in material wellbeing occurring for this group.  In addition, the same issue can lead to similarly misleading comparisons with the relative wellbeing of other age groups.  An </w:t>
      </w:r>
      <w:smartTag w:uri="urn:schemas-microsoft-com:office:smarttags" w:element="stockticker">
        <w:r w:rsidRPr="00C0341E">
          <w:rPr>
            <w:rFonts w:cs="Arial"/>
            <w:sz w:val="20"/>
            <w:szCs w:val="22"/>
          </w:rPr>
          <w:t>AHC</w:t>
        </w:r>
      </w:smartTag>
      <w:r w:rsidRPr="00C0341E">
        <w:rPr>
          <w:rFonts w:cs="Arial"/>
          <w:sz w:val="20"/>
          <w:szCs w:val="22"/>
        </w:rPr>
        <w:t xml:space="preserve"> approach </w:t>
      </w:r>
      <w:r>
        <w:rPr>
          <w:rFonts w:cs="Arial"/>
          <w:sz w:val="20"/>
          <w:szCs w:val="22"/>
        </w:rPr>
        <w:t xml:space="preserve">largely </w:t>
      </w:r>
      <w:r w:rsidRPr="00C0341E">
        <w:rPr>
          <w:rFonts w:cs="Arial"/>
          <w:sz w:val="20"/>
          <w:szCs w:val="22"/>
        </w:rPr>
        <w:t xml:space="preserve">avoids these issues and is more suitable as the primary measure (for </w:t>
      </w:r>
      <w:smartTag w:uri="urn:schemas-microsoft-com:office:smarttags" w:element="place">
        <w:smartTag w:uri="urn:schemas-microsoft-com:office:smarttags" w:element="country-region">
          <w:r w:rsidRPr="00C0341E">
            <w:rPr>
              <w:rFonts w:cs="Arial"/>
              <w:sz w:val="20"/>
              <w:szCs w:val="22"/>
            </w:rPr>
            <w:t>New Zealand</w:t>
          </w:r>
        </w:smartTag>
      </w:smartTag>
      <w:r w:rsidRPr="00C0341E">
        <w:rPr>
          <w:rFonts w:cs="Arial"/>
          <w:sz w:val="20"/>
          <w:szCs w:val="22"/>
        </w:rPr>
        <w:t xml:space="preserve"> at least).  </w:t>
      </w:r>
      <w:r>
        <w:rPr>
          <w:rFonts w:cs="Arial"/>
          <w:sz w:val="20"/>
          <w:szCs w:val="22"/>
        </w:rPr>
        <w:t>Section I has more on this.</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 xml:space="preserve">Further discussion on the relative merits of the </w:t>
      </w:r>
      <w:smartTag w:uri="urn:schemas-microsoft-com:office:smarttags" w:element="stockticker">
        <w:r w:rsidRPr="00C0341E">
          <w:rPr>
            <w:rFonts w:cs="Arial"/>
            <w:sz w:val="20"/>
            <w:szCs w:val="22"/>
          </w:rPr>
          <w:t>BHC</w:t>
        </w:r>
      </w:smartTag>
      <w:r w:rsidRPr="00C0341E">
        <w:rPr>
          <w:rFonts w:cs="Arial"/>
          <w:sz w:val="20"/>
          <w:szCs w:val="22"/>
        </w:rPr>
        <w:t xml:space="preserve"> and </w:t>
      </w:r>
      <w:smartTag w:uri="urn:schemas-microsoft-com:office:smarttags" w:element="stockticker">
        <w:r w:rsidRPr="00C0341E">
          <w:rPr>
            <w:rFonts w:cs="Arial"/>
            <w:sz w:val="20"/>
            <w:szCs w:val="22"/>
          </w:rPr>
          <w:t>AHC</w:t>
        </w:r>
      </w:smartTag>
      <w:r w:rsidRPr="00C0341E">
        <w:rPr>
          <w:rFonts w:cs="Arial"/>
          <w:sz w:val="20"/>
          <w:szCs w:val="22"/>
        </w:rPr>
        <w:t xml:space="preserve"> approaches </w:t>
      </w:r>
      <w:r>
        <w:rPr>
          <w:rFonts w:cs="Arial"/>
          <w:sz w:val="20"/>
          <w:szCs w:val="22"/>
        </w:rPr>
        <w:t>is</w:t>
      </w:r>
      <w:r w:rsidRPr="00C0341E">
        <w:rPr>
          <w:rFonts w:cs="Arial"/>
          <w:sz w:val="20"/>
          <w:szCs w:val="22"/>
        </w:rPr>
        <w:t xml:space="preserve"> in </w:t>
      </w:r>
      <w:r w:rsidRPr="00C0341E">
        <w:rPr>
          <w:rFonts w:cs="Arial"/>
          <w:b/>
          <w:sz w:val="20"/>
          <w:szCs w:val="22"/>
        </w:rPr>
        <w:t>Appendix 5.</w:t>
      </w:r>
    </w:p>
    <w:p w:rsidR="007B3E55" w:rsidRPr="00E84A72" w:rsidRDefault="007B3E55" w:rsidP="007B3E55">
      <w:pPr>
        <w:jc w:val="both"/>
        <w:rPr>
          <w:rFonts w:cs="Arial"/>
          <w:b/>
          <w:sz w:val="20"/>
        </w:rPr>
      </w:pPr>
    </w:p>
    <w:p w:rsidR="007B3E55" w:rsidRPr="00E84A72" w:rsidRDefault="007B3E55" w:rsidP="007B3E55">
      <w:pPr>
        <w:jc w:val="both"/>
        <w:rPr>
          <w:rFonts w:cs="Arial"/>
          <w:b/>
          <w:sz w:val="20"/>
        </w:rPr>
      </w:pPr>
    </w:p>
    <w:p w:rsidR="007B3E55" w:rsidRPr="00432671" w:rsidRDefault="007B3E55" w:rsidP="007B3E55">
      <w:pPr>
        <w:jc w:val="both"/>
        <w:rPr>
          <w:rFonts w:cs="Arial"/>
          <w:b/>
          <w:szCs w:val="22"/>
        </w:rPr>
      </w:pPr>
      <w:r>
        <w:rPr>
          <w:rFonts w:cs="Arial"/>
          <w:b/>
          <w:szCs w:val="22"/>
        </w:rPr>
        <w:t>Main d</w:t>
      </w:r>
      <w:r w:rsidRPr="00432671">
        <w:rPr>
          <w:rFonts w:cs="Arial"/>
          <w:b/>
          <w:szCs w:val="22"/>
        </w:rPr>
        <w:t>ata source</w:t>
      </w:r>
      <w:r>
        <w:rPr>
          <w:rFonts w:cs="Arial"/>
          <w:b/>
          <w:szCs w:val="22"/>
        </w:rPr>
        <w:t>: the Household Economic Survey (HES)</w:t>
      </w:r>
    </w:p>
    <w:p w:rsidR="007B3E55" w:rsidRDefault="007B3E55" w:rsidP="007B3E55">
      <w:pPr>
        <w:jc w:val="both"/>
        <w:rPr>
          <w:rFonts w:cs="Arial"/>
          <w:szCs w:val="22"/>
        </w:rPr>
      </w:pPr>
    </w:p>
    <w:p w:rsidR="007B3E55" w:rsidRDefault="007B3E55" w:rsidP="007B3E55">
      <w:pPr>
        <w:jc w:val="both"/>
        <w:rPr>
          <w:rFonts w:cs="Arial"/>
          <w:sz w:val="20"/>
          <w:szCs w:val="22"/>
        </w:rPr>
      </w:pPr>
      <w:r w:rsidRPr="00C0341E">
        <w:rPr>
          <w:rFonts w:cs="Arial"/>
          <w:sz w:val="20"/>
          <w:szCs w:val="22"/>
        </w:rPr>
        <w:t xml:space="preserve">The report draws on data from Statistics New Zealand’s Household Economic Survey (HES).  </w:t>
      </w:r>
      <w:r>
        <w:rPr>
          <w:rFonts w:cs="Arial"/>
          <w:sz w:val="20"/>
          <w:szCs w:val="22"/>
        </w:rPr>
        <w:t xml:space="preserve"> </w:t>
      </w:r>
      <w:r w:rsidRPr="00C0341E">
        <w:rPr>
          <w:rFonts w:cs="Arial"/>
          <w:sz w:val="20"/>
          <w:szCs w:val="22"/>
        </w:rPr>
        <w:t>The HES was an annual survey from 1982 to 1998,</w:t>
      </w:r>
      <w:r>
        <w:rPr>
          <w:rFonts w:cs="Arial"/>
          <w:sz w:val="20"/>
          <w:szCs w:val="22"/>
        </w:rPr>
        <w:t xml:space="preserve"> using March years,</w:t>
      </w:r>
      <w:r w:rsidRPr="00C0341E">
        <w:rPr>
          <w:rFonts w:cs="Arial"/>
          <w:sz w:val="20"/>
          <w:szCs w:val="22"/>
        </w:rPr>
        <w:t xml:space="preserve"> then three-yearly from 1998 to 200</w:t>
      </w:r>
      <w:r>
        <w:rPr>
          <w:rFonts w:cs="Arial"/>
          <w:sz w:val="20"/>
          <w:szCs w:val="22"/>
        </w:rPr>
        <w:t>7, using June years from 2001 on.</w:t>
      </w:r>
      <w:r w:rsidRPr="00C0341E">
        <w:rPr>
          <w:rFonts w:cs="Arial"/>
          <w:sz w:val="20"/>
          <w:szCs w:val="22"/>
        </w:rPr>
        <w:t xml:space="preserve">  The </w:t>
      </w:r>
      <w:r>
        <w:rPr>
          <w:rFonts w:cs="Arial"/>
          <w:sz w:val="20"/>
          <w:szCs w:val="22"/>
        </w:rPr>
        <w:t>2007</w:t>
      </w:r>
      <w:r w:rsidRPr="00C0341E">
        <w:rPr>
          <w:sz w:val="20"/>
          <w:lang w:val="en-NZ"/>
        </w:rPr>
        <w:t>–</w:t>
      </w:r>
      <w:r>
        <w:rPr>
          <w:rFonts w:cs="Arial"/>
          <w:sz w:val="20"/>
          <w:szCs w:val="22"/>
        </w:rPr>
        <w:t xml:space="preserve">2008 and </w:t>
      </w:r>
      <w:r w:rsidRPr="00C0341E">
        <w:rPr>
          <w:rFonts w:cs="Arial"/>
          <w:sz w:val="20"/>
          <w:szCs w:val="22"/>
        </w:rPr>
        <w:t>200</w:t>
      </w:r>
      <w:r>
        <w:rPr>
          <w:rFonts w:cs="Arial"/>
          <w:sz w:val="20"/>
          <w:szCs w:val="22"/>
        </w:rPr>
        <w:t>8</w:t>
      </w:r>
      <w:r w:rsidRPr="00C0341E">
        <w:rPr>
          <w:sz w:val="20"/>
          <w:lang w:val="en-NZ"/>
        </w:rPr>
        <w:t>–</w:t>
      </w:r>
      <w:r>
        <w:rPr>
          <w:sz w:val="20"/>
          <w:lang w:val="en-NZ"/>
        </w:rPr>
        <w:t>20</w:t>
      </w:r>
      <w:r w:rsidRPr="00C0341E">
        <w:rPr>
          <w:rFonts w:cs="Arial"/>
          <w:sz w:val="20"/>
          <w:szCs w:val="22"/>
        </w:rPr>
        <w:t>0</w:t>
      </w:r>
      <w:r>
        <w:rPr>
          <w:rFonts w:cs="Arial"/>
          <w:sz w:val="20"/>
          <w:szCs w:val="22"/>
        </w:rPr>
        <w:t>9</w:t>
      </w:r>
      <w:r w:rsidRPr="00C0341E">
        <w:rPr>
          <w:rFonts w:cs="Arial"/>
          <w:sz w:val="20"/>
          <w:szCs w:val="22"/>
        </w:rPr>
        <w:t xml:space="preserve"> survey</w:t>
      </w:r>
      <w:r>
        <w:rPr>
          <w:rFonts w:cs="Arial"/>
          <w:sz w:val="20"/>
          <w:szCs w:val="22"/>
        </w:rPr>
        <w:t>s</w:t>
      </w:r>
      <w:r w:rsidRPr="00C0341E">
        <w:rPr>
          <w:rFonts w:cs="Arial"/>
          <w:sz w:val="20"/>
          <w:szCs w:val="22"/>
        </w:rPr>
        <w:t xml:space="preserve"> </w:t>
      </w:r>
      <w:r>
        <w:rPr>
          <w:rFonts w:cs="Arial"/>
          <w:sz w:val="20"/>
          <w:szCs w:val="22"/>
        </w:rPr>
        <w:t xml:space="preserve">are </w:t>
      </w:r>
      <w:r w:rsidRPr="00C0341E">
        <w:rPr>
          <w:rFonts w:cs="Arial"/>
          <w:sz w:val="20"/>
          <w:szCs w:val="22"/>
        </w:rPr>
        <w:t>the new HES (Income) Surveys which makes income, housing cost and living standard indicator data available in each of the two years between the full HES surveys.</w:t>
      </w:r>
      <w:r>
        <w:rPr>
          <w:rFonts w:cs="Arial"/>
          <w:sz w:val="20"/>
          <w:szCs w:val="22"/>
        </w:rPr>
        <w:t xml:space="preserve">  The HES (Income) collects the same information on these domains as the full HES does.</w:t>
      </w:r>
      <w:r w:rsidRPr="00C0341E">
        <w:rPr>
          <w:rFonts w:cs="Arial"/>
          <w:sz w:val="20"/>
          <w:szCs w:val="22"/>
        </w:rPr>
        <w:t xml:space="preserve">  The full HES (including full expenditure i</w:t>
      </w:r>
      <w:r>
        <w:rPr>
          <w:rFonts w:cs="Arial"/>
          <w:sz w:val="20"/>
          <w:szCs w:val="22"/>
        </w:rPr>
        <w:t>nformation) is still on a three</w:t>
      </w:r>
      <w:r>
        <w:rPr>
          <w:sz w:val="20"/>
          <w:lang w:val="en-NZ"/>
        </w:rPr>
        <w:t>-</w:t>
      </w:r>
      <w:r w:rsidRPr="00C0341E">
        <w:rPr>
          <w:rFonts w:cs="Arial"/>
          <w:sz w:val="20"/>
          <w:szCs w:val="22"/>
        </w:rPr>
        <w:t>yearly cycle.</w:t>
      </w:r>
      <w:r>
        <w:rPr>
          <w:rFonts w:cs="Arial"/>
          <w:sz w:val="20"/>
          <w:szCs w:val="22"/>
        </w:rPr>
        <w:t xml:space="preserve">  The 2009</w:t>
      </w:r>
      <w:r w:rsidRPr="00C0341E">
        <w:rPr>
          <w:sz w:val="20"/>
          <w:lang w:val="en-NZ"/>
        </w:rPr>
        <w:t>–</w:t>
      </w:r>
      <w:r>
        <w:rPr>
          <w:rFonts w:cs="Arial"/>
          <w:sz w:val="20"/>
          <w:szCs w:val="22"/>
        </w:rPr>
        <w:t>2010 HES is the latest available.</w:t>
      </w:r>
      <w:r w:rsidRPr="00C0341E">
        <w:rPr>
          <w:rStyle w:val="FootnoteReference"/>
          <w:rFonts w:cs="Arial"/>
          <w:sz w:val="20"/>
          <w:szCs w:val="22"/>
        </w:rPr>
        <w:footnoteReference w:id="19"/>
      </w:r>
    </w:p>
    <w:p w:rsidR="007B3E55"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szCs w:val="22"/>
        </w:rPr>
        <w:t>A sample of approximately 3000 private households is achieved each survey</w:t>
      </w:r>
      <w:r>
        <w:rPr>
          <w:rFonts w:cs="Arial"/>
          <w:sz w:val="20"/>
          <w:szCs w:val="22"/>
        </w:rPr>
        <w:t xml:space="preserve"> (see </w:t>
      </w:r>
      <w:r w:rsidRPr="00186A25">
        <w:rPr>
          <w:rFonts w:cs="Arial"/>
          <w:b/>
          <w:sz w:val="20"/>
          <w:szCs w:val="22"/>
        </w:rPr>
        <w:t>Table A.2</w:t>
      </w:r>
      <w:r>
        <w:rPr>
          <w:rFonts w:cs="Arial"/>
          <w:sz w:val="20"/>
          <w:szCs w:val="22"/>
        </w:rPr>
        <w:t xml:space="preserve"> below for details)</w:t>
      </w:r>
      <w:r w:rsidRPr="00C0341E">
        <w:rPr>
          <w:rFonts w:cs="Arial"/>
          <w:sz w:val="20"/>
          <w:szCs w:val="22"/>
        </w:rPr>
        <w:t xml:space="preserve">.  Interviews are conducted face to face.  </w:t>
      </w:r>
      <w:r>
        <w:rPr>
          <w:rFonts w:cs="Arial"/>
          <w:sz w:val="20"/>
          <w:szCs w:val="22"/>
        </w:rPr>
        <w:t>For the full HES, c</w:t>
      </w:r>
      <w:r w:rsidRPr="00C0341E">
        <w:rPr>
          <w:rFonts w:cs="Arial"/>
          <w:sz w:val="20"/>
        </w:rPr>
        <w:t>ontact with each participating household extends for a period of just over two weeks.  During that time, each household member aged 15 years or over keeps an expenditure diary for 14 consecutive days, recalls major purchases made in the previous 12 months, and provides income and employment data.  The income information is also for the 12 months prior to interview.</w:t>
      </w:r>
    </w:p>
    <w:p w:rsidR="007B3E55" w:rsidRPr="00C0341E" w:rsidRDefault="007B3E55" w:rsidP="007B3E55">
      <w:pPr>
        <w:jc w:val="both"/>
        <w:rPr>
          <w:rFonts w:cs="Arial"/>
          <w:sz w:val="20"/>
          <w:szCs w:val="22"/>
        </w:rPr>
      </w:pPr>
    </w:p>
    <w:p w:rsidR="007B3E55" w:rsidRPr="00C0341E" w:rsidRDefault="007B3E55" w:rsidP="007B3E55">
      <w:pPr>
        <w:jc w:val="both"/>
        <w:rPr>
          <w:rFonts w:cs="Arial"/>
          <w:sz w:val="20"/>
          <w:szCs w:val="22"/>
        </w:rPr>
      </w:pPr>
      <w:r w:rsidRPr="00C0341E">
        <w:rPr>
          <w:rFonts w:cs="Arial"/>
          <w:sz w:val="20"/>
        </w:rPr>
        <w:t xml:space="preserve">The target population for the HES is </w:t>
      </w:r>
      <w:smartTag w:uri="urn:schemas-microsoft-com:office:smarttags" w:element="place">
        <w:smartTag w:uri="urn:schemas-microsoft-com:office:smarttags" w:element="country-region">
          <w:r w:rsidRPr="00C0341E">
            <w:rPr>
              <w:rFonts w:cs="Arial"/>
              <w:sz w:val="20"/>
            </w:rPr>
            <w:t>New Zealand</w:t>
          </w:r>
        </w:smartTag>
      </w:smartTag>
      <w:r w:rsidRPr="00C0341E">
        <w:rPr>
          <w:rFonts w:cs="Arial"/>
          <w:sz w:val="20"/>
        </w:rPr>
        <w:t xml:space="preserve"> resident private households living in permanent dwellings.  This means, for example, that those in institutions and those in non-permanent dwellings are not included.</w:t>
      </w:r>
    </w:p>
    <w:p w:rsidR="007B3E55" w:rsidRDefault="007B3E55" w:rsidP="007B3E55">
      <w:pPr>
        <w:jc w:val="both"/>
        <w:rPr>
          <w:rFonts w:cs="Arial"/>
          <w:sz w:val="20"/>
          <w:szCs w:val="22"/>
        </w:rPr>
      </w:pPr>
    </w:p>
    <w:p w:rsidR="007B3E55" w:rsidRPr="001A51CB" w:rsidRDefault="007B3E55" w:rsidP="007B3E55">
      <w:pPr>
        <w:jc w:val="center"/>
        <w:rPr>
          <w:rFonts w:cs="Arial"/>
          <w:b/>
          <w:sz w:val="18"/>
          <w:szCs w:val="18"/>
        </w:rPr>
      </w:pPr>
      <w:r w:rsidRPr="001A51CB">
        <w:rPr>
          <w:rFonts w:cs="Arial"/>
          <w:b/>
          <w:sz w:val="18"/>
          <w:szCs w:val="18"/>
        </w:rPr>
        <w:t>Table A.2</w:t>
      </w:r>
    </w:p>
    <w:p w:rsidR="007B3E55" w:rsidRDefault="007B3E55" w:rsidP="007B3E55">
      <w:pPr>
        <w:spacing w:after="120"/>
        <w:jc w:val="center"/>
        <w:rPr>
          <w:rFonts w:cs="Arial"/>
          <w:sz w:val="20"/>
          <w:szCs w:val="22"/>
        </w:rPr>
      </w:pPr>
      <w:r w:rsidRPr="001A51CB">
        <w:rPr>
          <w:rFonts w:cs="Arial"/>
          <w:b/>
          <w:sz w:val="18"/>
          <w:szCs w:val="18"/>
        </w:rPr>
        <w:t>Achieved sample sizes and response rates for recent HES</w:t>
      </w:r>
      <w:r>
        <w:rPr>
          <w:rFonts w:cs="Arial"/>
          <w:b/>
          <w:sz w:val="18"/>
          <w:szCs w:val="18"/>
        </w:rPr>
        <w:t xml:space="preserve"> (for data held by MSD)</w:t>
      </w:r>
    </w:p>
    <w:tbl>
      <w:tblPr>
        <w:tblStyle w:val="TableGrid"/>
        <w:tblW w:w="0" w:type="auto"/>
        <w:jc w:val="center"/>
        <w:tblLook w:val="01E0"/>
      </w:tblPr>
      <w:tblGrid>
        <w:gridCol w:w="1490"/>
        <w:gridCol w:w="1620"/>
        <w:gridCol w:w="1530"/>
      </w:tblGrid>
      <w:tr w:rsidR="007B3E55">
        <w:trPr>
          <w:jc w:val="center"/>
        </w:trPr>
        <w:tc>
          <w:tcPr>
            <w:tcW w:w="1490" w:type="dxa"/>
            <w:vAlign w:val="center"/>
          </w:tcPr>
          <w:p w:rsidR="007B3E55" w:rsidRPr="00256647" w:rsidRDefault="007B3E55" w:rsidP="00614C04">
            <w:pPr>
              <w:spacing w:before="40" w:after="40"/>
              <w:jc w:val="center"/>
              <w:rPr>
                <w:rFonts w:cs="Arial"/>
                <w:b/>
                <w:sz w:val="16"/>
                <w:szCs w:val="16"/>
              </w:rPr>
            </w:pPr>
            <w:r w:rsidRPr="00256647">
              <w:rPr>
                <w:rFonts w:cs="Arial"/>
                <w:b/>
                <w:sz w:val="16"/>
                <w:szCs w:val="16"/>
              </w:rPr>
              <w:t>HES year</w:t>
            </w:r>
          </w:p>
        </w:tc>
        <w:tc>
          <w:tcPr>
            <w:tcW w:w="1620" w:type="dxa"/>
            <w:vAlign w:val="center"/>
          </w:tcPr>
          <w:p w:rsidR="007B3E55" w:rsidRPr="00256647" w:rsidRDefault="007B3E55" w:rsidP="00614C04">
            <w:pPr>
              <w:spacing w:before="40" w:after="40"/>
              <w:jc w:val="center"/>
              <w:rPr>
                <w:rFonts w:cs="Arial"/>
                <w:b/>
                <w:sz w:val="16"/>
                <w:szCs w:val="16"/>
              </w:rPr>
            </w:pPr>
            <w:r w:rsidRPr="00256647">
              <w:rPr>
                <w:rFonts w:cs="Arial"/>
                <w:b/>
                <w:sz w:val="16"/>
                <w:szCs w:val="16"/>
              </w:rPr>
              <w:t>Achieved sample size</w:t>
            </w:r>
          </w:p>
        </w:tc>
        <w:tc>
          <w:tcPr>
            <w:tcW w:w="1530" w:type="dxa"/>
            <w:vAlign w:val="center"/>
          </w:tcPr>
          <w:p w:rsidR="007B3E55" w:rsidRPr="00256647" w:rsidRDefault="007B3E55" w:rsidP="00614C04">
            <w:pPr>
              <w:spacing w:before="40" w:after="40"/>
              <w:jc w:val="center"/>
              <w:rPr>
                <w:rFonts w:cs="Arial"/>
                <w:b/>
                <w:sz w:val="16"/>
                <w:szCs w:val="16"/>
              </w:rPr>
            </w:pPr>
            <w:r w:rsidRPr="00256647">
              <w:rPr>
                <w:rFonts w:cs="Arial"/>
                <w:b/>
                <w:sz w:val="16"/>
                <w:szCs w:val="16"/>
              </w:rPr>
              <w:t>Response rate</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2000-01</w:t>
            </w:r>
          </w:p>
        </w:tc>
        <w:tc>
          <w:tcPr>
            <w:tcW w:w="1620" w:type="dxa"/>
            <w:vAlign w:val="center"/>
          </w:tcPr>
          <w:p w:rsidR="007B3E55" w:rsidRPr="00673399" w:rsidRDefault="007B3E55" w:rsidP="00614C04">
            <w:pPr>
              <w:spacing w:before="40" w:after="40"/>
              <w:jc w:val="center"/>
              <w:rPr>
                <w:rFonts w:cs="Arial"/>
                <w:sz w:val="16"/>
                <w:szCs w:val="16"/>
              </w:rPr>
            </w:pPr>
            <w:r w:rsidRPr="00673399">
              <w:rPr>
                <w:rFonts w:cs="Arial"/>
                <w:sz w:val="16"/>
                <w:szCs w:val="16"/>
              </w:rPr>
              <w:t>2808</w:t>
            </w:r>
          </w:p>
        </w:tc>
        <w:tc>
          <w:tcPr>
            <w:tcW w:w="153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73%</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2003-04</w:t>
            </w:r>
          </w:p>
        </w:tc>
        <w:tc>
          <w:tcPr>
            <w:tcW w:w="1620" w:type="dxa"/>
            <w:vAlign w:val="center"/>
          </w:tcPr>
          <w:p w:rsidR="007B3E55" w:rsidRPr="00673399" w:rsidRDefault="007B3E55" w:rsidP="00614C04">
            <w:pPr>
              <w:spacing w:before="40" w:after="40"/>
              <w:jc w:val="center"/>
              <w:rPr>
                <w:rFonts w:cs="Arial"/>
                <w:sz w:val="16"/>
                <w:szCs w:val="16"/>
              </w:rPr>
            </w:pPr>
            <w:r w:rsidRPr="00673399">
              <w:rPr>
                <w:rFonts w:cs="Arial"/>
                <w:sz w:val="16"/>
                <w:szCs w:val="16"/>
              </w:rPr>
              <w:t>2854</w:t>
            </w:r>
          </w:p>
        </w:tc>
        <w:tc>
          <w:tcPr>
            <w:tcW w:w="153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73%</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2006-07</w:t>
            </w:r>
          </w:p>
        </w:tc>
        <w:tc>
          <w:tcPr>
            <w:tcW w:w="1620" w:type="dxa"/>
            <w:vAlign w:val="center"/>
          </w:tcPr>
          <w:p w:rsidR="007B3E55" w:rsidRPr="00A51EE8" w:rsidRDefault="007B3E55" w:rsidP="00614C04">
            <w:pPr>
              <w:spacing w:before="40" w:after="40"/>
              <w:jc w:val="center"/>
              <w:rPr>
                <w:rFonts w:cs="Arial"/>
                <w:strike/>
                <w:sz w:val="16"/>
                <w:szCs w:val="16"/>
              </w:rPr>
            </w:pPr>
            <w:r w:rsidRPr="00A51EE8">
              <w:rPr>
                <w:rFonts w:cs="Arial"/>
                <w:sz w:val="16"/>
                <w:szCs w:val="16"/>
              </w:rPr>
              <w:t>2550</w:t>
            </w:r>
          </w:p>
        </w:tc>
        <w:tc>
          <w:tcPr>
            <w:tcW w:w="153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62%</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2007-08</w:t>
            </w:r>
          </w:p>
        </w:tc>
        <w:tc>
          <w:tcPr>
            <w:tcW w:w="1620" w:type="dxa"/>
            <w:vAlign w:val="center"/>
          </w:tcPr>
          <w:p w:rsidR="007B3E55" w:rsidRPr="00A51EE8" w:rsidRDefault="007B3E55" w:rsidP="00614C04">
            <w:pPr>
              <w:spacing w:before="40" w:after="40"/>
              <w:jc w:val="center"/>
              <w:rPr>
                <w:rFonts w:cs="Arial"/>
                <w:sz w:val="16"/>
                <w:szCs w:val="16"/>
              </w:rPr>
            </w:pPr>
            <w:r w:rsidRPr="00A51EE8">
              <w:rPr>
                <w:rFonts w:cs="Arial"/>
                <w:sz w:val="16"/>
                <w:szCs w:val="16"/>
              </w:rPr>
              <w:t>3295</w:t>
            </w:r>
          </w:p>
        </w:tc>
        <w:tc>
          <w:tcPr>
            <w:tcW w:w="153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77%</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2008-09</w:t>
            </w:r>
          </w:p>
        </w:tc>
        <w:tc>
          <w:tcPr>
            <w:tcW w:w="1620" w:type="dxa"/>
            <w:vAlign w:val="center"/>
          </w:tcPr>
          <w:p w:rsidR="007B3E55" w:rsidRPr="00A51EE8" w:rsidRDefault="007B3E55" w:rsidP="00614C04">
            <w:pPr>
              <w:spacing w:before="40" w:after="40"/>
              <w:jc w:val="center"/>
              <w:rPr>
                <w:rFonts w:cs="Arial"/>
                <w:sz w:val="16"/>
                <w:szCs w:val="16"/>
              </w:rPr>
            </w:pPr>
            <w:r w:rsidRPr="00A51EE8">
              <w:rPr>
                <w:rFonts w:cs="Arial"/>
                <w:sz w:val="16"/>
                <w:szCs w:val="16"/>
              </w:rPr>
              <w:t>3210</w:t>
            </w:r>
          </w:p>
        </w:tc>
        <w:tc>
          <w:tcPr>
            <w:tcW w:w="1530" w:type="dxa"/>
            <w:vAlign w:val="center"/>
          </w:tcPr>
          <w:p w:rsidR="007B3E55" w:rsidRPr="00256647" w:rsidRDefault="007B3E55" w:rsidP="00614C04">
            <w:pPr>
              <w:spacing w:before="40" w:after="40"/>
              <w:jc w:val="center"/>
              <w:rPr>
                <w:rFonts w:cs="Arial"/>
                <w:sz w:val="16"/>
                <w:szCs w:val="16"/>
              </w:rPr>
            </w:pPr>
            <w:r w:rsidRPr="00256647">
              <w:rPr>
                <w:rFonts w:cs="Arial"/>
                <w:sz w:val="16"/>
                <w:szCs w:val="16"/>
              </w:rPr>
              <w:t>74%</w:t>
            </w:r>
          </w:p>
        </w:tc>
      </w:tr>
      <w:tr w:rsidR="007B3E55">
        <w:trPr>
          <w:jc w:val="center"/>
        </w:trPr>
        <w:tc>
          <w:tcPr>
            <w:tcW w:w="1490" w:type="dxa"/>
            <w:vAlign w:val="center"/>
          </w:tcPr>
          <w:p w:rsidR="007B3E55" w:rsidRPr="00256647" w:rsidRDefault="007B3E55" w:rsidP="00614C04">
            <w:pPr>
              <w:spacing w:before="40" w:after="40"/>
              <w:jc w:val="center"/>
              <w:rPr>
                <w:rFonts w:cs="Arial"/>
                <w:sz w:val="16"/>
                <w:szCs w:val="16"/>
              </w:rPr>
            </w:pPr>
            <w:r>
              <w:rPr>
                <w:rFonts w:cs="Arial"/>
                <w:sz w:val="16"/>
                <w:szCs w:val="16"/>
              </w:rPr>
              <w:t>2009-10</w:t>
            </w:r>
          </w:p>
        </w:tc>
        <w:tc>
          <w:tcPr>
            <w:tcW w:w="1620" w:type="dxa"/>
            <w:vAlign w:val="center"/>
          </w:tcPr>
          <w:p w:rsidR="007B3E55" w:rsidRPr="00A51EE8" w:rsidRDefault="007B3E55" w:rsidP="00614C04">
            <w:pPr>
              <w:spacing w:before="40" w:after="40"/>
              <w:jc w:val="center"/>
              <w:rPr>
                <w:rFonts w:cs="Arial"/>
                <w:sz w:val="16"/>
                <w:szCs w:val="16"/>
              </w:rPr>
            </w:pPr>
            <w:r>
              <w:rPr>
                <w:rFonts w:cs="Arial"/>
                <w:sz w:val="16"/>
                <w:szCs w:val="16"/>
              </w:rPr>
              <w:t>3126</w:t>
            </w:r>
          </w:p>
        </w:tc>
        <w:tc>
          <w:tcPr>
            <w:tcW w:w="1530" w:type="dxa"/>
            <w:vAlign w:val="center"/>
          </w:tcPr>
          <w:p w:rsidR="007B3E55" w:rsidRPr="00256647" w:rsidRDefault="007B3E55" w:rsidP="00614C04">
            <w:pPr>
              <w:spacing w:before="40" w:after="40"/>
              <w:jc w:val="center"/>
              <w:rPr>
                <w:rFonts w:cs="Arial"/>
                <w:sz w:val="16"/>
                <w:szCs w:val="16"/>
              </w:rPr>
            </w:pPr>
            <w:r>
              <w:rPr>
                <w:rFonts w:cs="Arial"/>
                <w:sz w:val="16"/>
                <w:szCs w:val="16"/>
              </w:rPr>
              <w:t>69%</w:t>
            </w:r>
          </w:p>
        </w:tc>
      </w:tr>
      <w:tr w:rsidR="007B3E55">
        <w:trPr>
          <w:jc w:val="center"/>
        </w:trPr>
        <w:tc>
          <w:tcPr>
            <w:tcW w:w="1490" w:type="dxa"/>
            <w:vAlign w:val="center"/>
          </w:tcPr>
          <w:p w:rsidR="007B3E55" w:rsidRDefault="007B3E55" w:rsidP="00614C04">
            <w:pPr>
              <w:spacing w:before="40" w:after="40"/>
              <w:jc w:val="center"/>
              <w:rPr>
                <w:rFonts w:cs="Arial"/>
                <w:sz w:val="16"/>
                <w:szCs w:val="16"/>
              </w:rPr>
            </w:pPr>
            <w:r>
              <w:rPr>
                <w:rFonts w:cs="Arial"/>
                <w:sz w:val="16"/>
                <w:szCs w:val="16"/>
              </w:rPr>
              <w:t>2010-11</w:t>
            </w:r>
          </w:p>
        </w:tc>
        <w:tc>
          <w:tcPr>
            <w:tcW w:w="1620" w:type="dxa"/>
            <w:vAlign w:val="center"/>
          </w:tcPr>
          <w:p w:rsidR="007B3E55" w:rsidRDefault="007B3E55" w:rsidP="00614C04">
            <w:pPr>
              <w:spacing w:before="40" w:after="40"/>
              <w:jc w:val="center"/>
              <w:rPr>
                <w:rFonts w:cs="Arial"/>
                <w:sz w:val="16"/>
                <w:szCs w:val="16"/>
              </w:rPr>
            </w:pPr>
            <w:r>
              <w:rPr>
                <w:rFonts w:cs="Arial"/>
                <w:sz w:val="16"/>
                <w:szCs w:val="16"/>
              </w:rPr>
              <w:t>3536</w:t>
            </w:r>
          </w:p>
        </w:tc>
        <w:tc>
          <w:tcPr>
            <w:tcW w:w="1530" w:type="dxa"/>
            <w:vAlign w:val="center"/>
          </w:tcPr>
          <w:p w:rsidR="007B3E55" w:rsidRDefault="007B3E55" w:rsidP="00614C04">
            <w:pPr>
              <w:spacing w:before="40" w:after="40"/>
              <w:jc w:val="center"/>
              <w:rPr>
                <w:rFonts w:cs="Arial"/>
                <w:sz w:val="16"/>
                <w:szCs w:val="16"/>
              </w:rPr>
            </w:pPr>
            <w:r>
              <w:rPr>
                <w:rFonts w:cs="Arial"/>
                <w:sz w:val="16"/>
                <w:szCs w:val="16"/>
              </w:rPr>
              <w:t>81%</w:t>
            </w:r>
          </w:p>
        </w:tc>
      </w:tr>
    </w:tbl>
    <w:p w:rsidR="007B3E55" w:rsidRPr="00AF036A" w:rsidRDefault="007B3E55" w:rsidP="007B3E55">
      <w:pPr>
        <w:spacing w:before="120"/>
        <w:ind w:left="1418" w:right="944" w:hanging="540"/>
        <w:jc w:val="both"/>
        <w:rPr>
          <w:rFonts w:cs="Arial"/>
          <w:sz w:val="18"/>
          <w:szCs w:val="18"/>
        </w:rPr>
      </w:pPr>
      <w:r w:rsidRPr="00AF036A">
        <w:rPr>
          <w:rFonts w:cs="Arial"/>
          <w:sz w:val="18"/>
          <w:szCs w:val="18"/>
        </w:rPr>
        <w:t xml:space="preserve">Note:  </w:t>
      </w:r>
      <w:r>
        <w:rPr>
          <w:rFonts w:cs="Arial"/>
          <w:sz w:val="18"/>
          <w:szCs w:val="18"/>
        </w:rPr>
        <w:tab/>
      </w:r>
      <w:r w:rsidRPr="00AF036A">
        <w:rPr>
          <w:rFonts w:cs="Arial"/>
          <w:sz w:val="18"/>
          <w:szCs w:val="18"/>
        </w:rPr>
        <w:t>The response rate for 2009-10</w:t>
      </w:r>
      <w:r>
        <w:rPr>
          <w:rFonts w:cs="Arial"/>
          <w:sz w:val="18"/>
          <w:szCs w:val="18"/>
        </w:rPr>
        <w:t xml:space="preserve"> and later</w:t>
      </w:r>
      <w:r w:rsidRPr="00AF036A">
        <w:rPr>
          <w:rFonts w:cs="Arial"/>
          <w:sz w:val="18"/>
          <w:szCs w:val="18"/>
        </w:rPr>
        <w:t xml:space="preserve"> is the post-imputation response rate.  For other years it is the pre-imputation response rate.  See the text below.</w:t>
      </w:r>
    </w:p>
    <w:p w:rsidR="007B3E55" w:rsidRDefault="007B3E55" w:rsidP="007B3E55">
      <w:pPr>
        <w:jc w:val="both"/>
        <w:rPr>
          <w:rFonts w:cs="Arial"/>
          <w:sz w:val="20"/>
          <w:szCs w:val="22"/>
          <w:u w:val="single"/>
        </w:rPr>
      </w:pPr>
    </w:p>
    <w:p w:rsidR="007B3E55" w:rsidRDefault="007B3E55" w:rsidP="007B3E55">
      <w:pPr>
        <w:jc w:val="both"/>
        <w:rPr>
          <w:rFonts w:cs="Arial"/>
          <w:sz w:val="20"/>
          <w:szCs w:val="22"/>
        </w:rPr>
      </w:pPr>
      <w:r w:rsidRPr="00793D06">
        <w:rPr>
          <w:rFonts w:cs="Arial"/>
          <w:sz w:val="20"/>
          <w:szCs w:val="22"/>
          <w:u w:val="single"/>
        </w:rPr>
        <w:t>Imputation</w:t>
      </w:r>
      <w:r>
        <w:rPr>
          <w:rFonts w:cs="Arial"/>
          <w:sz w:val="20"/>
          <w:szCs w:val="22"/>
        </w:rPr>
        <w:t xml:space="preserve"> was introduced into HES for the 2009-10 survey.  Imputation is a data set enhancing process that replaces missing values with actual values from similar respondents.</w:t>
      </w:r>
      <w:r>
        <w:rPr>
          <w:rStyle w:val="FootnoteReference"/>
          <w:rFonts w:cs="Arial"/>
          <w:sz w:val="20"/>
          <w:szCs w:val="22"/>
        </w:rPr>
        <w:footnoteReference w:id="20"/>
      </w:r>
      <w:r>
        <w:rPr>
          <w:rFonts w:cs="Arial"/>
          <w:sz w:val="20"/>
          <w:szCs w:val="22"/>
        </w:rPr>
        <w:t xml:space="preserve">  At that time, imputation was also applied to the data for the 2006-07, 2007-08 and 2008-09 surveys, and Statistics New Zealand has updated its Hot Off the Press tables and Table Builder information accordingly.  Unfortunately, the data used for this Incomes Report cannot be updated for those three surveys as this would require a full re-run of the base HES data through Taxwell, re-calibrated backwards for the parameter settings for those three years, all of which are different. </w:t>
      </w:r>
    </w:p>
    <w:p w:rsidR="007B3E55" w:rsidRDefault="007B3E55" w:rsidP="007B3E55">
      <w:pPr>
        <w:jc w:val="both"/>
        <w:rPr>
          <w:rFonts w:cs="Arial"/>
          <w:sz w:val="20"/>
          <w:szCs w:val="22"/>
        </w:rPr>
      </w:pPr>
    </w:p>
    <w:p w:rsidR="007B3E55" w:rsidRPr="00C0341E" w:rsidRDefault="007B3E55" w:rsidP="007B3E55">
      <w:pPr>
        <w:jc w:val="both"/>
        <w:rPr>
          <w:rFonts w:cs="Arial"/>
          <w:sz w:val="20"/>
          <w:szCs w:val="22"/>
        </w:rPr>
      </w:pPr>
      <w:r>
        <w:rPr>
          <w:rFonts w:cs="Arial"/>
          <w:sz w:val="20"/>
          <w:szCs w:val="22"/>
        </w:rPr>
        <w:t xml:space="preserve">The report also uses some net worth and income mobility information from </w:t>
      </w:r>
      <w:r w:rsidRPr="00C0341E">
        <w:rPr>
          <w:rFonts w:cs="Arial"/>
          <w:sz w:val="20"/>
          <w:szCs w:val="22"/>
        </w:rPr>
        <w:t>Statistics New Zealand’s longitudinal Survey of Families</w:t>
      </w:r>
      <w:r>
        <w:rPr>
          <w:rFonts w:cs="Arial"/>
          <w:sz w:val="20"/>
          <w:szCs w:val="22"/>
        </w:rPr>
        <w:t xml:space="preserve">, Income and Employment (SoFIE). </w:t>
      </w:r>
    </w:p>
    <w:p w:rsidR="007B3E55" w:rsidRDefault="007B3E55" w:rsidP="007B3E55">
      <w:pPr>
        <w:jc w:val="both"/>
        <w:rPr>
          <w:rFonts w:cs="Arial"/>
          <w:b/>
          <w:sz w:val="20"/>
        </w:rPr>
      </w:pPr>
    </w:p>
    <w:p w:rsidR="007B3E55" w:rsidRPr="00E84A72" w:rsidRDefault="007B3E55" w:rsidP="007B3E55">
      <w:pPr>
        <w:jc w:val="both"/>
        <w:rPr>
          <w:rFonts w:cs="Arial"/>
          <w:b/>
          <w:sz w:val="20"/>
        </w:rPr>
      </w:pPr>
    </w:p>
    <w:p w:rsidR="007B3E55" w:rsidRPr="00BD4B1C" w:rsidRDefault="007B3E55" w:rsidP="007B3E55">
      <w:pPr>
        <w:pStyle w:val="FootnoteText"/>
        <w:ind w:left="270" w:hanging="270"/>
        <w:jc w:val="both"/>
        <w:rPr>
          <w:b/>
          <w:szCs w:val="22"/>
          <w:lang w:val="en-NZ"/>
        </w:rPr>
      </w:pPr>
      <w:r>
        <w:rPr>
          <w:b/>
          <w:szCs w:val="22"/>
          <w:lang w:val="en-NZ"/>
        </w:rPr>
        <w:t>Population w</w:t>
      </w:r>
      <w:r w:rsidRPr="00BD4B1C">
        <w:rPr>
          <w:b/>
          <w:szCs w:val="22"/>
          <w:lang w:val="en-NZ"/>
        </w:rPr>
        <w:t>eight</w:t>
      </w:r>
      <w:r>
        <w:rPr>
          <w:b/>
          <w:szCs w:val="22"/>
          <w:lang w:val="en-NZ"/>
        </w:rPr>
        <w:t>ing</w:t>
      </w:r>
    </w:p>
    <w:p w:rsidR="007B3E55" w:rsidRDefault="007B3E55" w:rsidP="007B3E55">
      <w:pPr>
        <w:pStyle w:val="FootnoteText"/>
        <w:ind w:left="270" w:hanging="270"/>
        <w:jc w:val="both"/>
        <w:rPr>
          <w:sz w:val="18"/>
          <w:szCs w:val="18"/>
          <w:lang w:val="en-NZ"/>
        </w:rPr>
      </w:pPr>
    </w:p>
    <w:p w:rsidR="007B3E55" w:rsidRDefault="007B3E55" w:rsidP="007B3E55">
      <w:pPr>
        <w:pStyle w:val="FootnoteText"/>
        <w:jc w:val="both"/>
        <w:rPr>
          <w:sz w:val="20"/>
          <w:lang w:val="en-NZ"/>
        </w:rPr>
      </w:pPr>
      <w:r w:rsidRPr="006A37F3">
        <w:rPr>
          <w:sz w:val="20"/>
          <w:lang w:val="en-NZ"/>
        </w:rPr>
        <w:t xml:space="preserve">The </w:t>
      </w:r>
      <w:r>
        <w:rPr>
          <w:sz w:val="20"/>
          <w:lang w:val="en-NZ"/>
        </w:rPr>
        <w:t xml:space="preserve">preparation of the </w:t>
      </w:r>
      <w:r w:rsidRPr="006A37F3">
        <w:rPr>
          <w:sz w:val="20"/>
          <w:lang w:val="en-NZ"/>
        </w:rPr>
        <w:t xml:space="preserve">HES weights provided by Statistics New Zealand to </w:t>
      </w:r>
      <w:r>
        <w:rPr>
          <w:sz w:val="20"/>
          <w:lang w:val="en-NZ"/>
        </w:rPr>
        <w:t>enable</w:t>
      </w:r>
      <w:r w:rsidRPr="006A37F3">
        <w:rPr>
          <w:sz w:val="20"/>
          <w:lang w:val="en-NZ"/>
        </w:rPr>
        <w:t xml:space="preserve"> population estimates</w:t>
      </w:r>
      <w:r>
        <w:rPr>
          <w:sz w:val="20"/>
          <w:lang w:val="en-NZ"/>
        </w:rPr>
        <w:t xml:space="preserve"> to be produced </w:t>
      </w:r>
      <w:r w:rsidRPr="006A37F3">
        <w:rPr>
          <w:sz w:val="20"/>
          <w:lang w:val="en-NZ"/>
        </w:rPr>
        <w:t xml:space="preserve">from the HES sample </w:t>
      </w:r>
      <w:r>
        <w:rPr>
          <w:sz w:val="20"/>
          <w:lang w:val="en-NZ"/>
        </w:rPr>
        <w:t>follow a two stage process:</w:t>
      </w:r>
    </w:p>
    <w:p w:rsidR="007B3E55" w:rsidRPr="00895684" w:rsidRDefault="007B3E55" w:rsidP="007B3E55">
      <w:pPr>
        <w:numPr>
          <w:ilvl w:val="0"/>
          <w:numId w:val="25"/>
        </w:numPr>
        <w:autoSpaceDE w:val="0"/>
        <w:autoSpaceDN w:val="0"/>
        <w:adjustRightInd w:val="0"/>
        <w:spacing w:before="120"/>
        <w:jc w:val="both"/>
        <w:rPr>
          <w:rFonts w:cs="Arial"/>
          <w:sz w:val="20"/>
          <w:lang w:val="en-US"/>
        </w:rPr>
      </w:pPr>
      <w:r w:rsidRPr="00895684">
        <w:rPr>
          <w:rFonts w:cs="Arial"/>
          <w:sz w:val="20"/>
          <w:lang w:val="en-US"/>
        </w:rPr>
        <w:t>the sample design weight (the inverse of the selection</w:t>
      </w:r>
      <w:r>
        <w:rPr>
          <w:rFonts w:cs="Arial"/>
          <w:sz w:val="20"/>
          <w:lang w:val="en-US"/>
        </w:rPr>
        <w:t xml:space="preserve"> probability) is </w:t>
      </w:r>
      <w:r w:rsidRPr="00895684">
        <w:rPr>
          <w:rFonts w:cs="Arial"/>
          <w:sz w:val="20"/>
          <w:lang w:val="en-US"/>
        </w:rPr>
        <w:t xml:space="preserve">calculated for each private household, </w:t>
      </w:r>
      <w:r>
        <w:rPr>
          <w:rFonts w:cs="Arial"/>
          <w:sz w:val="20"/>
          <w:lang w:val="en-US"/>
        </w:rPr>
        <w:t>along with an adjustment for non-response</w:t>
      </w:r>
    </w:p>
    <w:p w:rsidR="007B3E55" w:rsidRPr="00895684" w:rsidRDefault="007B3E55" w:rsidP="007B3E55">
      <w:pPr>
        <w:numPr>
          <w:ilvl w:val="0"/>
          <w:numId w:val="25"/>
        </w:numPr>
        <w:autoSpaceDE w:val="0"/>
        <w:autoSpaceDN w:val="0"/>
        <w:adjustRightInd w:val="0"/>
        <w:spacing w:before="120"/>
        <w:jc w:val="both"/>
        <w:rPr>
          <w:rFonts w:cs="Arial"/>
          <w:sz w:val="20"/>
          <w:lang w:val="en-US"/>
        </w:rPr>
      </w:pPr>
      <w:r w:rsidRPr="00895684">
        <w:rPr>
          <w:rFonts w:cs="Arial"/>
          <w:sz w:val="20"/>
          <w:lang w:val="en-US"/>
        </w:rPr>
        <w:t xml:space="preserve">the weight of each household </w:t>
      </w:r>
      <w:r>
        <w:rPr>
          <w:rFonts w:cs="Arial"/>
          <w:sz w:val="20"/>
          <w:lang w:val="en-US"/>
        </w:rPr>
        <w:t>is</w:t>
      </w:r>
      <w:r w:rsidRPr="00895684">
        <w:rPr>
          <w:rFonts w:cs="Arial"/>
          <w:sz w:val="20"/>
          <w:lang w:val="en-US"/>
        </w:rPr>
        <w:t xml:space="preserve"> adjusted using</w:t>
      </w:r>
      <w:r>
        <w:rPr>
          <w:rFonts w:cs="Arial"/>
          <w:sz w:val="20"/>
          <w:lang w:val="en-US"/>
        </w:rPr>
        <w:t xml:space="preserve"> integrated weighting, calibrating</w:t>
      </w:r>
      <w:r w:rsidRPr="00895684">
        <w:rPr>
          <w:rFonts w:cs="Arial"/>
          <w:sz w:val="20"/>
          <w:lang w:val="en-US"/>
        </w:rPr>
        <w:t xml:space="preserve"> to independent</w:t>
      </w:r>
      <w:r>
        <w:rPr>
          <w:rFonts w:cs="Arial"/>
          <w:sz w:val="20"/>
          <w:lang w:val="en-US"/>
        </w:rPr>
        <w:t xml:space="preserve"> </w:t>
      </w:r>
      <w:r w:rsidRPr="00895684">
        <w:rPr>
          <w:rFonts w:cs="Arial"/>
          <w:sz w:val="20"/>
          <w:lang w:val="en-US"/>
        </w:rPr>
        <w:t>benchmarks of the number of people by age, sex, ethnicity and region and the</w:t>
      </w:r>
      <w:r>
        <w:rPr>
          <w:rFonts w:cs="Arial"/>
          <w:sz w:val="20"/>
          <w:lang w:val="en-US"/>
        </w:rPr>
        <w:t xml:space="preserve"> </w:t>
      </w:r>
      <w:r w:rsidRPr="00895684">
        <w:rPr>
          <w:rFonts w:cs="Arial"/>
          <w:sz w:val="20"/>
          <w:lang w:val="en-US"/>
        </w:rPr>
        <w:t>number of households by household size</w:t>
      </w:r>
      <w:r>
        <w:rPr>
          <w:rFonts w:cs="Arial"/>
          <w:sz w:val="20"/>
          <w:lang w:val="en-US"/>
        </w:rPr>
        <w:t xml:space="preserve"> (from estimates based on the 2006 Census for the 2010-11 HES)</w:t>
      </w:r>
      <w:r w:rsidRPr="00895684">
        <w:rPr>
          <w:rFonts w:cs="Arial"/>
          <w:sz w:val="20"/>
          <w:lang w:val="en-US"/>
        </w:rPr>
        <w:t>.</w:t>
      </w:r>
    </w:p>
    <w:p w:rsidR="007B3E55" w:rsidRDefault="007B3E55" w:rsidP="007B3E55">
      <w:pPr>
        <w:pStyle w:val="FootnoteText"/>
        <w:jc w:val="both"/>
        <w:rPr>
          <w:sz w:val="20"/>
          <w:lang w:val="en-NZ"/>
        </w:rPr>
      </w:pPr>
    </w:p>
    <w:p w:rsidR="007B3E55" w:rsidRDefault="007B3E55" w:rsidP="007B3E55">
      <w:pPr>
        <w:pStyle w:val="FootnoteText"/>
        <w:jc w:val="both"/>
        <w:rPr>
          <w:sz w:val="20"/>
          <w:lang w:val="en-NZ"/>
        </w:rPr>
      </w:pPr>
      <w:r>
        <w:rPr>
          <w:sz w:val="20"/>
          <w:lang w:val="en-NZ"/>
        </w:rPr>
        <w:t>The HES weights do not calibrate to the number of people receiving income-tested benefits or New Zealand Superannuation payments.</w:t>
      </w:r>
      <w:r w:rsidRPr="006A37F3">
        <w:rPr>
          <w:sz w:val="20"/>
          <w:lang w:val="en-NZ"/>
        </w:rPr>
        <w:t xml:space="preserve"> </w:t>
      </w:r>
      <w:r>
        <w:rPr>
          <w:sz w:val="20"/>
          <w:lang w:val="en-NZ"/>
        </w:rPr>
        <w:t xml:space="preserve"> The HES underestimates these numbers by around a third in each survey.  </w:t>
      </w:r>
    </w:p>
    <w:p w:rsidR="007B3E55" w:rsidRDefault="007B3E55" w:rsidP="007B3E55">
      <w:pPr>
        <w:pStyle w:val="FootnoteText"/>
        <w:jc w:val="both"/>
        <w:rPr>
          <w:sz w:val="20"/>
          <w:lang w:val="en-NZ"/>
        </w:rPr>
      </w:pPr>
    </w:p>
    <w:p w:rsidR="007B3E55" w:rsidRPr="006A37F3" w:rsidRDefault="007B3E55" w:rsidP="007B3E55">
      <w:pPr>
        <w:pStyle w:val="FootnoteText"/>
        <w:jc w:val="both"/>
        <w:rPr>
          <w:sz w:val="20"/>
          <w:lang w:val="en-NZ"/>
        </w:rPr>
      </w:pPr>
      <w:r>
        <w:rPr>
          <w:sz w:val="20"/>
          <w:lang w:val="en-NZ"/>
        </w:rPr>
        <w:t xml:space="preserve">The Treasury has also developed a set of weights for use with its HES-based tax-benefit microsimulation model, Taxwell.  The Taxwell weights include the number of beneficiaries as one of the key benchmarks, in accordance with Treasury’s primary use for the HES in the Taxwell model.  </w:t>
      </w:r>
      <w:r w:rsidRPr="006A37F3">
        <w:rPr>
          <w:sz w:val="20"/>
          <w:lang w:val="en-NZ"/>
        </w:rPr>
        <w:t xml:space="preserve">Treasury’s Taxwell weights </w:t>
      </w:r>
      <w:r>
        <w:rPr>
          <w:sz w:val="20"/>
          <w:lang w:val="en-NZ"/>
        </w:rPr>
        <w:t xml:space="preserve">therefore </w:t>
      </w:r>
      <w:r w:rsidRPr="006A37F3">
        <w:rPr>
          <w:sz w:val="20"/>
          <w:lang w:val="en-NZ"/>
        </w:rPr>
        <w:t>provide a better estimate</w:t>
      </w:r>
      <w:r>
        <w:rPr>
          <w:sz w:val="20"/>
          <w:lang w:val="en-NZ"/>
        </w:rPr>
        <w:t>, for example,</w:t>
      </w:r>
      <w:r w:rsidRPr="006A37F3">
        <w:rPr>
          <w:sz w:val="20"/>
          <w:lang w:val="en-NZ"/>
        </w:rPr>
        <w:t xml:space="preserve"> of the number of chi</w:t>
      </w:r>
      <w:r>
        <w:rPr>
          <w:sz w:val="20"/>
          <w:lang w:val="en-NZ"/>
        </w:rPr>
        <w:t>ldren in beneficiary families, although to achieve this there has been a trade-off with achieving other benchmarks.  This report almost always uses Statistics New Zealand’s HES weights.  Where the Taxwell weights are used, this is made clear in the text.</w:t>
      </w:r>
      <w:r>
        <w:rPr>
          <w:rStyle w:val="FootnoteReference"/>
          <w:sz w:val="20"/>
          <w:lang w:val="en-NZ"/>
        </w:rPr>
        <w:footnoteReference w:id="21"/>
      </w:r>
    </w:p>
    <w:p w:rsidR="007B3E55" w:rsidRDefault="007B3E55" w:rsidP="007B3E55">
      <w:pPr>
        <w:jc w:val="both"/>
        <w:rPr>
          <w:rFonts w:cs="Arial"/>
          <w:b/>
          <w:szCs w:val="22"/>
        </w:rPr>
      </w:pPr>
    </w:p>
    <w:p w:rsidR="007B3E55" w:rsidRDefault="007B3E55" w:rsidP="007B3E55">
      <w:pPr>
        <w:jc w:val="both"/>
        <w:rPr>
          <w:rFonts w:cs="Arial"/>
          <w:b/>
          <w:szCs w:val="22"/>
        </w:rPr>
      </w:pPr>
    </w:p>
    <w:p w:rsidR="007B3E55" w:rsidRPr="00197E7D" w:rsidRDefault="007B3E55" w:rsidP="007B3E55">
      <w:pPr>
        <w:jc w:val="both"/>
        <w:rPr>
          <w:rFonts w:cs="Arial"/>
          <w:b/>
          <w:szCs w:val="22"/>
        </w:rPr>
      </w:pPr>
      <w:r w:rsidRPr="00197E7D">
        <w:rPr>
          <w:rFonts w:cs="Arial"/>
          <w:b/>
          <w:szCs w:val="22"/>
        </w:rPr>
        <w:t>Convention for naming HES years</w:t>
      </w:r>
    </w:p>
    <w:p w:rsidR="007B3E55" w:rsidRDefault="007B3E55" w:rsidP="007B3E55">
      <w:pPr>
        <w:jc w:val="both"/>
        <w:rPr>
          <w:rFonts w:cs="Arial"/>
          <w:szCs w:val="22"/>
        </w:rPr>
      </w:pPr>
    </w:p>
    <w:p w:rsidR="007B3E55" w:rsidRPr="00C0341E" w:rsidRDefault="007B3E55" w:rsidP="007B3E55">
      <w:pPr>
        <w:pStyle w:val="FootnoteText"/>
        <w:jc w:val="both"/>
        <w:rPr>
          <w:rFonts w:cs="Arial"/>
          <w:sz w:val="20"/>
          <w:szCs w:val="22"/>
        </w:rPr>
      </w:pPr>
      <w:r>
        <w:rPr>
          <w:rFonts w:cs="Arial"/>
          <w:sz w:val="20"/>
          <w:szCs w:val="22"/>
          <w:lang w:val="en-NZ"/>
        </w:rPr>
        <w:t>This</w:t>
      </w:r>
      <w:r w:rsidRPr="00C0341E">
        <w:rPr>
          <w:rFonts w:cs="Arial"/>
          <w:sz w:val="20"/>
          <w:szCs w:val="22"/>
          <w:lang w:val="en-NZ"/>
        </w:rPr>
        <w:t xml:space="preserve"> report adopts a common short-hand convention for describing HES years.  For example, ‘the 200</w:t>
      </w:r>
      <w:r>
        <w:rPr>
          <w:rFonts w:cs="Arial"/>
          <w:sz w:val="20"/>
          <w:szCs w:val="22"/>
          <w:lang w:val="en-NZ"/>
        </w:rPr>
        <w:t>7</w:t>
      </w:r>
      <w:r w:rsidRPr="00C0341E">
        <w:rPr>
          <w:rFonts w:cs="Arial"/>
          <w:sz w:val="20"/>
          <w:szCs w:val="22"/>
          <w:lang w:val="en-NZ"/>
        </w:rPr>
        <w:t xml:space="preserve"> HES’ is short for ‘the </w:t>
      </w:r>
      <w:r w:rsidRPr="00C0341E">
        <w:rPr>
          <w:rFonts w:cs="Arial"/>
          <w:sz w:val="20"/>
          <w:szCs w:val="22"/>
        </w:rPr>
        <w:t>200</w:t>
      </w:r>
      <w:r>
        <w:rPr>
          <w:rFonts w:cs="Arial"/>
          <w:sz w:val="20"/>
          <w:szCs w:val="22"/>
        </w:rPr>
        <w:t>6</w:t>
      </w:r>
      <w:r w:rsidRPr="00C0341E">
        <w:rPr>
          <w:rFonts w:cs="Arial"/>
          <w:sz w:val="20"/>
          <w:szCs w:val="22"/>
        </w:rPr>
        <w:t>-</w:t>
      </w:r>
      <w:r>
        <w:rPr>
          <w:rFonts w:cs="Arial"/>
          <w:sz w:val="20"/>
          <w:szCs w:val="22"/>
        </w:rPr>
        <w:t>07</w:t>
      </w:r>
      <w:r w:rsidRPr="00C0341E">
        <w:rPr>
          <w:rFonts w:cs="Arial"/>
          <w:sz w:val="20"/>
          <w:szCs w:val="22"/>
        </w:rPr>
        <w:t xml:space="preserve"> HES’.  The </w:t>
      </w:r>
      <w:r>
        <w:rPr>
          <w:rFonts w:cs="Arial"/>
          <w:sz w:val="20"/>
          <w:szCs w:val="22"/>
        </w:rPr>
        <w:t xml:space="preserve">2007 </w:t>
      </w:r>
      <w:r w:rsidRPr="00C0341E">
        <w:rPr>
          <w:rFonts w:cs="Arial"/>
          <w:sz w:val="20"/>
          <w:szCs w:val="22"/>
        </w:rPr>
        <w:t xml:space="preserve">survey is for the year ending </w:t>
      </w:r>
      <w:smartTag w:uri="urn:schemas-microsoft-com:office:smarttags" w:element="date">
        <w:smartTagPr>
          <w:attr w:name="Month" w:val="6"/>
          <w:attr w:name="Day" w:val="30"/>
          <w:attr w:name="Year" w:val="2007"/>
        </w:smartTagPr>
        <w:r w:rsidRPr="00C0341E">
          <w:rPr>
            <w:rFonts w:cs="Arial"/>
            <w:sz w:val="20"/>
            <w:szCs w:val="22"/>
          </w:rPr>
          <w:t>30 June 2007</w:t>
        </w:r>
      </w:smartTag>
      <w:r w:rsidRPr="00C0341E">
        <w:rPr>
          <w:rFonts w:cs="Arial"/>
          <w:sz w:val="20"/>
          <w:szCs w:val="22"/>
        </w:rPr>
        <w:t xml:space="preserve"> with its midpoint in December 2006.  For the 1998 HES and earlier ones the survey period was for March years. The 1998 HES therefore has a midpoint of September 1997.   </w:t>
      </w:r>
      <w:r>
        <w:rPr>
          <w:rFonts w:cs="Arial"/>
          <w:sz w:val="20"/>
          <w:szCs w:val="22"/>
        </w:rPr>
        <w:t>There is therefore a good case to be made for the 2006</w:t>
      </w:r>
      <w:r w:rsidRPr="00C0341E">
        <w:rPr>
          <w:sz w:val="20"/>
          <w:lang w:val="en-NZ"/>
        </w:rPr>
        <w:t>–</w:t>
      </w:r>
      <w:r>
        <w:rPr>
          <w:sz w:val="20"/>
          <w:lang w:val="en-NZ"/>
        </w:rPr>
        <w:t>20</w:t>
      </w:r>
      <w:r>
        <w:rPr>
          <w:rFonts w:cs="Arial"/>
          <w:sz w:val="20"/>
          <w:szCs w:val="22"/>
        </w:rPr>
        <w:t>07 HES being labelled the ‘2006 HES’.  While logic and clarity support this, it would unfortunately fly in the face of common custom and possibly lead to confusion.  This report therefore (reluctantly) follows the custom.</w:t>
      </w:r>
    </w:p>
    <w:p w:rsidR="007B3E55" w:rsidRPr="00C0341E" w:rsidRDefault="007B3E55" w:rsidP="007B3E55">
      <w:pPr>
        <w:pStyle w:val="FootnoteText"/>
        <w:jc w:val="both"/>
        <w:rPr>
          <w:rFonts w:cs="Arial"/>
          <w:sz w:val="20"/>
          <w:szCs w:val="22"/>
        </w:rPr>
      </w:pPr>
    </w:p>
    <w:p w:rsidR="007B3E55" w:rsidRPr="00296B1C" w:rsidRDefault="007B3E55" w:rsidP="007B3E55">
      <w:pPr>
        <w:pStyle w:val="FootnoteText"/>
        <w:jc w:val="both"/>
        <w:rPr>
          <w:b/>
          <w:sz w:val="20"/>
          <w:u w:val="single"/>
        </w:rPr>
      </w:pPr>
      <w:r w:rsidRPr="00C0341E">
        <w:rPr>
          <w:sz w:val="20"/>
        </w:rPr>
        <w:t>The income values, inequality figures, poverty rates, and so on for specified HES years are best interpreted as being for the middle of the respective survey years unless noted otherwise.</w:t>
      </w:r>
      <w:r w:rsidRPr="00296B1C">
        <w:rPr>
          <w:sz w:val="18"/>
          <w:szCs w:val="18"/>
        </w:rPr>
        <w:t xml:space="preserve"> </w:t>
      </w:r>
      <w:r>
        <w:rPr>
          <w:sz w:val="18"/>
          <w:szCs w:val="18"/>
        </w:rPr>
        <w:t xml:space="preserve"> Particular c</w:t>
      </w:r>
      <w:r w:rsidRPr="00296B1C">
        <w:rPr>
          <w:sz w:val="20"/>
        </w:rPr>
        <w:t>are is required in establishing which survey year will pick up the implications of policy changes</w:t>
      </w:r>
      <w:r>
        <w:rPr>
          <w:sz w:val="20"/>
        </w:rPr>
        <w:t xml:space="preserve"> or of significant labour market or </w:t>
      </w:r>
      <w:smartTag w:uri="urn:schemas-microsoft-com:office:smarttags" w:element="stockticker">
        <w:r>
          <w:rPr>
            <w:sz w:val="20"/>
          </w:rPr>
          <w:t>GDP</w:t>
        </w:r>
      </w:smartTag>
      <w:r>
        <w:rPr>
          <w:sz w:val="20"/>
        </w:rPr>
        <w:t xml:space="preserve"> changes, or of other major events,</w:t>
      </w:r>
      <w:r w:rsidRPr="00296B1C">
        <w:rPr>
          <w:sz w:val="20"/>
        </w:rPr>
        <w:t xml:space="preserve"> when </w:t>
      </w:r>
      <w:r>
        <w:rPr>
          <w:sz w:val="20"/>
        </w:rPr>
        <w:t xml:space="preserve">some or all of these </w:t>
      </w:r>
      <w:r w:rsidRPr="00296B1C">
        <w:rPr>
          <w:sz w:val="20"/>
        </w:rPr>
        <w:t>changes occur during a survey year.</w:t>
      </w:r>
    </w:p>
    <w:p w:rsidR="007B3E55" w:rsidRPr="00C52F35" w:rsidRDefault="007B3E55" w:rsidP="007B3E55">
      <w:pPr>
        <w:jc w:val="both"/>
        <w:rPr>
          <w:rFonts w:cs="Arial"/>
          <w:sz w:val="20"/>
        </w:rPr>
      </w:pPr>
    </w:p>
    <w:p w:rsidR="007B3E55" w:rsidRPr="00C52F35" w:rsidRDefault="007B3E55" w:rsidP="007B3E55">
      <w:pPr>
        <w:jc w:val="both"/>
        <w:rPr>
          <w:rFonts w:cs="Arial"/>
          <w:sz w:val="20"/>
        </w:rPr>
      </w:pPr>
    </w:p>
    <w:p w:rsidR="007B3E55" w:rsidRPr="00197E7D" w:rsidRDefault="007B3E55" w:rsidP="007B3E55">
      <w:pPr>
        <w:jc w:val="both"/>
        <w:rPr>
          <w:rFonts w:cs="Arial"/>
          <w:b/>
          <w:szCs w:val="22"/>
        </w:rPr>
      </w:pPr>
      <w:r>
        <w:rPr>
          <w:rFonts w:cs="Arial"/>
          <w:b/>
          <w:szCs w:val="22"/>
        </w:rPr>
        <w:lastRenderedPageBreak/>
        <w:t>HES years used in the report</w:t>
      </w:r>
    </w:p>
    <w:p w:rsidR="007B3E55" w:rsidRDefault="007B3E55" w:rsidP="007B3E55">
      <w:pPr>
        <w:jc w:val="both"/>
        <w:rPr>
          <w:rFonts w:cs="Arial"/>
          <w:szCs w:val="22"/>
        </w:rPr>
      </w:pPr>
    </w:p>
    <w:p w:rsidR="007B3E55" w:rsidRPr="00C0341E" w:rsidRDefault="007B3E55" w:rsidP="007B3E55">
      <w:pPr>
        <w:pStyle w:val="FootnoteText"/>
        <w:jc w:val="both"/>
        <w:rPr>
          <w:rFonts w:cs="Arial"/>
          <w:sz w:val="20"/>
          <w:szCs w:val="22"/>
          <w:lang w:val="en-NZ"/>
        </w:rPr>
      </w:pPr>
      <w:r w:rsidRPr="00C0341E">
        <w:rPr>
          <w:rFonts w:cs="Arial"/>
          <w:sz w:val="20"/>
          <w:szCs w:val="22"/>
          <w:lang w:val="en-NZ"/>
        </w:rPr>
        <w:t xml:space="preserve">The tables and graphs report for each second HES year from 1982 to 1998 and every three years to 2007, then </w:t>
      </w:r>
      <w:r>
        <w:rPr>
          <w:rFonts w:cs="Arial"/>
          <w:sz w:val="20"/>
          <w:szCs w:val="22"/>
          <w:lang w:val="en-NZ"/>
        </w:rPr>
        <w:t>each year for</w:t>
      </w:r>
      <w:r w:rsidRPr="00C0341E">
        <w:rPr>
          <w:rFonts w:cs="Arial"/>
          <w:sz w:val="20"/>
          <w:szCs w:val="22"/>
          <w:lang w:val="en-NZ"/>
        </w:rPr>
        <w:t xml:space="preserve"> 200</w:t>
      </w:r>
      <w:r>
        <w:rPr>
          <w:rFonts w:cs="Arial"/>
          <w:sz w:val="20"/>
          <w:szCs w:val="22"/>
          <w:lang w:val="en-NZ"/>
        </w:rPr>
        <w:t>9 to 2011</w:t>
      </w:r>
      <w:r w:rsidRPr="00C0341E">
        <w:rPr>
          <w:rFonts w:cs="Arial"/>
          <w:sz w:val="20"/>
          <w:szCs w:val="22"/>
          <w:lang w:val="en-NZ"/>
        </w:rPr>
        <w:t>.  Key changes in the income distribution occurred in the years from 1988 and again from 1994</w:t>
      </w:r>
      <w:r>
        <w:rPr>
          <w:rFonts w:cs="Arial"/>
          <w:sz w:val="20"/>
          <w:szCs w:val="22"/>
          <w:lang w:val="en-NZ"/>
        </w:rPr>
        <w:t>.  T</w:t>
      </w:r>
      <w:r w:rsidRPr="00C0341E">
        <w:rPr>
          <w:rFonts w:cs="Arial"/>
          <w:sz w:val="20"/>
          <w:szCs w:val="22"/>
          <w:lang w:val="en-NZ"/>
        </w:rPr>
        <w:t>he loss of information that arises from using every second year only does not impact on the overall trends reported as these key years are included in the reporting.</w:t>
      </w:r>
    </w:p>
    <w:p w:rsidR="007B3E55" w:rsidRPr="00C0341E" w:rsidRDefault="007B3E55" w:rsidP="007B3E55">
      <w:pPr>
        <w:pStyle w:val="FootnoteText"/>
        <w:jc w:val="both"/>
        <w:rPr>
          <w:rFonts w:cs="Arial"/>
          <w:sz w:val="20"/>
          <w:szCs w:val="22"/>
          <w:lang w:val="en-NZ"/>
        </w:rPr>
      </w:pPr>
    </w:p>
    <w:p w:rsidR="007B3E55" w:rsidRPr="00C0341E" w:rsidRDefault="007B3E55" w:rsidP="007B3E55">
      <w:pPr>
        <w:pStyle w:val="FootnoteText"/>
        <w:jc w:val="both"/>
        <w:rPr>
          <w:rFonts w:cs="Arial"/>
          <w:sz w:val="20"/>
          <w:szCs w:val="22"/>
        </w:rPr>
      </w:pPr>
      <w:r w:rsidRPr="00C0341E">
        <w:rPr>
          <w:rFonts w:cs="Arial"/>
          <w:sz w:val="20"/>
          <w:szCs w:val="22"/>
          <w:lang w:val="en-NZ"/>
        </w:rPr>
        <w:t xml:space="preserve">The points on the graphs are all joined by straight or smoothed lines.  This is done for presentational purposes only to give the general trends, and should not be taken to mean that the </w:t>
      </w:r>
      <w:r>
        <w:rPr>
          <w:rFonts w:cs="Arial"/>
          <w:sz w:val="20"/>
          <w:szCs w:val="22"/>
          <w:lang w:val="en-NZ"/>
        </w:rPr>
        <w:t xml:space="preserve">data </w:t>
      </w:r>
      <w:r w:rsidRPr="00C0341E">
        <w:rPr>
          <w:rFonts w:cs="Arial"/>
          <w:sz w:val="20"/>
          <w:szCs w:val="22"/>
          <w:lang w:val="en-NZ"/>
        </w:rPr>
        <w:t>points in the intervening years would all lie on the interpolated lines.</w:t>
      </w:r>
    </w:p>
    <w:p w:rsidR="007B3E55" w:rsidRPr="00C52F35" w:rsidRDefault="007B3E55" w:rsidP="007B3E55">
      <w:pPr>
        <w:jc w:val="both"/>
        <w:rPr>
          <w:rFonts w:cs="Arial"/>
          <w:sz w:val="20"/>
        </w:rPr>
      </w:pPr>
      <w:bookmarkStart w:id="5" w:name="_Toc115142418"/>
    </w:p>
    <w:p w:rsidR="007B3E55" w:rsidRPr="00C52F35" w:rsidRDefault="007B3E55" w:rsidP="007B3E55">
      <w:pPr>
        <w:jc w:val="both"/>
        <w:rPr>
          <w:rFonts w:cs="Arial"/>
          <w:sz w:val="20"/>
        </w:rPr>
      </w:pPr>
    </w:p>
    <w:p w:rsidR="007B3E55" w:rsidRDefault="007B3E55" w:rsidP="007B3E55">
      <w:pPr>
        <w:jc w:val="both"/>
        <w:rPr>
          <w:rFonts w:cs="Arial"/>
          <w:b/>
          <w:szCs w:val="22"/>
        </w:rPr>
      </w:pPr>
      <w:r>
        <w:rPr>
          <w:rFonts w:cs="Arial"/>
          <w:b/>
          <w:szCs w:val="22"/>
        </w:rPr>
        <w:t>Special note on the data for the 2008 HES (Income)</w:t>
      </w:r>
    </w:p>
    <w:p w:rsidR="007B3E55" w:rsidRDefault="007B3E55" w:rsidP="007B3E55">
      <w:pPr>
        <w:jc w:val="both"/>
        <w:rPr>
          <w:rFonts w:cs="Arial"/>
          <w:b/>
          <w:szCs w:val="22"/>
        </w:rPr>
      </w:pPr>
    </w:p>
    <w:p w:rsidR="007B3E55" w:rsidRPr="008D4D62" w:rsidRDefault="007B3E55" w:rsidP="007B3E55">
      <w:pPr>
        <w:autoSpaceDE w:val="0"/>
        <w:autoSpaceDN w:val="0"/>
        <w:adjustRightInd w:val="0"/>
        <w:jc w:val="both"/>
        <w:rPr>
          <w:rFonts w:cs="Arial"/>
          <w:sz w:val="20"/>
          <w:lang w:val="en-US"/>
        </w:rPr>
      </w:pPr>
      <w:r w:rsidRPr="008D4D62">
        <w:rPr>
          <w:rFonts w:cs="Arial"/>
          <w:sz w:val="20"/>
          <w:lang w:val="en-US"/>
        </w:rPr>
        <w:t xml:space="preserve">The </w:t>
      </w:r>
      <w:r>
        <w:rPr>
          <w:rFonts w:cs="Arial"/>
          <w:sz w:val="20"/>
          <w:lang w:val="en-US"/>
        </w:rPr>
        <w:t xml:space="preserve">income poverty and inequality </w:t>
      </w:r>
      <w:r w:rsidRPr="008D4D62">
        <w:rPr>
          <w:rFonts w:cs="Arial"/>
          <w:sz w:val="20"/>
          <w:lang w:val="en-US"/>
        </w:rPr>
        <w:t xml:space="preserve">figures for 2008 published in </w:t>
      </w:r>
      <w:r>
        <w:rPr>
          <w:rFonts w:cs="Arial"/>
          <w:sz w:val="20"/>
          <w:lang w:val="en-US"/>
        </w:rPr>
        <w:t>the 2009 report</w:t>
      </w:r>
      <w:r w:rsidRPr="008D4D62">
        <w:rPr>
          <w:rFonts w:cs="Arial"/>
          <w:sz w:val="20"/>
          <w:lang w:val="en-US"/>
        </w:rPr>
        <w:t xml:space="preserve"> </w:t>
      </w:r>
      <w:r>
        <w:rPr>
          <w:rFonts w:cs="Arial"/>
          <w:sz w:val="20"/>
          <w:lang w:val="en-US"/>
        </w:rPr>
        <w:t>are not included in subsequent reports</w:t>
      </w:r>
      <w:r w:rsidRPr="008D4D62">
        <w:rPr>
          <w:rFonts w:cs="Arial"/>
          <w:sz w:val="20"/>
          <w:lang w:val="en-US"/>
        </w:rPr>
        <w:t xml:space="preserve"> as a significant issue was discovered with the calculated disposable income variable in</w:t>
      </w:r>
      <w:r>
        <w:rPr>
          <w:rFonts w:cs="Arial"/>
          <w:sz w:val="20"/>
          <w:lang w:val="en-US"/>
        </w:rPr>
        <w:t xml:space="preserve"> the Taxwell data in</w:t>
      </w:r>
      <w:r w:rsidRPr="008D4D62">
        <w:rPr>
          <w:rFonts w:cs="Arial"/>
          <w:sz w:val="20"/>
          <w:lang w:val="en-US"/>
        </w:rPr>
        <w:t xml:space="preserve"> Statistics New Zealand’s 2007</w:t>
      </w:r>
      <w:r w:rsidRPr="00C0341E">
        <w:rPr>
          <w:sz w:val="20"/>
          <w:lang w:val="en-NZ"/>
        </w:rPr>
        <w:t>–</w:t>
      </w:r>
      <w:r>
        <w:rPr>
          <w:rFonts w:cs="Arial"/>
          <w:sz w:val="20"/>
          <w:lang w:val="en-US"/>
        </w:rPr>
        <w:t>2008</w:t>
      </w:r>
      <w:r w:rsidRPr="008D4D62">
        <w:rPr>
          <w:rFonts w:cs="Arial"/>
          <w:sz w:val="20"/>
          <w:lang w:val="en-US"/>
        </w:rPr>
        <w:t xml:space="preserve"> </w:t>
      </w:r>
      <w:r>
        <w:rPr>
          <w:rFonts w:cs="Arial"/>
          <w:sz w:val="20"/>
          <w:lang w:val="en-US"/>
        </w:rPr>
        <w:t>HES dataset</w:t>
      </w:r>
      <w:r w:rsidRPr="008D4D62">
        <w:rPr>
          <w:rFonts w:cs="Arial"/>
          <w:sz w:val="20"/>
          <w:lang w:val="en-US"/>
        </w:rPr>
        <w:t xml:space="preserve">. Initial investigations suggest the issue arose from the modeled Accommodation Supplement amounts used in calculating the household income variable. This led to household disposable incomes for </w:t>
      </w:r>
      <w:r>
        <w:rPr>
          <w:rFonts w:cs="Arial"/>
          <w:sz w:val="20"/>
          <w:lang w:val="en-US"/>
        </w:rPr>
        <w:t>the 2007</w:t>
      </w:r>
      <w:r w:rsidRPr="00C0341E">
        <w:rPr>
          <w:sz w:val="20"/>
          <w:lang w:val="en-NZ"/>
        </w:rPr>
        <w:t>–</w:t>
      </w:r>
      <w:r>
        <w:rPr>
          <w:sz w:val="20"/>
          <w:lang w:val="en-NZ"/>
        </w:rPr>
        <w:t>20</w:t>
      </w:r>
      <w:r>
        <w:rPr>
          <w:rFonts w:cs="Arial"/>
          <w:sz w:val="20"/>
          <w:lang w:val="en-US"/>
        </w:rPr>
        <w:t>08</w:t>
      </w:r>
      <w:r w:rsidRPr="008D4D62">
        <w:rPr>
          <w:rFonts w:cs="Arial"/>
          <w:sz w:val="20"/>
          <w:lang w:val="en-US"/>
        </w:rPr>
        <w:t xml:space="preserve"> year being understated for many low-income households. </w:t>
      </w:r>
      <w:r>
        <w:rPr>
          <w:rFonts w:cs="Arial"/>
          <w:sz w:val="20"/>
          <w:lang w:val="en-US"/>
        </w:rPr>
        <w:t>The poverty and inequality</w:t>
      </w:r>
      <w:r w:rsidRPr="008D4D62">
        <w:rPr>
          <w:rFonts w:cs="Arial"/>
          <w:sz w:val="20"/>
          <w:lang w:val="en-US"/>
        </w:rPr>
        <w:t xml:space="preserve"> figures reported </w:t>
      </w:r>
      <w:r>
        <w:rPr>
          <w:rFonts w:cs="Arial"/>
          <w:sz w:val="20"/>
          <w:lang w:val="en-US"/>
        </w:rPr>
        <w:t>in the 2009 report</w:t>
      </w:r>
      <w:r w:rsidRPr="008D4D62">
        <w:rPr>
          <w:rFonts w:cs="Arial"/>
          <w:sz w:val="20"/>
          <w:lang w:val="en-US"/>
        </w:rPr>
        <w:t xml:space="preserve"> were</w:t>
      </w:r>
      <w:r>
        <w:rPr>
          <w:rFonts w:cs="Arial"/>
          <w:sz w:val="20"/>
          <w:lang w:val="en-US"/>
        </w:rPr>
        <w:t xml:space="preserve"> therefore</w:t>
      </w:r>
      <w:r w:rsidRPr="008D4D62">
        <w:rPr>
          <w:rFonts w:cs="Arial"/>
          <w:sz w:val="20"/>
          <w:lang w:val="en-US"/>
        </w:rPr>
        <w:t xml:space="preserve"> inflated for the 2008 year</w:t>
      </w:r>
      <w:r>
        <w:rPr>
          <w:rFonts w:cs="Arial"/>
          <w:sz w:val="20"/>
          <w:lang w:val="en-US"/>
        </w:rPr>
        <w:t>.</w:t>
      </w:r>
      <w:r w:rsidRPr="008D4D62">
        <w:rPr>
          <w:rFonts w:cs="Arial"/>
          <w:sz w:val="20"/>
          <w:lang w:val="en-US"/>
        </w:rPr>
        <w:t xml:space="preserve"> </w:t>
      </w:r>
    </w:p>
    <w:p w:rsidR="007B3E55" w:rsidRPr="00C52F35" w:rsidRDefault="007B3E55" w:rsidP="007B3E55">
      <w:pPr>
        <w:pStyle w:val="FootnoteText"/>
        <w:jc w:val="both"/>
        <w:rPr>
          <w:b/>
          <w:sz w:val="20"/>
        </w:rPr>
      </w:pPr>
    </w:p>
    <w:p w:rsidR="007B3E55" w:rsidRPr="00C52F35" w:rsidRDefault="007B3E55" w:rsidP="007B3E55">
      <w:pPr>
        <w:jc w:val="both"/>
        <w:rPr>
          <w:rFonts w:cs="Arial"/>
          <w:b/>
          <w:sz w:val="20"/>
        </w:rPr>
      </w:pPr>
    </w:p>
    <w:p w:rsidR="007B3E55" w:rsidRPr="00197E7D" w:rsidRDefault="007B3E55" w:rsidP="007B3E55">
      <w:pPr>
        <w:jc w:val="both"/>
        <w:rPr>
          <w:rFonts w:cs="Arial"/>
          <w:b/>
          <w:szCs w:val="22"/>
        </w:rPr>
      </w:pPr>
      <w:r>
        <w:rPr>
          <w:rFonts w:cs="Arial"/>
          <w:b/>
          <w:szCs w:val="22"/>
        </w:rPr>
        <w:t>Treatment of negative incomes</w:t>
      </w:r>
    </w:p>
    <w:p w:rsidR="007B3E55" w:rsidRDefault="007B3E55" w:rsidP="007B3E55">
      <w:pPr>
        <w:jc w:val="both"/>
        <w:rPr>
          <w:rFonts w:cs="Arial"/>
          <w:szCs w:val="22"/>
        </w:rPr>
      </w:pPr>
    </w:p>
    <w:p w:rsidR="007B3E55" w:rsidRPr="00C0341E" w:rsidRDefault="007B3E55" w:rsidP="007B3E55">
      <w:pPr>
        <w:pStyle w:val="FootnoteText"/>
        <w:jc w:val="both"/>
        <w:rPr>
          <w:rFonts w:cs="Arial"/>
          <w:sz w:val="20"/>
          <w:szCs w:val="22"/>
          <w:lang w:val="en-NZ"/>
        </w:rPr>
      </w:pPr>
      <w:r w:rsidRPr="00C0341E">
        <w:rPr>
          <w:rFonts w:cs="Arial"/>
          <w:sz w:val="20"/>
          <w:szCs w:val="22"/>
          <w:lang w:val="en-NZ"/>
        </w:rPr>
        <w:t xml:space="preserve">In each HES survey there are a few records showing negative incomes.  For this report these negative incomes are re-assigned a value of zero before analysis is undertaken.  This is done to reasonably approximate the treatment of negatives asked for by the OECD in the data sent to them by statistical agencies such as Statistics New Zealand and it therefore assists with international comparisons.  This treatment of negatives has no effect on medians,  no impact on reported trends over time for the approaches used in this report, nor on poverty rates at any point in time, nor on the composition of the poor.   It has a very small impact on means and income shares for quintiles. </w:t>
      </w:r>
    </w:p>
    <w:p w:rsidR="007B3E55" w:rsidRPr="00C0341E" w:rsidRDefault="007B3E55" w:rsidP="007B3E55">
      <w:pPr>
        <w:pStyle w:val="FootnoteText"/>
        <w:jc w:val="both"/>
        <w:rPr>
          <w:rFonts w:cs="Arial"/>
          <w:sz w:val="20"/>
          <w:szCs w:val="22"/>
          <w:lang w:val="en-NZ"/>
        </w:rPr>
      </w:pPr>
    </w:p>
    <w:p w:rsidR="007B3E55" w:rsidRPr="00C0341E" w:rsidRDefault="007B3E55" w:rsidP="007B3E55">
      <w:pPr>
        <w:pStyle w:val="FootnoteText"/>
        <w:jc w:val="both"/>
        <w:rPr>
          <w:rFonts w:cs="Arial"/>
          <w:sz w:val="20"/>
          <w:szCs w:val="22"/>
        </w:rPr>
      </w:pPr>
      <w:r w:rsidRPr="00C0341E">
        <w:rPr>
          <w:rFonts w:cs="Arial"/>
          <w:sz w:val="20"/>
          <w:szCs w:val="22"/>
          <w:lang w:val="en-NZ"/>
        </w:rPr>
        <w:t xml:space="preserve">Note that negatives are deleted for calculating the Gini coefficient </w:t>
      </w:r>
      <w:r>
        <w:rPr>
          <w:rFonts w:cs="Arial"/>
          <w:sz w:val="20"/>
          <w:szCs w:val="22"/>
          <w:lang w:val="en-NZ"/>
        </w:rPr>
        <w:t xml:space="preserve">when using the Revised Jensen scale </w:t>
      </w:r>
      <w:r w:rsidRPr="00C0341E">
        <w:rPr>
          <w:rFonts w:cs="Arial"/>
          <w:sz w:val="20"/>
          <w:szCs w:val="22"/>
          <w:lang w:val="en-NZ"/>
        </w:rPr>
        <w:t>to maintain consistency with the approach taken by Statistics New Zealand</w:t>
      </w:r>
      <w:r>
        <w:rPr>
          <w:rFonts w:cs="Arial"/>
          <w:sz w:val="20"/>
          <w:szCs w:val="22"/>
          <w:lang w:val="en-NZ"/>
        </w:rPr>
        <w:t xml:space="preserve"> in their longer-run </w:t>
      </w:r>
      <w:smartTag w:uri="urn:schemas-microsoft-com:office:smarttags" w:element="place">
        <w:smartTag w:uri="urn:schemas-microsoft-com:office:smarttags" w:element="country-region">
          <w:r>
            <w:rPr>
              <w:rFonts w:cs="Arial"/>
              <w:sz w:val="20"/>
              <w:szCs w:val="22"/>
              <w:lang w:val="en-NZ"/>
            </w:rPr>
            <w:t>New Zealand</w:t>
          </w:r>
        </w:smartTag>
      </w:smartTag>
      <w:r>
        <w:rPr>
          <w:rFonts w:cs="Arial"/>
          <w:sz w:val="20"/>
          <w:szCs w:val="22"/>
          <w:lang w:val="en-NZ"/>
        </w:rPr>
        <w:t xml:space="preserve"> time series</w:t>
      </w:r>
      <w:r w:rsidRPr="00C0341E">
        <w:rPr>
          <w:rFonts w:cs="Arial"/>
          <w:sz w:val="20"/>
          <w:szCs w:val="22"/>
          <w:lang w:val="en-NZ"/>
        </w:rPr>
        <w:t xml:space="preserve">.  This </w:t>
      </w:r>
      <w:r>
        <w:rPr>
          <w:rFonts w:cs="Arial"/>
          <w:sz w:val="20"/>
          <w:szCs w:val="22"/>
          <w:lang w:val="en-NZ"/>
        </w:rPr>
        <w:t xml:space="preserve">different </w:t>
      </w:r>
      <w:r w:rsidRPr="00C0341E">
        <w:rPr>
          <w:rFonts w:cs="Arial"/>
          <w:sz w:val="20"/>
          <w:szCs w:val="22"/>
          <w:lang w:val="en-NZ"/>
        </w:rPr>
        <w:t xml:space="preserve">adjustment has </w:t>
      </w:r>
      <w:r>
        <w:rPr>
          <w:rFonts w:cs="Arial"/>
          <w:sz w:val="20"/>
          <w:szCs w:val="22"/>
          <w:lang w:val="en-NZ"/>
        </w:rPr>
        <w:t>no impact on trends and only a</w:t>
      </w:r>
      <w:r w:rsidRPr="00C0341E">
        <w:rPr>
          <w:rFonts w:cs="Arial"/>
          <w:sz w:val="20"/>
          <w:szCs w:val="22"/>
          <w:lang w:val="en-NZ"/>
        </w:rPr>
        <w:t xml:space="preserve"> minor impact on the figure for a particular survey.  </w:t>
      </w:r>
    </w:p>
    <w:p w:rsidR="007B3E55" w:rsidRPr="00C52F35" w:rsidRDefault="007B3E55" w:rsidP="007B3E55">
      <w:pPr>
        <w:jc w:val="both"/>
        <w:rPr>
          <w:rFonts w:cs="Arial"/>
          <w:b/>
          <w:sz w:val="20"/>
        </w:rPr>
      </w:pPr>
    </w:p>
    <w:p w:rsidR="007B3E55" w:rsidRPr="00C52F35" w:rsidRDefault="007B3E55" w:rsidP="007B3E55">
      <w:pPr>
        <w:jc w:val="both"/>
        <w:rPr>
          <w:rFonts w:cs="Arial"/>
          <w:b/>
          <w:sz w:val="20"/>
        </w:rPr>
      </w:pPr>
    </w:p>
    <w:p w:rsidR="007B3E55" w:rsidRPr="00197E7D" w:rsidRDefault="007B3E55" w:rsidP="007B3E55">
      <w:pPr>
        <w:jc w:val="both"/>
        <w:rPr>
          <w:rFonts w:cs="Arial"/>
          <w:b/>
          <w:szCs w:val="22"/>
        </w:rPr>
      </w:pPr>
      <w:r>
        <w:rPr>
          <w:rFonts w:cs="Arial"/>
          <w:b/>
          <w:szCs w:val="22"/>
        </w:rPr>
        <w:t>Adjusting for inflation</w:t>
      </w:r>
    </w:p>
    <w:p w:rsidR="007B3E55" w:rsidRDefault="007B3E55" w:rsidP="007B3E55">
      <w:pPr>
        <w:jc w:val="both"/>
        <w:rPr>
          <w:rFonts w:cs="Arial"/>
          <w:szCs w:val="22"/>
        </w:rPr>
      </w:pPr>
    </w:p>
    <w:p w:rsidR="007B3E55" w:rsidRPr="00C0341E" w:rsidRDefault="007B3E55" w:rsidP="007B3E55">
      <w:pPr>
        <w:pStyle w:val="FootnoteText"/>
        <w:jc w:val="both"/>
        <w:rPr>
          <w:rFonts w:cs="Arial"/>
          <w:sz w:val="20"/>
          <w:szCs w:val="22"/>
          <w:lang w:val="en-NZ"/>
        </w:rPr>
      </w:pPr>
      <w:r w:rsidRPr="00C0341E">
        <w:rPr>
          <w:rFonts w:cs="Arial"/>
          <w:sz w:val="20"/>
          <w:szCs w:val="22"/>
          <w:lang w:val="en-NZ"/>
        </w:rPr>
        <w:t>Household incomes and low-income thresholds are adjusted for inflation at various places in the report.  Household incomes are converted to 20</w:t>
      </w:r>
      <w:r>
        <w:rPr>
          <w:rFonts w:cs="Arial"/>
          <w:sz w:val="20"/>
          <w:szCs w:val="22"/>
          <w:lang w:val="en-NZ"/>
        </w:rPr>
        <w:t>11</w:t>
      </w:r>
      <w:r w:rsidRPr="00C0341E">
        <w:rPr>
          <w:rFonts w:cs="Arial"/>
          <w:sz w:val="20"/>
          <w:szCs w:val="22"/>
          <w:lang w:val="en-NZ"/>
        </w:rPr>
        <w:t xml:space="preserve"> dollars for reporting on income trends in real terms.  For the reporting on trends in income poverty based on an ‘absolute’ or ‘fixed line’ approach, thresholds are based on proportions of the </w:t>
      </w:r>
      <w:r>
        <w:rPr>
          <w:rFonts w:cs="Arial"/>
          <w:sz w:val="20"/>
          <w:szCs w:val="22"/>
          <w:lang w:val="en-NZ"/>
        </w:rPr>
        <w:t>2007</w:t>
      </w:r>
      <w:r w:rsidRPr="00C0341E">
        <w:rPr>
          <w:rFonts w:cs="Arial"/>
          <w:sz w:val="20"/>
          <w:szCs w:val="22"/>
          <w:lang w:val="en-NZ"/>
        </w:rPr>
        <w:t xml:space="preserve"> median and are held constant in real terms over other years.</w:t>
      </w:r>
      <w:r w:rsidRPr="00C0341E">
        <w:rPr>
          <w:rStyle w:val="FootnoteReference"/>
          <w:rFonts w:cs="Arial"/>
          <w:sz w:val="20"/>
          <w:szCs w:val="22"/>
          <w:lang w:val="en-NZ"/>
        </w:rPr>
        <w:footnoteReference w:id="22"/>
      </w:r>
      <w:r w:rsidRPr="00C0341E">
        <w:rPr>
          <w:rFonts w:cs="Arial"/>
          <w:sz w:val="20"/>
          <w:szCs w:val="22"/>
          <w:lang w:val="en-NZ"/>
        </w:rPr>
        <w:t xml:space="preserve">  </w:t>
      </w:r>
    </w:p>
    <w:p w:rsidR="007B3E55" w:rsidRPr="00C0341E" w:rsidRDefault="007B3E55" w:rsidP="007B3E55">
      <w:pPr>
        <w:pStyle w:val="FootnoteText"/>
        <w:jc w:val="both"/>
        <w:rPr>
          <w:rFonts w:cs="Arial"/>
          <w:sz w:val="20"/>
          <w:szCs w:val="22"/>
          <w:lang w:val="en-NZ"/>
        </w:rPr>
      </w:pPr>
    </w:p>
    <w:p w:rsidR="007B3E55" w:rsidRPr="00C0341E" w:rsidRDefault="007B3E55" w:rsidP="007B3E55">
      <w:pPr>
        <w:pStyle w:val="FootnoteText"/>
        <w:jc w:val="both"/>
        <w:rPr>
          <w:rFonts w:cs="Arial"/>
          <w:sz w:val="20"/>
          <w:szCs w:val="22"/>
        </w:rPr>
      </w:pPr>
      <w:r w:rsidRPr="00C0341E">
        <w:rPr>
          <w:rFonts w:cs="Arial"/>
          <w:sz w:val="20"/>
          <w:szCs w:val="22"/>
          <w:lang w:val="en-NZ"/>
        </w:rPr>
        <w:t xml:space="preserve">The adjustments for inflation are carried out using </w:t>
      </w:r>
      <w:smartTag w:uri="urn:schemas-microsoft-com:office:smarttags" w:element="stockticker">
        <w:r w:rsidRPr="00C0341E">
          <w:rPr>
            <w:rFonts w:cs="Arial"/>
            <w:sz w:val="20"/>
            <w:szCs w:val="22"/>
            <w:lang w:val="en-NZ"/>
          </w:rPr>
          <w:t>CPI</w:t>
        </w:r>
      </w:smartTag>
      <w:r w:rsidRPr="00C0341E">
        <w:rPr>
          <w:rFonts w:cs="Arial"/>
          <w:sz w:val="20"/>
          <w:szCs w:val="22"/>
          <w:lang w:val="en-NZ"/>
        </w:rPr>
        <w:t xml:space="preserve"> full-year averages for a March year up to and including the 1998 survey and a June year from 2001.  For </w:t>
      </w:r>
      <w:smartTag w:uri="urn:schemas-microsoft-com:office:smarttags" w:element="stockticker">
        <w:r w:rsidRPr="00C0341E">
          <w:rPr>
            <w:rFonts w:cs="Arial"/>
            <w:sz w:val="20"/>
            <w:szCs w:val="22"/>
            <w:lang w:val="en-NZ"/>
          </w:rPr>
          <w:t>BHC</w:t>
        </w:r>
      </w:smartTag>
      <w:r w:rsidRPr="00C0341E">
        <w:rPr>
          <w:rFonts w:cs="Arial"/>
          <w:sz w:val="20"/>
          <w:szCs w:val="22"/>
          <w:lang w:val="en-NZ"/>
        </w:rPr>
        <w:t xml:space="preserve"> incomes Statistics New Zealand’s CPIQ.SE9A series is used, with the annual figure being the average of the four quarters for the period.  </w:t>
      </w:r>
      <w:smartTag w:uri="urn:schemas-microsoft-com:office:smarttags" w:element="stockticker">
        <w:r w:rsidRPr="00C0341E">
          <w:rPr>
            <w:rFonts w:cs="Arial"/>
            <w:sz w:val="20"/>
            <w:szCs w:val="22"/>
            <w:lang w:val="en-NZ"/>
          </w:rPr>
          <w:t>AHC</w:t>
        </w:r>
      </w:smartTag>
      <w:r w:rsidRPr="00C0341E">
        <w:rPr>
          <w:rFonts w:cs="Arial"/>
          <w:sz w:val="20"/>
          <w:szCs w:val="22"/>
          <w:lang w:val="en-NZ"/>
        </w:rPr>
        <w:t xml:space="preserve"> incomes and thresholds from 1989 to 20</w:t>
      </w:r>
      <w:r>
        <w:rPr>
          <w:rFonts w:cs="Arial"/>
          <w:sz w:val="20"/>
          <w:szCs w:val="22"/>
          <w:lang w:val="en-NZ"/>
        </w:rPr>
        <w:t>11</w:t>
      </w:r>
      <w:r w:rsidRPr="00C0341E">
        <w:rPr>
          <w:rFonts w:cs="Arial"/>
          <w:sz w:val="20"/>
          <w:szCs w:val="22"/>
          <w:lang w:val="en-NZ"/>
        </w:rPr>
        <w:t xml:space="preserve"> are adjusted using the index from the </w:t>
      </w:r>
      <w:r w:rsidRPr="00C0341E">
        <w:rPr>
          <w:rFonts w:cs="Arial"/>
          <w:sz w:val="20"/>
          <w:szCs w:val="22"/>
        </w:rPr>
        <w:t xml:space="preserve">‘All Groups less Housing’ series (CPIQ.SE9NS1010) </w:t>
      </w:r>
      <w:r w:rsidRPr="00C0341E">
        <w:rPr>
          <w:rFonts w:cs="Arial"/>
          <w:sz w:val="20"/>
          <w:szCs w:val="22"/>
          <w:lang w:val="en-NZ"/>
        </w:rPr>
        <w:t xml:space="preserve">for the survey’s midpoint quarter.  For 1982 to 1988 the </w:t>
      </w:r>
      <w:smartTag w:uri="urn:schemas-microsoft-com:office:smarttags" w:element="stockticker">
        <w:r w:rsidRPr="00C0341E">
          <w:rPr>
            <w:rFonts w:cs="Arial"/>
            <w:sz w:val="20"/>
            <w:szCs w:val="22"/>
            <w:lang w:val="en-NZ"/>
          </w:rPr>
          <w:t>AHC</w:t>
        </w:r>
      </w:smartTag>
      <w:r w:rsidRPr="00C0341E">
        <w:rPr>
          <w:rFonts w:cs="Arial"/>
          <w:sz w:val="20"/>
          <w:szCs w:val="22"/>
          <w:lang w:val="en-NZ"/>
        </w:rPr>
        <w:t xml:space="preserve"> adjustments are based on the author’s extrapolation of the series.  The reported trends in </w:t>
      </w:r>
      <w:smartTag w:uri="urn:schemas-microsoft-com:office:smarttags" w:element="stockticker">
        <w:r w:rsidRPr="00C0341E">
          <w:rPr>
            <w:rFonts w:cs="Arial"/>
            <w:sz w:val="20"/>
            <w:szCs w:val="22"/>
            <w:lang w:val="en-NZ"/>
          </w:rPr>
          <w:t>AHC</w:t>
        </w:r>
      </w:smartTag>
      <w:r w:rsidRPr="00C0341E">
        <w:rPr>
          <w:rFonts w:cs="Arial"/>
          <w:sz w:val="20"/>
          <w:szCs w:val="22"/>
          <w:lang w:val="en-NZ"/>
        </w:rPr>
        <w:t xml:space="preserve"> incomes and the size of low-income populations are not greatly sensitive to </w:t>
      </w:r>
      <w:r w:rsidRPr="00C0341E">
        <w:rPr>
          <w:rFonts w:cs="Arial"/>
          <w:sz w:val="20"/>
          <w:szCs w:val="22"/>
          <w:lang w:val="en-NZ"/>
        </w:rPr>
        <w:lastRenderedPageBreak/>
        <w:t xml:space="preserve">different assumptions within a plausible range for the index in the estimated years.  See </w:t>
      </w:r>
      <w:r w:rsidRPr="00C0341E">
        <w:rPr>
          <w:rFonts w:cs="Arial"/>
          <w:b/>
          <w:sz w:val="20"/>
          <w:szCs w:val="22"/>
          <w:lang w:val="en-NZ"/>
        </w:rPr>
        <w:t>Appendix 7</w:t>
      </w:r>
      <w:r w:rsidRPr="00C0341E">
        <w:rPr>
          <w:rFonts w:cs="Arial"/>
          <w:sz w:val="20"/>
          <w:szCs w:val="22"/>
          <w:lang w:val="en-NZ"/>
        </w:rPr>
        <w:t xml:space="preserve"> for the indices used.</w:t>
      </w:r>
    </w:p>
    <w:p w:rsidR="007B3E55" w:rsidRPr="00E84A72" w:rsidRDefault="007B3E55" w:rsidP="007B3E55">
      <w:pPr>
        <w:jc w:val="both"/>
        <w:rPr>
          <w:b/>
          <w:sz w:val="20"/>
        </w:rPr>
      </w:pPr>
    </w:p>
    <w:p w:rsidR="007B3E55" w:rsidRPr="00E84A72" w:rsidRDefault="007B3E55" w:rsidP="007B3E55">
      <w:pPr>
        <w:jc w:val="both"/>
        <w:rPr>
          <w:b/>
          <w:sz w:val="20"/>
        </w:rPr>
      </w:pPr>
    </w:p>
    <w:p w:rsidR="007B3E55" w:rsidRDefault="007B3E55" w:rsidP="007B3E55">
      <w:pPr>
        <w:jc w:val="both"/>
        <w:rPr>
          <w:b/>
        </w:rPr>
      </w:pPr>
      <w:r>
        <w:rPr>
          <w:b/>
        </w:rPr>
        <w:t>Ethnicity</w:t>
      </w:r>
    </w:p>
    <w:p w:rsidR="007B3E55" w:rsidRPr="001D32C9" w:rsidRDefault="007B3E55" w:rsidP="007B3E55">
      <w:pPr>
        <w:jc w:val="both"/>
        <w:rPr>
          <w:rFonts w:cs="Arial"/>
          <w:b/>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Ethnicity of individuals aged 15 and over is as reported by the individual.  Children under 15 are attributed with the ethnicity of the survey respondent</w:t>
      </w:r>
      <w:r>
        <w:rPr>
          <w:rFonts w:ascii="Arial" w:hAnsi="Arial" w:cs="Arial"/>
          <w:sz w:val="20"/>
          <w:szCs w:val="22"/>
        </w:rPr>
        <w:t xml:space="preserve"> in years to HES 2004.  Starting with HES 2007, ethnicity for children is provided in the survey data, with the information coming from either the children themselves or from their parents</w:t>
      </w:r>
      <w:r w:rsidRPr="00C0341E">
        <w:rPr>
          <w:rFonts w:ascii="Arial" w:hAnsi="Arial" w:cs="Arial"/>
          <w:sz w:val="20"/>
          <w:szCs w:val="22"/>
        </w:rPr>
        <w:t>.   No analysis is carried out based on household or family ethnicity as ethnicity is a characteristic of individuals.</w:t>
      </w:r>
    </w:p>
    <w:p w:rsidR="007B3E55" w:rsidRPr="00C0341E" w:rsidRDefault="007B3E55" w:rsidP="007B3E55">
      <w:pPr>
        <w:pStyle w:val="NormalWeb"/>
        <w:spacing w:before="0" w:beforeAutospacing="0" w:after="0" w:afterAutospacing="0"/>
        <w:jc w:val="both"/>
        <w:rPr>
          <w:rFonts w:ascii="Arial" w:hAnsi="Arial" w:cs="Arial"/>
          <w:sz w:val="20"/>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 xml:space="preserve">If a respondent reports more than one ethnicity, the ethnicity attributed is determined according to a </w:t>
      </w:r>
      <w:r>
        <w:rPr>
          <w:rFonts w:ascii="Arial" w:hAnsi="Arial" w:cs="Arial"/>
          <w:sz w:val="20"/>
          <w:szCs w:val="22"/>
        </w:rPr>
        <w:t>prioritised</w:t>
      </w:r>
      <w:r w:rsidRPr="00C0341E">
        <w:rPr>
          <w:rFonts w:ascii="Arial" w:hAnsi="Arial" w:cs="Arial"/>
          <w:sz w:val="20"/>
          <w:szCs w:val="22"/>
        </w:rPr>
        <w:t xml:space="preserve"> classification of Māori, </w:t>
      </w:r>
      <w:smartTag w:uri="urn:schemas-microsoft-com:office:smarttags" w:element="place">
        <w:smartTag w:uri="urn:schemas-microsoft-com:office:smarttags" w:element="PlaceName">
          <w:r w:rsidRPr="00C0341E">
            <w:rPr>
              <w:rFonts w:ascii="Arial" w:hAnsi="Arial" w:cs="Arial"/>
              <w:sz w:val="20"/>
              <w:szCs w:val="22"/>
            </w:rPr>
            <w:t>Pacific</w:t>
          </w:r>
        </w:smartTag>
        <w:r w:rsidRPr="00C0341E">
          <w:rPr>
            <w:rFonts w:ascii="Arial" w:hAnsi="Arial" w:cs="Arial"/>
            <w:sz w:val="20"/>
            <w:szCs w:val="22"/>
          </w:rPr>
          <w:t xml:space="preserve"> </w:t>
        </w:r>
        <w:smartTag w:uri="urn:schemas-microsoft-com:office:smarttags" w:element="PlaceType">
          <w:r w:rsidRPr="00C0341E">
            <w:rPr>
              <w:rFonts w:ascii="Arial" w:hAnsi="Arial" w:cs="Arial"/>
              <w:sz w:val="20"/>
              <w:szCs w:val="22"/>
            </w:rPr>
            <w:t>Island</w:t>
          </w:r>
        </w:smartTag>
      </w:smartTag>
      <w:r w:rsidRPr="00C0341E">
        <w:rPr>
          <w:rFonts w:ascii="Arial" w:hAnsi="Arial" w:cs="Arial"/>
          <w:sz w:val="20"/>
          <w:szCs w:val="22"/>
        </w:rPr>
        <w:t xml:space="preserve">, Other and then European/Pākehā. </w:t>
      </w:r>
      <w:r>
        <w:rPr>
          <w:rFonts w:ascii="Arial" w:hAnsi="Arial" w:cs="Arial"/>
          <w:sz w:val="20"/>
          <w:szCs w:val="22"/>
        </w:rPr>
        <w:t xml:space="preserve"> Using a ‘total </w:t>
      </w:r>
      <w:r w:rsidR="00EA0B96">
        <w:rPr>
          <w:rFonts w:ascii="Arial" w:hAnsi="Arial" w:cs="Arial"/>
          <w:sz w:val="20"/>
          <w:szCs w:val="22"/>
        </w:rPr>
        <w:t xml:space="preserve">counts </w:t>
      </w:r>
      <w:r>
        <w:rPr>
          <w:rFonts w:ascii="Arial" w:hAnsi="Arial" w:cs="Arial"/>
          <w:sz w:val="20"/>
          <w:szCs w:val="22"/>
        </w:rPr>
        <w:t>ethnicity’ approach makes no noticeable difference to the findings in this report.</w:t>
      </w:r>
    </w:p>
    <w:p w:rsidR="007B3E55" w:rsidRPr="00C0341E" w:rsidRDefault="007B3E55" w:rsidP="007B3E55">
      <w:pPr>
        <w:pStyle w:val="NormalWeb"/>
        <w:spacing w:before="0" w:beforeAutospacing="0" w:after="0" w:afterAutospacing="0"/>
        <w:jc w:val="both"/>
        <w:rPr>
          <w:rFonts w:ascii="Arial" w:hAnsi="Arial" w:cs="Arial"/>
          <w:sz w:val="20"/>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Only limited analysis by ethnicity is reported because of the relatively small sample sizes for Maori, Pacific and Other (especially for Pacific).  See the discussion below under ‘Reliability of results’.</w:t>
      </w:r>
    </w:p>
    <w:p w:rsidR="007B3E55" w:rsidRDefault="007B3E55" w:rsidP="007B3E55">
      <w:pPr>
        <w:pStyle w:val="NormalWeb"/>
        <w:spacing w:before="0" w:beforeAutospacing="0" w:after="0" w:afterAutospacing="0"/>
        <w:jc w:val="both"/>
        <w:rPr>
          <w:rFonts w:ascii="Arial" w:hAnsi="Arial" w:cs="Arial"/>
          <w:sz w:val="22"/>
          <w:szCs w:val="22"/>
        </w:rPr>
      </w:pPr>
    </w:p>
    <w:p w:rsidR="007B3E55" w:rsidRDefault="007B3E55" w:rsidP="007B3E55">
      <w:pPr>
        <w:jc w:val="both"/>
        <w:rPr>
          <w:b/>
        </w:rPr>
      </w:pPr>
    </w:p>
    <w:p w:rsidR="007B3E55" w:rsidRDefault="007B3E55" w:rsidP="007B3E55">
      <w:pPr>
        <w:jc w:val="both"/>
        <w:rPr>
          <w:b/>
        </w:rPr>
      </w:pPr>
      <w:r>
        <w:rPr>
          <w:b/>
        </w:rPr>
        <w:t>Household and family types</w:t>
      </w:r>
    </w:p>
    <w:p w:rsidR="007B3E55" w:rsidRPr="001D32C9" w:rsidRDefault="007B3E55" w:rsidP="007B3E55">
      <w:pPr>
        <w:jc w:val="both"/>
        <w:rPr>
          <w:rFonts w:cs="Arial"/>
          <w:b/>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The report uses the following household types for subgroup analysis.</w:t>
      </w:r>
    </w:p>
    <w:p w:rsidR="007B3E55" w:rsidRDefault="007B3E55" w:rsidP="007B3E55">
      <w:pPr>
        <w:pStyle w:val="NormalWeb"/>
        <w:spacing w:before="0" w:beforeAutospacing="0" w:after="0" w:afterAutospacing="0"/>
        <w:jc w:val="both"/>
        <w:rPr>
          <w:rFonts w:ascii="Arial" w:hAnsi="Arial" w:cs="Arial"/>
          <w:sz w:val="22"/>
          <w:szCs w:val="22"/>
        </w:rPr>
      </w:pPr>
    </w:p>
    <w:tbl>
      <w:tblPr>
        <w:tblStyle w:val="TableGrid"/>
        <w:tblW w:w="0" w:type="auto"/>
        <w:jc w:val="center"/>
        <w:tblInd w:w="1564" w:type="dxa"/>
        <w:tblLook w:val="01E0"/>
      </w:tblPr>
      <w:tblGrid>
        <w:gridCol w:w="3016"/>
        <w:gridCol w:w="4377"/>
      </w:tblGrid>
      <w:tr w:rsidR="007B3E55">
        <w:trPr>
          <w:jc w:val="center"/>
        </w:trPr>
        <w:tc>
          <w:tcPr>
            <w:tcW w:w="3016" w:type="dxa"/>
          </w:tcPr>
          <w:p w:rsidR="007B3E55" w:rsidRPr="001B09F2" w:rsidRDefault="007B3E55" w:rsidP="00614C04">
            <w:pPr>
              <w:pStyle w:val="NormalWeb"/>
              <w:spacing w:before="40" w:beforeAutospacing="0" w:after="40" w:afterAutospacing="0"/>
              <w:jc w:val="center"/>
              <w:rPr>
                <w:rFonts w:ascii="Arial" w:hAnsi="Arial" w:cs="Arial"/>
                <w:b/>
                <w:sz w:val="18"/>
                <w:szCs w:val="18"/>
              </w:rPr>
            </w:pPr>
            <w:r w:rsidRPr="001B09F2">
              <w:rPr>
                <w:rFonts w:ascii="Arial" w:hAnsi="Arial" w:cs="Arial"/>
                <w:b/>
                <w:sz w:val="18"/>
                <w:szCs w:val="18"/>
              </w:rPr>
              <w:t>Household type</w:t>
            </w:r>
          </w:p>
        </w:tc>
        <w:tc>
          <w:tcPr>
            <w:tcW w:w="4377" w:type="dxa"/>
          </w:tcPr>
          <w:p w:rsidR="007B3E55" w:rsidRPr="001B09F2" w:rsidRDefault="007B3E55" w:rsidP="00614C04">
            <w:pPr>
              <w:pStyle w:val="NormalWeb"/>
              <w:spacing w:before="40" w:beforeAutospacing="0" w:after="40" w:afterAutospacing="0"/>
              <w:jc w:val="center"/>
              <w:rPr>
                <w:rFonts w:ascii="Arial" w:hAnsi="Arial" w:cs="Arial"/>
                <w:b/>
                <w:sz w:val="18"/>
                <w:szCs w:val="18"/>
              </w:rPr>
            </w:pPr>
            <w:r w:rsidRPr="001B09F2">
              <w:rPr>
                <w:rFonts w:ascii="Arial" w:hAnsi="Arial" w:cs="Arial"/>
                <w:b/>
                <w:sz w:val="18"/>
                <w:szCs w:val="18"/>
              </w:rPr>
              <w:t>Definition</w:t>
            </w:r>
          </w:p>
        </w:tc>
      </w:tr>
      <w:tr w:rsidR="007B3E55">
        <w:trPr>
          <w:jc w:val="center"/>
        </w:trPr>
        <w:tc>
          <w:tcPr>
            <w:tcW w:w="3016"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O</w:t>
            </w:r>
            <w:r w:rsidRPr="00177278">
              <w:rPr>
                <w:rFonts w:ascii="Arial" w:hAnsi="Arial" w:cs="Arial"/>
                <w:sz w:val="18"/>
                <w:szCs w:val="18"/>
              </w:rPr>
              <w:t>ne person HH, 65+</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one person aged 65+</w:t>
            </w:r>
          </w:p>
        </w:tc>
      </w:tr>
      <w:tr w:rsidR="007B3E55">
        <w:trPr>
          <w:jc w:val="center"/>
        </w:trPr>
        <w:tc>
          <w:tcPr>
            <w:tcW w:w="3016"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Couple HH, 65+</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at least one partner is 65+</w:t>
            </w:r>
          </w:p>
        </w:tc>
      </w:tr>
      <w:tr w:rsidR="007B3E55">
        <w:trPr>
          <w:jc w:val="center"/>
        </w:trPr>
        <w:tc>
          <w:tcPr>
            <w:tcW w:w="3016"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O</w:t>
            </w:r>
            <w:r w:rsidRPr="00177278">
              <w:rPr>
                <w:rFonts w:ascii="Arial" w:hAnsi="Arial" w:cs="Arial"/>
                <w:sz w:val="18"/>
                <w:szCs w:val="18"/>
              </w:rPr>
              <w:t>ne person HH</w:t>
            </w:r>
            <w:r>
              <w:rPr>
                <w:rFonts w:ascii="Arial" w:hAnsi="Arial" w:cs="Arial"/>
                <w:sz w:val="18"/>
                <w:szCs w:val="18"/>
              </w:rPr>
              <w:t>, under 65</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one person aged under 65</w:t>
            </w:r>
          </w:p>
        </w:tc>
      </w:tr>
      <w:tr w:rsidR="007B3E55">
        <w:trPr>
          <w:jc w:val="center"/>
        </w:trPr>
        <w:tc>
          <w:tcPr>
            <w:tcW w:w="3016"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Couple HH, under 65</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both partners are under 65</w:t>
            </w:r>
          </w:p>
        </w:tc>
      </w:tr>
      <w:tr w:rsidR="007B3E55">
        <w:trPr>
          <w:jc w:val="center"/>
        </w:trPr>
        <w:tc>
          <w:tcPr>
            <w:tcW w:w="3016" w:type="dxa"/>
          </w:tcPr>
          <w:p w:rsidR="007B3E55"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SP with children</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SP with children, at least one of whom is dependent</w:t>
            </w:r>
          </w:p>
        </w:tc>
      </w:tr>
      <w:tr w:rsidR="007B3E55">
        <w:trPr>
          <w:jc w:val="center"/>
        </w:trPr>
        <w:tc>
          <w:tcPr>
            <w:tcW w:w="3016" w:type="dxa"/>
          </w:tcPr>
          <w:p w:rsidR="007B3E55"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2P with children</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2P with children, at least one of whom is dependent</w:t>
            </w:r>
          </w:p>
        </w:tc>
      </w:tr>
      <w:tr w:rsidR="007B3E55">
        <w:trPr>
          <w:jc w:val="center"/>
        </w:trPr>
        <w:tc>
          <w:tcPr>
            <w:tcW w:w="3016" w:type="dxa"/>
          </w:tcPr>
          <w:p w:rsidR="007B3E55"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Other family HHs with children</w:t>
            </w:r>
          </w:p>
        </w:tc>
        <w:tc>
          <w:tcPr>
            <w:tcW w:w="4377" w:type="dxa"/>
          </w:tcPr>
          <w:p w:rsidR="007B3E55" w:rsidRPr="00177278" w:rsidRDefault="007B3E55" w:rsidP="00614C04">
            <w:pPr>
              <w:pStyle w:val="NormalWeb"/>
              <w:spacing w:before="40" w:beforeAutospacing="0" w:after="40" w:afterAutospacing="0"/>
              <w:rPr>
                <w:rFonts w:ascii="Arial" w:hAnsi="Arial" w:cs="Arial"/>
                <w:sz w:val="18"/>
                <w:szCs w:val="18"/>
              </w:rPr>
            </w:pPr>
            <w:r>
              <w:rPr>
                <w:rFonts w:ascii="Arial" w:hAnsi="Arial" w:cs="Arial"/>
                <w:sz w:val="18"/>
                <w:szCs w:val="18"/>
              </w:rPr>
              <w:t>Family HHs (other than SP or 2P HHs) where there is at least one dependent child</w:t>
            </w:r>
          </w:p>
        </w:tc>
      </w:tr>
      <w:tr w:rsidR="007B3E55">
        <w:trPr>
          <w:jc w:val="center"/>
        </w:trPr>
        <w:tc>
          <w:tcPr>
            <w:tcW w:w="3016" w:type="dxa"/>
          </w:tcPr>
          <w:p w:rsidR="007B3E55" w:rsidRPr="000C20A5" w:rsidRDefault="007B3E55" w:rsidP="00614C04">
            <w:pPr>
              <w:pStyle w:val="NormalWeb"/>
              <w:spacing w:before="40" w:beforeAutospacing="0" w:after="40" w:afterAutospacing="0"/>
              <w:rPr>
                <w:rFonts w:ascii="Arial" w:hAnsi="Arial" w:cs="Arial"/>
                <w:sz w:val="18"/>
                <w:szCs w:val="18"/>
                <w:lang w:val="en-GB"/>
              </w:rPr>
            </w:pPr>
            <w:r>
              <w:rPr>
                <w:rFonts w:ascii="Arial" w:hAnsi="Arial" w:cs="Arial"/>
                <w:sz w:val="18"/>
                <w:szCs w:val="18"/>
                <w:lang w:val="en-GB"/>
              </w:rPr>
              <w:t>Other family HHs, adults only</w:t>
            </w:r>
          </w:p>
        </w:tc>
        <w:tc>
          <w:tcPr>
            <w:tcW w:w="4377" w:type="dxa"/>
          </w:tcPr>
          <w:p w:rsidR="007B3E55" w:rsidRPr="000C20A5" w:rsidRDefault="007B3E55" w:rsidP="00614C04">
            <w:pPr>
              <w:pStyle w:val="NormalWeb"/>
              <w:spacing w:before="40" w:beforeAutospacing="0" w:after="40" w:afterAutospacing="0"/>
              <w:rPr>
                <w:rFonts w:ascii="Arial" w:hAnsi="Arial" w:cs="Arial"/>
                <w:sz w:val="18"/>
                <w:szCs w:val="18"/>
                <w:lang w:val="en-GB"/>
              </w:rPr>
            </w:pPr>
            <w:r>
              <w:rPr>
                <w:rFonts w:ascii="Arial" w:hAnsi="Arial" w:cs="Arial"/>
                <w:sz w:val="18"/>
                <w:szCs w:val="18"/>
                <w:lang w:val="en-GB"/>
              </w:rPr>
              <w:t>Family HHs (other than couples) where there are no dependent children</w:t>
            </w:r>
          </w:p>
        </w:tc>
      </w:tr>
      <w:tr w:rsidR="007B3E55">
        <w:trPr>
          <w:jc w:val="center"/>
        </w:trPr>
        <w:tc>
          <w:tcPr>
            <w:tcW w:w="3016" w:type="dxa"/>
          </w:tcPr>
          <w:p w:rsidR="007B3E55" w:rsidRDefault="007B3E55" w:rsidP="00614C04">
            <w:pPr>
              <w:pStyle w:val="NormalWeb"/>
              <w:spacing w:before="40" w:beforeAutospacing="0" w:after="40" w:afterAutospacing="0"/>
              <w:rPr>
                <w:rFonts w:ascii="Arial" w:hAnsi="Arial" w:cs="Arial"/>
                <w:sz w:val="18"/>
                <w:szCs w:val="18"/>
                <w:lang w:val="en-GB"/>
              </w:rPr>
            </w:pPr>
            <w:r>
              <w:rPr>
                <w:rFonts w:ascii="Arial" w:hAnsi="Arial" w:cs="Arial"/>
                <w:sz w:val="18"/>
                <w:szCs w:val="18"/>
                <w:lang w:val="en-GB"/>
              </w:rPr>
              <w:t>Non-family HHs</w:t>
            </w:r>
          </w:p>
        </w:tc>
        <w:tc>
          <w:tcPr>
            <w:tcW w:w="4377" w:type="dxa"/>
          </w:tcPr>
          <w:p w:rsidR="007B3E55" w:rsidRPr="000C20A5" w:rsidRDefault="007B3E55" w:rsidP="00614C04">
            <w:pPr>
              <w:pStyle w:val="NormalWeb"/>
              <w:spacing w:before="40" w:beforeAutospacing="0" w:after="40" w:afterAutospacing="0"/>
              <w:rPr>
                <w:rFonts w:ascii="Arial" w:hAnsi="Arial" w:cs="Arial"/>
                <w:sz w:val="18"/>
                <w:szCs w:val="18"/>
                <w:lang w:val="en-GB"/>
              </w:rPr>
            </w:pPr>
            <w:r>
              <w:rPr>
                <w:rFonts w:ascii="Arial" w:hAnsi="Arial" w:cs="Arial"/>
                <w:sz w:val="18"/>
                <w:szCs w:val="18"/>
                <w:lang w:val="en-GB"/>
              </w:rPr>
              <w:t>Unrelated individuals</w:t>
            </w:r>
          </w:p>
        </w:tc>
      </w:tr>
    </w:tbl>
    <w:p w:rsidR="007B3E55" w:rsidRDefault="007B3E55" w:rsidP="007B3E55">
      <w:pPr>
        <w:pStyle w:val="NormalWeb"/>
        <w:spacing w:before="0" w:beforeAutospacing="0" w:after="0" w:afterAutospacing="0"/>
        <w:jc w:val="both"/>
        <w:rPr>
          <w:rFonts w:ascii="Arial" w:hAnsi="Arial" w:cs="Arial"/>
          <w:sz w:val="22"/>
          <w:szCs w:val="22"/>
        </w:rPr>
      </w:pPr>
    </w:p>
    <w:p w:rsidR="007B3E55" w:rsidRDefault="007B3E55" w:rsidP="007B3E55">
      <w:pPr>
        <w:pStyle w:val="NormalWeb"/>
        <w:spacing w:before="0" w:beforeAutospacing="0" w:after="0" w:afterAutospacing="0"/>
        <w:jc w:val="both"/>
        <w:rPr>
          <w:rFonts w:ascii="Arial" w:hAnsi="Arial" w:cs="Arial"/>
          <w:sz w:val="22"/>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For family types, the report uses the ‘economic family unit’ (</w:t>
      </w:r>
      <w:smartTag w:uri="urn:schemas-microsoft-com:office:smarttags" w:element="stockticker">
        <w:r w:rsidRPr="00C0341E">
          <w:rPr>
            <w:rFonts w:ascii="Arial" w:hAnsi="Arial" w:cs="Arial"/>
            <w:sz w:val="20"/>
            <w:szCs w:val="22"/>
          </w:rPr>
          <w:t>EFU</w:t>
        </w:r>
      </w:smartTag>
      <w:r w:rsidRPr="00C0341E">
        <w:rPr>
          <w:rFonts w:ascii="Arial" w:hAnsi="Arial" w:cs="Arial"/>
          <w:sz w:val="20"/>
          <w:szCs w:val="22"/>
        </w:rPr>
        <w:t xml:space="preserve">).   There are four types of </w:t>
      </w:r>
      <w:smartTag w:uri="urn:schemas-microsoft-com:office:smarttags" w:element="stockticker">
        <w:r w:rsidRPr="00C0341E">
          <w:rPr>
            <w:rFonts w:ascii="Arial" w:hAnsi="Arial" w:cs="Arial"/>
            <w:sz w:val="20"/>
            <w:szCs w:val="22"/>
          </w:rPr>
          <w:t>EFU</w:t>
        </w:r>
      </w:smartTag>
      <w:r w:rsidRPr="00C0341E">
        <w:rPr>
          <w:rFonts w:ascii="Arial" w:hAnsi="Arial" w:cs="Arial"/>
          <w:sz w:val="20"/>
          <w:szCs w:val="22"/>
        </w:rPr>
        <w:t>:</w:t>
      </w:r>
    </w:p>
    <w:p w:rsidR="007B3E55" w:rsidRPr="00C0341E" w:rsidRDefault="007B3E55" w:rsidP="007B3E55">
      <w:pPr>
        <w:pStyle w:val="NormalWeb"/>
        <w:numPr>
          <w:ilvl w:val="0"/>
          <w:numId w:val="10"/>
        </w:numPr>
        <w:spacing w:before="0" w:beforeAutospacing="0" w:after="0" w:afterAutospacing="0"/>
        <w:jc w:val="both"/>
        <w:rPr>
          <w:rFonts w:ascii="Arial" w:hAnsi="Arial" w:cs="Arial"/>
          <w:sz w:val="20"/>
          <w:szCs w:val="22"/>
        </w:rPr>
      </w:pPr>
      <w:r w:rsidRPr="00C0341E">
        <w:rPr>
          <w:rFonts w:ascii="Arial" w:hAnsi="Arial" w:cs="Arial"/>
          <w:sz w:val="20"/>
          <w:szCs w:val="22"/>
        </w:rPr>
        <w:t>couple only</w:t>
      </w:r>
    </w:p>
    <w:p w:rsidR="007B3E55" w:rsidRPr="00C0341E" w:rsidRDefault="007B3E55" w:rsidP="007B3E55">
      <w:pPr>
        <w:pStyle w:val="NormalWeb"/>
        <w:numPr>
          <w:ilvl w:val="0"/>
          <w:numId w:val="10"/>
        </w:numPr>
        <w:spacing w:before="0" w:beforeAutospacing="0" w:after="0" w:afterAutospacing="0"/>
        <w:jc w:val="both"/>
        <w:rPr>
          <w:rFonts w:ascii="Arial" w:hAnsi="Arial" w:cs="Arial"/>
          <w:sz w:val="20"/>
          <w:szCs w:val="22"/>
        </w:rPr>
      </w:pPr>
      <w:r w:rsidRPr="00C0341E">
        <w:rPr>
          <w:rFonts w:ascii="Arial" w:hAnsi="Arial" w:cs="Arial"/>
          <w:sz w:val="20"/>
          <w:szCs w:val="22"/>
        </w:rPr>
        <w:t>two parent with dependent children</w:t>
      </w:r>
    </w:p>
    <w:p w:rsidR="007B3E55" w:rsidRPr="00C0341E" w:rsidRDefault="007B3E55" w:rsidP="007B3E55">
      <w:pPr>
        <w:pStyle w:val="NormalWeb"/>
        <w:numPr>
          <w:ilvl w:val="0"/>
          <w:numId w:val="10"/>
        </w:numPr>
        <w:spacing w:before="0" w:beforeAutospacing="0" w:after="0" w:afterAutospacing="0"/>
        <w:jc w:val="both"/>
        <w:rPr>
          <w:rFonts w:ascii="Arial" w:hAnsi="Arial" w:cs="Arial"/>
          <w:sz w:val="20"/>
          <w:szCs w:val="22"/>
        </w:rPr>
      </w:pPr>
      <w:r w:rsidRPr="00C0341E">
        <w:rPr>
          <w:rFonts w:ascii="Arial" w:hAnsi="Arial" w:cs="Arial"/>
          <w:sz w:val="20"/>
          <w:szCs w:val="22"/>
        </w:rPr>
        <w:t>sole parent with dependent children</w:t>
      </w:r>
    </w:p>
    <w:p w:rsidR="007B3E55" w:rsidRPr="00C0341E" w:rsidRDefault="007B3E55" w:rsidP="007B3E55">
      <w:pPr>
        <w:pStyle w:val="NormalWeb"/>
        <w:numPr>
          <w:ilvl w:val="0"/>
          <w:numId w:val="10"/>
        </w:numPr>
        <w:spacing w:before="0" w:beforeAutospacing="0" w:after="0" w:afterAutospacing="0"/>
        <w:jc w:val="both"/>
        <w:rPr>
          <w:rFonts w:ascii="Arial" w:hAnsi="Arial" w:cs="Arial"/>
          <w:sz w:val="20"/>
          <w:szCs w:val="22"/>
        </w:rPr>
      </w:pPr>
      <w:r w:rsidRPr="00C0341E">
        <w:rPr>
          <w:rFonts w:ascii="Arial" w:hAnsi="Arial" w:cs="Arial"/>
          <w:sz w:val="20"/>
          <w:szCs w:val="22"/>
        </w:rPr>
        <w:t>everyone else (ie unattached individuals who are not dependent children).</w:t>
      </w:r>
    </w:p>
    <w:p w:rsidR="007B3E55" w:rsidRPr="00C0341E" w:rsidRDefault="007B3E55" w:rsidP="007B3E55">
      <w:pPr>
        <w:pStyle w:val="NormalWeb"/>
        <w:spacing w:before="0" w:beforeAutospacing="0" w:after="0" w:afterAutospacing="0"/>
        <w:jc w:val="both"/>
        <w:rPr>
          <w:rFonts w:ascii="Arial" w:hAnsi="Arial" w:cs="Arial"/>
          <w:sz w:val="20"/>
          <w:szCs w:val="22"/>
        </w:rPr>
      </w:pPr>
    </w:p>
    <w:p w:rsidR="007B3E55" w:rsidRPr="00C0341E" w:rsidRDefault="007B3E55" w:rsidP="007B3E55">
      <w:pPr>
        <w:pStyle w:val="NormalWeb"/>
        <w:spacing w:before="0" w:beforeAutospacing="0" w:after="0" w:afterAutospacing="0"/>
        <w:jc w:val="both"/>
        <w:rPr>
          <w:rFonts w:ascii="Arial" w:hAnsi="Arial" w:cs="Arial"/>
          <w:sz w:val="20"/>
          <w:szCs w:val="22"/>
        </w:rPr>
      </w:pPr>
      <w:r w:rsidRPr="00C0341E">
        <w:rPr>
          <w:rFonts w:ascii="Arial" w:hAnsi="Arial" w:cs="Arial"/>
          <w:sz w:val="20"/>
          <w:szCs w:val="22"/>
        </w:rPr>
        <w:t xml:space="preserve">In each case the </w:t>
      </w:r>
      <w:r>
        <w:rPr>
          <w:rFonts w:ascii="Arial" w:hAnsi="Arial" w:cs="Arial"/>
          <w:sz w:val="20"/>
          <w:szCs w:val="22"/>
        </w:rPr>
        <w:t>EFU</w:t>
      </w:r>
      <w:r w:rsidRPr="00C0341E">
        <w:rPr>
          <w:rFonts w:ascii="Arial" w:hAnsi="Arial" w:cs="Arial"/>
          <w:sz w:val="20"/>
          <w:szCs w:val="22"/>
        </w:rPr>
        <w:t xml:space="preserve"> may be living in </w:t>
      </w:r>
      <w:r>
        <w:rPr>
          <w:rFonts w:ascii="Arial" w:hAnsi="Arial" w:cs="Arial"/>
          <w:sz w:val="20"/>
          <w:szCs w:val="22"/>
        </w:rPr>
        <w:t>their own</w:t>
      </w:r>
      <w:r w:rsidRPr="00C0341E">
        <w:rPr>
          <w:rFonts w:ascii="Arial" w:hAnsi="Arial" w:cs="Arial"/>
          <w:sz w:val="20"/>
          <w:szCs w:val="22"/>
        </w:rPr>
        <w:t xml:space="preserve"> separate household or with others in a wider household:</w:t>
      </w:r>
    </w:p>
    <w:p w:rsidR="007B3E55" w:rsidRPr="00C0341E" w:rsidRDefault="007B3E55" w:rsidP="007B3E55">
      <w:pPr>
        <w:pStyle w:val="NormalWeb"/>
        <w:spacing w:before="0" w:beforeAutospacing="0" w:after="0" w:afterAutospacing="0"/>
        <w:jc w:val="both"/>
        <w:rPr>
          <w:rFonts w:ascii="Arial" w:hAnsi="Arial" w:cs="Arial"/>
          <w:sz w:val="20"/>
          <w:szCs w:val="22"/>
        </w:rPr>
      </w:pPr>
    </w:p>
    <w:p w:rsidR="007B3E55" w:rsidRPr="00C0341E" w:rsidRDefault="007B3E55" w:rsidP="007B3E55">
      <w:pPr>
        <w:pStyle w:val="NormalWeb"/>
        <w:spacing w:before="0" w:beforeAutospacing="0" w:after="0" w:afterAutospacing="0"/>
        <w:jc w:val="both"/>
        <w:rPr>
          <w:rFonts w:ascii="Arial" w:hAnsi="Arial" w:cs="Arial"/>
          <w:sz w:val="20"/>
          <w:szCs w:val="22"/>
          <w:lang w:val="en-GB"/>
        </w:rPr>
      </w:pPr>
      <w:r w:rsidRPr="00C0341E">
        <w:rPr>
          <w:rFonts w:ascii="Arial" w:hAnsi="Arial" w:cs="Arial"/>
          <w:sz w:val="20"/>
          <w:szCs w:val="22"/>
        </w:rPr>
        <w:t>Note that the household is always used as the income sharing unit.  Individuals are attributed with their household’s equivalised income, then assigned to a particular household or family type, carrying their household’s equivalised income with them as an indicator of economic wellbeing.</w:t>
      </w:r>
    </w:p>
    <w:p w:rsidR="007B3E55" w:rsidRPr="0017041B" w:rsidRDefault="007B3E55" w:rsidP="007B3E55">
      <w:pPr>
        <w:jc w:val="both"/>
        <w:rPr>
          <w:b/>
        </w:rPr>
      </w:pPr>
      <w:r>
        <w:rPr>
          <w:b/>
        </w:rPr>
        <w:br w:type="page"/>
      </w:r>
      <w:r w:rsidRPr="0017041B">
        <w:rPr>
          <w:b/>
        </w:rPr>
        <w:lastRenderedPageBreak/>
        <w:t>Reliability of results</w:t>
      </w:r>
      <w:bookmarkStart w:id="6" w:name="_Toc115142419"/>
      <w:bookmarkEnd w:id="5"/>
    </w:p>
    <w:p w:rsidR="007B3E55" w:rsidRDefault="007B3E55" w:rsidP="007B3E55">
      <w:pPr>
        <w:jc w:val="both"/>
      </w:pPr>
    </w:p>
    <w:p w:rsidR="007B3E55" w:rsidRPr="00C0341E" w:rsidRDefault="007B3E55" w:rsidP="007B3E55">
      <w:pPr>
        <w:jc w:val="both"/>
        <w:rPr>
          <w:sz w:val="20"/>
        </w:rPr>
      </w:pPr>
      <w:r w:rsidRPr="00C0341E">
        <w:rPr>
          <w:sz w:val="20"/>
        </w:rPr>
        <w:t xml:space="preserve">As the figures in this report are estimates taken from a sample survey, they are subject to variation as a result of both sampling error and bias due to non-sampling error, especially non-response.  </w:t>
      </w:r>
    </w:p>
    <w:p w:rsidR="007B3E55" w:rsidRPr="00C0341E" w:rsidRDefault="007B3E55" w:rsidP="007B3E55">
      <w:pPr>
        <w:jc w:val="both"/>
        <w:rPr>
          <w:sz w:val="20"/>
        </w:rPr>
      </w:pPr>
    </w:p>
    <w:p w:rsidR="007B3E55" w:rsidRPr="00C0341E" w:rsidRDefault="007B3E55" w:rsidP="007B3E55">
      <w:pPr>
        <w:jc w:val="both"/>
        <w:rPr>
          <w:sz w:val="20"/>
        </w:rPr>
      </w:pPr>
      <w:r w:rsidRPr="00C0341E">
        <w:rPr>
          <w:sz w:val="20"/>
        </w:rPr>
        <w:t xml:space="preserve">In addition, there are assumptions made in the use of equivalised income as an indicator of (potential) living standards and in constructing the measures of inequality and hardship.  </w:t>
      </w:r>
    </w:p>
    <w:p w:rsidR="007B3E55" w:rsidRPr="00C0341E" w:rsidRDefault="007B3E55" w:rsidP="007B3E55">
      <w:pPr>
        <w:jc w:val="both"/>
        <w:rPr>
          <w:sz w:val="20"/>
        </w:rPr>
      </w:pPr>
    </w:p>
    <w:p w:rsidR="007B3E55" w:rsidRPr="00C0341E" w:rsidRDefault="007B3E55" w:rsidP="007B3E55">
      <w:pPr>
        <w:jc w:val="both"/>
        <w:rPr>
          <w:sz w:val="20"/>
        </w:rPr>
      </w:pPr>
      <w:r w:rsidRPr="00C0341E">
        <w:rPr>
          <w:sz w:val="20"/>
        </w:rPr>
        <w:t>All these factors raise the question of the reliability of the results.</w:t>
      </w:r>
    </w:p>
    <w:p w:rsidR="007B3E55" w:rsidRPr="00C0341E" w:rsidRDefault="007B3E55" w:rsidP="007B3E55">
      <w:pPr>
        <w:jc w:val="both"/>
        <w:rPr>
          <w:sz w:val="20"/>
        </w:rPr>
      </w:pPr>
    </w:p>
    <w:bookmarkEnd w:id="6"/>
    <w:p w:rsidR="007B3E55" w:rsidRPr="00C0341E" w:rsidRDefault="007B3E55" w:rsidP="007B3E55">
      <w:pPr>
        <w:pStyle w:val="Heading2"/>
        <w:jc w:val="both"/>
        <w:rPr>
          <w:b w:val="0"/>
          <w:sz w:val="20"/>
          <w:szCs w:val="22"/>
          <w:u w:val="single"/>
          <w:lang w:val="en-GB"/>
        </w:rPr>
      </w:pPr>
    </w:p>
    <w:p w:rsidR="007B3E55" w:rsidRPr="00C0341E" w:rsidRDefault="007B3E55" w:rsidP="007B3E55">
      <w:pPr>
        <w:pStyle w:val="Heading2"/>
        <w:jc w:val="both"/>
        <w:rPr>
          <w:b w:val="0"/>
          <w:sz w:val="20"/>
          <w:szCs w:val="22"/>
          <w:u w:val="single"/>
        </w:rPr>
      </w:pPr>
      <w:r w:rsidRPr="00C0341E">
        <w:rPr>
          <w:b w:val="0"/>
          <w:sz w:val="20"/>
          <w:szCs w:val="22"/>
          <w:u w:val="single"/>
        </w:rPr>
        <w:t>Sampling error</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C0341E">
        <w:rPr>
          <w:sz w:val="20"/>
          <w:lang w:val="en-NZ"/>
        </w:rPr>
        <w:t xml:space="preserve">Sampling error is about the variability that occurs by chance because a sample rather than an entire population is surveyed.  For example, for </w:t>
      </w:r>
      <w:r>
        <w:rPr>
          <w:sz w:val="20"/>
          <w:lang w:val="en-NZ"/>
        </w:rPr>
        <w:t>both HES 2009, 2010 and 2011</w:t>
      </w:r>
      <w:r w:rsidRPr="00C0341E">
        <w:rPr>
          <w:sz w:val="20"/>
          <w:lang w:val="en-NZ"/>
        </w:rPr>
        <w:t>, the relative sampling error for average household income was 4% at the 95% confidence level</w:t>
      </w:r>
      <w:r>
        <w:rPr>
          <w:sz w:val="20"/>
          <w:lang w:val="en-NZ"/>
        </w:rPr>
        <w:t xml:space="preserve">.  </w:t>
      </w:r>
      <w:r w:rsidRPr="00C0341E">
        <w:rPr>
          <w:sz w:val="20"/>
          <w:lang w:val="en-NZ"/>
        </w:rPr>
        <w:t>This means that there is a 95 percent chance that the true value lies within 4% of the su</w:t>
      </w:r>
      <w:r>
        <w:rPr>
          <w:sz w:val="20"/>
          <w:lang w:val="en-NZ"/>
        </w:rPr>
        <w:t xml:space="preserve">rvey mean. </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C0341E">
        <w:rPr>
          <w:sz w:val="20"/>
          <w:lang w:val="en-NZ"/>
        </w:rPr>
        <w:t>The sampling error is larger the greater is the degree of disaggregation at which results are presented.  Special care is therefore needed when interpreting results applying to smaller subgroups. Care is also needed when comparing estimates from one survey to the next as both estimates are subject to sampling error.</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36679E">
        <w:rPr>
          <w:sz w:val="20"/>
          <w:lang w:val="en-NZ"/>
        </w:rPr>
        <w:t>Three examples</w:t>
      </w:r>
      <w:r w:rsidRPr="00C0341E">
        <w:rPr>
          <w:sz w:val="20"/>
          <w:lang w:val="en-NZ"/>
        </w:rPr>
        <w:t xml:space="preserve"> are discussed below to illustrate the issues.</w:t>
      </w:r>
    </w:p>
    <w:p w:rsidR="007B3E55" w:rsidRPr="00C0341E" w:rsidRDefault="007B3E55" w:rsidP="007B3E55">
      <w:pPr>
        <w:jc w:val="both"/>
        <w:rPr>
          <w:sz w:val="20"/>
          <w:lang w:val="en-NZ"/>
        </w:rPr>
      </w:pPr>
    </w:p>
    <w:p w:rsidR="007B3E55" w:rsidRPr="00C0341E" w:rsidRDefault="007B3E55" w:rsidP="007B3E55">
      <w:pPr>
        <w:jc w:val="both"/>
        <w:rPr>
          <w:sz w:val="20"/>
          <w:szCs w:val="22"/>
          <w:lang w:val="en-NZ"/>
        </w:rPr>
      </w:pPr>
      <w:r>
        <w:rPr>
          <w:sz w:val="20"/>
          <w:szCs w:val="22"/>
          <w:lang w:val="en-NZ"/>
        </w:rPr>
        <w:t>People</w:t>
      </w:r>
      <w:r w:rsidRPr="00C0341E">
        <w:rPr>
          <w:sz w:val="20"/>
          <w:szCs w:val="22"/>
          <w:lang w:val="en-NZ"/>
        </w:rPr>
        <w:t xml:space="preserve"> living in sole parent households are a relatively small subgroup, making up only </w:t>
      </w:r>
      <w:r>
        <w:rPr>
          <w:sz w:val="20"/>
          <w:szCs w:val="22"/>
          <w:lang w:val="en-NZ"/>
        </w:rPr>
        <w:t>8</w:t>
      </w:r>
      <w:r w:rsidRPr="00C0341E">
        <w:rPr>
          <w:sz w:val="20"/>
          <w:szCs w:val="22"/>
          <w:lang w:val="en-NZ"/>
        </w:rPr>
        <w:t>% of the population.  In Table B.7 the distribution of the population across household income quintiles is reported by various household types.  Only</w:t>
      </w:r>
      <w:r>
        <w:rPr>
          <w:sz w:val="20"/>
          <w:szCs w:val="22"/>
          <w:lang w:val="en-NZ"/>
        </w:rPr>
        <w:t xml:space="preserve"> 3</w:t>
      </w:r>
      <w:r w:rsidRPr="00C0341E">
        <w:rPr>
          <w:sz w:val="20"/>
          <w:szCs w:val="22"/>
          <w:lang w:val="en-NZ"/>
        </w:rPr>
        <w:t xml:space="preserve">% of those in sole parent households are found in the top income quintile.  On the other hand, a high proportion have incomes in the lower end of the income distribution.  When reading Table B.7 for the distribution of those in this </w:t>
      </w:r>
      <w:r>
        <w:rPr>
          <w:sz w:val="20"/>
          <w:szCs w:val="22"/>
          <w:lang w:val="en-NZ"/>
        </w:rPr>
        <w:t>household</w:t>
      </w:r>
      <w:r w:rsidRPr="00C0341E">
        <w:rPr>
          <w:sz w:val="20"/>
          <w:szCs w:val="22"/>
          <w:lang w:val="en-NZ"/>
        </w:rPr>
        <w:t xml:space="preserve"> type across the quintiles, it is reasonable to conclude that ‘around </w:t>
      </w:r>
      <w:r>
        <w:rPr>
          <w:sz w:val="20"/>
          <w:szCs w:val="22"/>
          <w:lang w:val="en-NZ"/>
        </w:rPr>
        <w:t>three in four</w:t>
      </w:r>
      <w:r w:rsidRPr="00C0341E">
        <w:rPr>
          <w:sz w:val="20"/>
          <w:szCs w:val="22"/>
          <w:lang w:val="en-NZ"/>
        </w:rPr>
        <w:t xml:space="preserve"> are found in the bottom two quintiles’, and ‘there are very few in the top quintile’, but to claim that ‘</w:t>
      </w:r>
      <w:r>
        <w:rPr>
          <w:sz w:val="20"/>
          <w:szCs w:val="22"/>
          <w:lang w:val="en-NZ"/>
        </w:rPr>
        <w:t>10</w:t>
      </w:r>
      <w:r w:rsidRPr="00C0341E">
        <w:rPr>
          <w:sz w:val="20"/>
          <w:szCs w:val="22"/>
          <w:lang w:val="en-NZ"/>
        </w:rPr>
        <w:t>,</w:t>
      </w:r>
      <w:r>
        <w:rPr>
          <w:sz w:val="20"/>
          <w:szCs w:val="22"/>
          <w:lang w:val="en-NZ"/>
        </w:rPr>
        <w:t>4</w:t>
      </w:r>
      <w:r w:rsidRPr="00C0341E">
        <w:rPr>
          <w:sz w:val="20"/>
          <w:szCs w:val="22"/>
          <w:lang w:val="en-NZ"/>
        </w:rPr>
        <w:t>00 (</w:t>
      </w:r>
      <w:r>
        <w:rPr>
          <w:sz w:val="20"/>
          <w:szCs w:val="22"/>
          <w:lang w:val="en-NZ"/>
        </w:rPr>
        <w:t>3</w:t>
      </w:r>
      <w:r w:rsidRPr="00C0341E">
        <w:rPr>
          <w:sz w:val="20"/>
          <w:szCs w:val="22"/>
          <w:lang w:val="en-NZ"/>
        </w:rPr>
        <w:t>% of 3</w:t>
      </w:r>
      <w:r>
        <w:rPr>
          <w:sz w:val="20"/>
          <w:szCs w:val="22"/>
          <w:lang w:val="en-NZ"/>
        </w:rPr>
        <w:t>47</w:t>
      </w:r>
      <w:r w:rsidRPr="00C0341E">
        <w:rPr>
          <w:sz w:val="20"/>
          <w:szCs w:val="22"/>
          <w:lang w:val="en-NZ"/>
        </w:rPr>
        <w:t>,000) are in the top quintile’ would be spurious precision.</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C0341E">
        <w:rPr>
          <w:sz w:val="20"/>
          <w:lang w:val="en-NZ"/>
        </w:rPr>
        <w:t xml:space="preserve">Another example is reporting on poverty trends by ethnicity.  The example uses changes from HES 2004 to 2007. The Pacific, Maori and Other groups made up 6%, 15%, and 13% respectively of the population in 2007, using the HES weights.  Between the 2004 HES and the 2007 HES, the estimated poverty rates using the </w:t>
      </w:r>
      <w:smartTag w:uri="urn:schemas-microsoft-com:office:smarttags" w:element="stockticker">
        <w:r w:rsidRPr="00C0341E">
          <w:rPr>
            <w:sz w:val="20"/>
            <w:lang w:val="en-NZ"/>
          </w:rPr>
          <w:t>AHC</w:t>
        </w:r>
      </w:smartTag>
      <w:r w:rsidRPr="00C0341E">
        <w:rPr>
          <w:sz w:val="20"/>
          <w:lang w:val="en-NZ"/>
        </w:rPr>
        <w:t xml:space="preserve"> 60% fixed line measure fell dramatically for those classified as Pacific (29% to 12%), while for Maori there was very little change (22% to 24%).  The large change for Pacific is inconsistent with independent information for the period from the Income Supplement (IS) of the Household Labour Force Survey (HLFS) which has a larger sample than the HES.  It would be misleading to report on the basis of these two HES surveys that ‘poverty has reduced significantly for Pacific people’ – or, if it went to, say, 25% in HES 2008 that ‘Pacific poverty rose sharply from 2007 to 2008’. </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C0341E">
        <w:rPr>
          <w:sz w:val="20"/>
          <w:lang w:val="en-NZ"/>
        </w:rPr>
        <w:t>For those classified as Other for ethnicity the estimated poverty rate fell from 38% (2004) to 21% (2007).  Again, this is inconsistent with HLFS-IS information for the period.  In this case, the size of the subgroup is itself probably not the only issue.  The volatility for those classified as of Other ethnicity is likely to be driven to a large degree by the considerable heterogeneity in this group, and its changing composition over recent years.</w:t>
      </w:r>
      <w:r>
        <w:rPr>
          <w:rStyle w:val="FootnoteReference"/>
          <w:sz w:val="20"/>
          <w:lang w:val="en-NZ"/>
        </w:rPr>
        <w:footnoteReference w:id="23"/>
      </w:r>
      <w:r w:rsidRPr="00C0341E">
        <w:rPr>
          <w:sz w:val="20"/>
          <w:lang w:val="en-NZ"/>
        </w:rPr>
        <w:t xml:space="preserve">  This heterogeneity adds another source of potential sampling error when using smaller subgroups.  It applies much more to a subgroup like those classified as of Other ethnicity than to a similar sized group such as sole parent households discussed above which is more homogeneous</w:t>
      </w:r>
      <w:r>
        <w:rPr>
          <w:sz w:val="20"/>
          <w:lang w:val="en-NZ"/>
        </w:rPr>
        <w:t xml:space="preserve"> in relation to household incomes and factors which impact on these</w:t>
      </w:r>
      <w:r w:rsidRPr="00C0341E">
        <w:rPr>
          <w:sz w:val="20"/>
          <w:lang w:val="en-NZ"/>
        </w:rPr>
        <w:t>.  Those in one person 65+ households are a smaller still subgroup (4%), but are even more homogeneous (eg they are all in the same household type, in the same age group, and are mainly European/Pakeha).</w:t>
      </w:r>
    </w:p>
    <w:p w:rsidR="007B3E55" w:rsidRPr="00C0341E" w:rsidRDefault="007B3E55" w:rsidP="007B3E55">
      <w:pPr>
        <w:jc w:val="both"/>
        <w:rPr>
          <w:sz w:val="20"/>
          <w:lang w:val="en-NZ"/>
        </w:rPr>
      </w:pPr>
    </w:p>
    <w:p w:rsidR="007B3E55" w:rsidRPr="00C0341E" w:rsidRDefault="007B3E55" w:rsidP="007B3E55">
      <w:pPr>
        <w:jc w:val="both"/>
        <w:rPr>
          <w:sz w:val="20"/>
          <w:lang w:val="en-NZ"/>
        </w:rPr>
      </w:pPr>
      <w:r w:rsidRPr="00C0341E">
        <w:rPr>
          <w:sz w:val="20"/>
          <w:lang w:val="en-NZ"/>
        </w:rPr>
        <w:t xml:space="preserve">For these reasons, poverty </w:t>
      </w:r>
      <w:r>
        <w:rPr>
          <w:sz w:val="20"/>
          <w:lang w:val="en-NZ"/>
        </w:rPr>
        <w:t>trends</w:t>
      </w:r>
      <w:r w:rsidRPr="00C0341E">
        <w:rPr>
          <w:sz w:val="20"/>
          <w:lang w:val="en-NZ"/>
        </w:rPr>
        <w:t xml:space="preserve"> by ethnicity </w:t>
      </w:r>
      <w:r>
        <w:rPr>
          <w:sz w:val="20"/>
          <w:lang w:val="en-NZ"/>
        </w:rPr>
        <w:t>are</w:t>
      </w:r>
      <w:r w:rsidRPr="00C0341E">
        <w:rPr>
          <w:sz w:val="20"/>
          <w:lang w:val="en-NZ"/>
        </w:rPr>
        <w:t xml:space="preserve"> not reported.  Instead, trends in median household incomes are provided, and the distribution across quintiles is given to provide an indication of the relative spread of incomes.  The median incomes are still subject to sampling error but as they use information from the whole sample rather than just from those at the low end, the trends are more reliable.</w:t>
      </w:r>
      <w:r w:rsidRPr="00C0341E">
        <w:rPr>
          <w:rStyle w:val="FootnoteReference"/>
          <w:sz w:val="20"/>
          <w:lang w:val="en-NZ"/>
        </w:rPr>
        <w:footnoteReference w:id="24"/>
      </w:r>
      <w:r w:rsidRPr="00C0341E">
        <w:rPr>
          <w:sz w:val="20"/>
          <w:lang w:val="en-NZ"/>
        </w:rPr>
        <w:t xml:space="preserve">   </w:t>
      </w:r>
    </w:p>
    <w:p w:rsidR="007B3E55" w:rsidRDefault="007B3E55" w:rsidP="007B3E55">
      <w:pPr>
        <w:jc w:val="both"/>
        <w:rPr>
          <w:sz w:val="20"/>
          <w:u w:val="single"/>
          <w:lang w:val="en-NZ"/>
        </w:rPr>
      </w:pPr>
    </w:p>
    <w:p w:rsidR="007B3E55" w:rsidRPr="0036679E" w:rsidRDefault="007B3E55" w:rsidP="007B3E55">
      <w:pPr>
        <w:jc w:val="both"/>
        <w:rPr>
          <w:sz w:val="20"/>
          <w:lang w:val="en-NZ"/>
        </w:rPr>
      </w:pPr>
      <w:r w:rsidRPr="0036679E">
        <w:rPr>
          <w:sz w:val="20"/>
          <w:lang w:val="en-NZ"/>
        </w:rPr>
        <w:t xml:space="preserve">The third example is </w:t>
      </w:r>
      <w:r>
        <w:rPr>
          <w:sz w:val="20"/>
          <w:lang w:val="en-NZ"/>
        </w:rPr>
        <w:t>from the reporting on trends in income</w:t>
      </w:r>
      <w:r w:rsidRPr="0036679E">
        <w:rPr>
          <w:sz w:val="20"/>
          <w:lang w:val="en-NZ"/>
        </w:rPr>
        <w:t xml:space="preserve"> inequality using the Gini coefficient.</w:t>
      </w:r>
      <w:r>
        <w:rPr>
          <w:sz w:val="20"/>
          <w:lang w:val="en-NZ"/>
        </w:rPr>
        <w:t xml:space="preserve">  From 2008-09 to 2009-10 there was a sizeable decrease in the Gini, and from 2009-10 to 2010-11, an even larger increase.  Both these changes are statistically significant.  However, the more modest net change from 2008-09 to 2010-11 is not statistically significant.  This example illustrates why this report cautions against reading too much too soon into year on year changes, and generally encourages the taking of a longer run perspective on trends.  (See also the more detailed discussion of the impact on household incomes of the global financial crisis and economic downturn in Section D).</w:t>
      </w:r>
    </w:p>
    <w:p w:rsidR="007B3E55" w:rsidRDefault="007B3E55" w:rsidP="007B3E55">
      <w:pPr>
        <w:jc w:val="both"/>
        <w:rPr>
          <w:sz w:val="20"/>
          <w:u w:val="single"/>
          <w:lang w:val="en-NZ"/>
        </w:rPr>
      </w:pPr>
    </w:p>
    <w:p w:rsidR="007B3E55" w:rsidRPr="00C0341E" w:rsidRDefault="007B3E55" w:rsidP="007B3E55">
      <w:pPr>
        <w:jc w:val="both"/>
        <w:rPr>
          <w:sz w:val="20"/>
          <w:u w:val="single"/>
          <w:lang w:val="en-NZ"/>
        </w:rPr>
      </w:pPr>
    </w:p>
    <w:p w:rsidR="007B3E55" w:rsidRPr="00C0341E" w:rsidRDefault="007B3E55" w:rsidP="007B3E55">
      <w:pPr>
        <w:jc w:val="both"/>
        <w:rPr>
          <w:sz w:val="20"/>
          <w:u w:val="single"/>
          <w:lang w:val="en-NZ"/>
        </w:rPr>
      </w:pPr>
      <w:r w:rsidRPr="00C0341E">
        <w:rPr>
          <w:sz w:val="20"/>
          <w:u w:val="single"/>
          <w:lang w:val="en-NZ"/>
        </w:rPr>
        <w:t>Non-response</w:t>
      </w:r>
    </w:p>
    <w:p w:rsidR="007B3E55" w:rsidRPr="00C0341E" w:rsidRDefault="007B3E55" w:rsidP="007B3E55">
      <w:pPr>
        <w:jc w:val="both"/>
        <w:rPr>
          <w:sz w:val="20"/>
          <w:lang w:val="en-NZ"/>
        </w:rPr>
      </w:pPr>
    </w:p>
    <w:p w:rsidR="007B3E55" w:rsidRDefault="007B3E55" w:rsidP="007B3E55">
      <w:pPr>
        <w:jc w:val="both"/>
        <w:rPr>
          <w:sz w:val="20"/>
          <w:lang w:val="en-NZ"/>
        </w:rPr>
      </w:pPr>
      <w:r w:rsidRPr="00C0341E">
        <w:rPr>
          <w:sz w:val="20"/>
          <w:lang w:val="en-NZ"/>
        </w:rPr>
        <w:t xml:space="preserve">The reliability of the results is also affected by any bias due to differential non-response from households chosen for interview.  To go some way to correct for this, when weights are being assigned to households to produce population estimates, those households that are under-represented in the sample are given larger weights to compensate.  The weights are chosen so that grossed-up population estimates accord with key control variables such as the age, gender and household type distributions from the latest census or census-based projections.   </w:t>
      </w:r>
    </w:p>
    <w:p w:rsidR="007B3E55" w:rsidRDefault="007B3E55" w:rsidP="007B3E55">
      <w:pPr>
        <w:jc w:val="both"/>
        <w:rPr>
          <w:sz w:val="20"/>
          <w:lang w:val="en-NZ"/>
        </w:rPr>
      </w:pPr>
    </w:p>
    <w:p w:rsidR="007B3E55" w:rsidRPr="00C0341E" w:rsidRDefault="007B3E55" w:rsidP="007B3E55">
      <w:pPr>
        <w:jc w:val="both"/>
        <w:rPr>
          <w:i/>
          <w:sz w:val="20"/>
          <w:u w:val="single"/>
          <w:lang w:val="en-NZ"/>
        </w:rPr>
      </w:pPr>
      <w:r>
        <w:rPr>
          <w:sz w:val="20"/>
          <w:lang w:val="en-NZ"/>
        </w:rPr>
        <w:t>There is, however,</w:t>
      </w:r>
      <w:r w:rsidRPr="00C0341E">
        <w:rPr>
          <w:sz w:val="20"/>
          <w:lang w:val="en-NZ"/>
        </w:rPr>
        <w:t xml:space="preserve"> no guarantee that such weighting procedures will deliver accurate population estimates for all variables of interest.  One area where this is an issue affecting reliability of results using the HES is in the estimates of the number of beneficiaries.  </w:t>
      </w:r>
      <w:r>
        <w:rPr>
          <w:sz w:val="20"/>
          <w:lang w:val="en-NZ"/>
        </w:rPr>
        <w:t>The HES typically</w:t>
      </w:r>
      <w:r w:rsidRPr="00C0341E">
        <w:rPr>
          <w:sz w:val="20"/>
          <w:lang w:val="en-NZ"/>
        </w:rPr>
        <w:t xml:space="preserve"> underestimate</w:t>
      </w:r>
      <w:r>
        <w:rPr>
          <w:sz w:val="20"/>
          <w:lang w:val="en-NZ"/>
        </w:rPr>
        <w:t>s</w:t>
      </w:r>
      <w:r w:rsidRPr="00C0341E">
        <w:rPr>
          <w:sz w:val="20"/>
          <w:lang w:val="en-NZ"/>
        </w:rPr>
        <w:t xml:space="preserve"> beneficiary numbers by around one-third.</w:t>
      </w:r>
      <w:r w:rsidRPr="00C0341E">
        <w:rPr>
          <w:rStyle w:val="FootnoteReference"/>
          <w:sz w:val="20"/>
          <w:lang w:val="en-NZ"/>
        </w:rPr>
        <w:footnoteReference w:id="25"/>
      </w:r>
      <w:r w:rsidRPr="00C0341E">
        <w:rPr>
          <w:sz w:val="20"/>
          <w:lang w:val="en-NZ"/>
        </w:rPr>
        <w:t xml:space="preserve">  </w:t>
      </w:r>
      <w:r>
        <w:rPr>
          <w:sz w:val="20"/>
          <w:lang w:val="en-NZ"/>
        </w:rPr>
        <w:t>The</w:t>
      </w:r>
      <w:r w:rsidRPr="00C0341E">
        <w:rPr>
          <w:sz w:val="20"/>
          <w:lang w:val="en-NZ"/>
        </w:rPr>
        <w:t xml:space="preserve"> total value of the Accommodation Supplement (AS) reported in the HES </w:t>
      </w:r>
      <w:r>
        <w:rPr>
          <w:sz w:val="20"/>
          <w:lang w:val="en-NZ"/>
        </w:rPr>
        <w:t>is around 40% to 50%</w:t>
      </w:r>
      <w:r w:rsidRPr="00C0341E">
        <w:rPr>
          <w:sz w:val="20"/>
          <w:lang w:val="en-NZ"/>
        </w:rPr>
        <w:t xml:space="preserve"> of that recorded in the Ministry of Social Development’s administrative data.  This may not necessarily mean that half the AS income is missed, as some of the ‘missing’ amount may be counted in the reported benefit income.  Nevertheless it is such a large difference that some doubt must remain.</w:t>
      </w:r>
    </w:p>
    <w:p w:rsidR="007B3E55" w:rsidRPr="00C0341E" w:rsidRDefault="007B3E55" w:rsidP="007B3E55">
      <w:pPr>
        <w:pStyle w:val="Heading2"/>
        <w:tabs>
          <w:tab w:val="num" w:pos="720"/>
        </w:tabs>
        <w:ind w:left="720" w:hanging="360"/>
        <w:rPr>
          <w:b w:val="0"/>
          <w:sz w:val="20"/>
          <w:szCs w:val="22"/>
        </w:rPr>
      </w:pPr>
    </w:p>
    <w:p w:rsidR="007B3E55" w:rsidRPr="00C0341E" w:rsidRDefault="007B3E55" w:rsidP="007B3E55">
      <w:pPr>
        <w:rPr>
          <w:sz w:val="20"/>
          <w:u w:val="single"/>
          <w:lang w:val="en-NZ"/>
        </w:rPr>
      </w:pPr>
      <w:r w:rsidRPr="00C0341E">
        <w:rPr>
          <w:sz w:val="20"/>
          <w:u w:val="single"/>
          <w:lang w:val="en-NZ"/>
        </w:rPr>
        <w:t>Income as an indicator of material wellbeing</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There is a general question as to how well income performs as an indicator of access to resources or as a proxy for living standards, but the most pressing issue, as noted above, is that there are particular problems in the bottom decile where the incomes of many households cannot be taken even as a rough and ready indication of resources.  Where the noise in the bottom decile significantly impacts on reported results, the associated text notes and describes the impact.  This issue is further discussed in </w:t>
      </w:r>
      <w:r w:rsidRPr="00C0341E">
        <w:rPr>
          <w:rFonts w:cs="Arial"/>
          <w:b/>
          <w:sz w:val="20"/>
          <w:szCs w:val="22"/>
          <w:lang w:val="en-NZ"/>
        </w:rPr>
        <w:t>Appendices 8 and 9</w:t>
      </w:r>
      <w:r w:rsidRPr="00C0341E">
        <w:rPr>
          <w:rFonts w:cs="Arial"/>
          <w:sz w:val="20"/>
          <w:szCs w:val="22"/>
          <w:lang w:val="en-NZ"/>
        </w:rPr>
        <w:t>.</w:t>
      </w:r>
    </w:p>
    <w:p w:rsidR="007B3E55" w:rsidRDefault="007B3E55" w:rsidP="007B3E55">
      <w:pPr>
        <w:jc w:val="both"/>
        <w:rPr>
          <w:rFonts w:cs="Arial"/>
          <w:szCs w:val="22"/>
          <w:lang w:val="en-NZ"/>
        </w:rPr>
      </w:pPr>
    </w:p>
    <w:p w:rsidR="007B3E55" w:rsidRPr="00C0341E" w:rsidRDefault="007B3E55" w:rsidP="007B3E55">
      <w:pPr>
        <w:jc w:val="both"/>
        <w:rPr>
          <w:rFonts w:cs="Arial"/>
          <w:sz w:val="20"/>
          <w:szCs w:val="22"/>
          <w:u w:val="single"/>
          <w:lang w:val="en-NZ"/>
        </w:rPr>
      </w:pPr>
      <w:r w:rsidRPr="00C0341E">
        <w:rPr>
          <w:rFonts w:cs="Arial"/>
          <w:sz w:val="20"/>
          <w:szCs w:val="22"/>
          <w:u w:val="single"/>
          <w:lang w:val="en-NZ"/>
        </w:rPr>
        <w:t>Avoiding unwarranted impressions of precision</w:t>
      </w:r>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t xml:space="preserve">The use of too many significant figures or decimal places in reporting results can imply a spurious precision that is inconsistent with the considerations noted above.  This applies particularly to poverty rates, and especially for figures relating to subgroups of the whole population.    Poverty rates and poverty structure are therefore generally reported to the nearest whole number rather than to one decimal place as is common elsewhere. </w:t>
      </w:r>
      <w:bookmarkStart w:id="7" w:name="_Toc115142409"/>
    </w:p>
    <w:p w:rsidR="007B3E55" w:rsidRPr="00C0341E" w:rsidRDefault="007B3E55" w:rsidP="007B3E55">
      <w:pPr>
        <w:jc w:val="both"/>
        <w:rPr>
          <w:rFonts w:cs="Arial"/>
          <w:sz w:val="20"/>
          <w:szCs w:val="22"/>
          <w:lang w:val="en-NZ"/>
        </w:rPr>
      </w:pPr>
    </w:p>
    <w:p w:rsidR="007B3E55" w:rsidRPr="00C0341E" w:rsidRDefault="007B3E55" w:rsidP="007B3E55">
      <w:pPr>
        <w:jc w:val="both"/>
        <w:rPr>
          <w:rFonts w:cs="Arial"/>
          <w:sz w:val="20"/>
          <w:szCs w:val="22"/>
          <w:lang w:val="en-NZ"/>
        </w:rPr>
      </w:pPr>
      <w:r w:rsidRPr="00C0341E">
        <w:rPr>
          <w:rFonts w:cs="Arial"/>
          <w:sz w:val="20"/>
          <w:szCs w:val="22"/>
          <w:lang w:val="en-NZ"/>
        </w:rPr>
        <w:lastRenderedPageBreak/>
        <w:t>Longer-term trends over several surveys and significant differences between subgroups within a year can be counted as providing robust and reliable information.   Smaller changes between surveys and small differences between subgroups in the one survey year should not be used to support definitive conclusions about change or differences.</w:t>
      </w:r>
    </w:p>
    <w:p w:rsidR="007B3E55" w:rsidRDefault="007B3E55" w:rsidP="007B3E55">
      <w:pPr>
        <w:jc w:val="both"/>
        <w:rPr>
          <w:rFonts w:cs="Arial"/>
          <w:szCs w:val="22"/>
        </w:rPr>
      </w:pPr>
    </w:p>
    <w:p w:rsidR="007B3E55" w:rsidRDefault="007B3E55" w:rsidP="007B3E55">
      <w:pPr>
        <w:jc w:val="both"/>
        <w:rPr>
          <w:b/>
          <w:szCs w:val="22"/>
        </w:rPr>
      </w:pPr>
    </w:p>
    <w:p w:rsidR="007B3E55" w:rsidRDefault="007B3E55" w:rsidP="007B3E55">
      <w:pPr>
        <w:jc w:val="both"/>
        <w:rPr>
          <w:b/>
          <w:szCs w:val="22"/>
        </w:rPr>
      </w:pPr>
      <w:r w:rsidRPr="00803504">
        <w:rPr>
          <w:b/>
          <w:szCs w:val="22"/>
        </w:rPr>
        <w:t>Summary of key measures used for reporting on income inequality and poverty</w:t>
      </w:r>
    </w:p>
    <w:p w:rsidR="007B3E55" w:rsidRDefault="007B3E55" w:rsidP="007B3E55">
      <w:pPr>
        <w:jc w:val="both"/>
        <w:rPr>
          <w:b/>
          <w:szCs w:val="22"/>
        </w:rPr>
      </w:pPr>
    </w:p>
    <w:p w:rsidR="007B3E55" w:rsidRPr="00EE5DB4" w:rsidRDefault="007B3E55" w:rsidP="007B3E55">
      <w:pPr>
        <w:jc w:val="both"/>
        <w:rPr>
          <w:sz w:val="20"/>
          <w:szCs w:val="22"/>
        </w:rPr>
      </w:pPr>
      <w:r w:rsidRPr="00EE5DB4">
        <w:rPr>
          <w:sz w:val="20"/>
          <w:szCs w:val="22"/>
        </w:rPr>
        <w:t xml:space="preserve">The table below gives a high-level outline of the measures used in the report for the inequality and poverty analysis.   Issues around each decision point are discussed in the main sections that follow and in the Appendices. </w:t>
      </w:r>
    </w:p>
    <w:p w:rsidR="007B3E55" w:rsidRDefault="007B3E55" w:rsidP="007B3E55">
      <w:pPr>
        <w:jc w:val="both"/>
        <w:rPr>
          <w:rFonts w:cs="Arial"/>
          <w:szCs w:val="22"/>
        </w:rPr>
      </w:pPr>
    </w:p>
    <w:p w:rsidR="007B3E55" w:rsidRDefault="007B3E55" w:rsidP="007B3E55">
      <w:pPr>
        <w:jc w:val="both"/>
        <w:rPr>
          <w:rFonts w:cs="Arial"/>
          <w:szCs w:val="22"/>
        </w:rPr>
      </w:pPr>
    </w:p>
    <w:tbl>
      <w:tblPr>
        <w:tblStyle w:val="TableGrid"/>
        <w:tblW w:w="0" w:type="auto"/>
        <w:tblInd w:w="468" w:type="dxa"/>
        <w:tblLook w:val="01E0"/>
      </w:tblPr>
      <w:tblGrid>
        <w:gridCol w:w="2520"/>
        <w:gridCol w:w="5850"/>
      </w:tblGrid>
      <w:tr w:rsidR="007B3E55">
        <w:tc>
          <w:tcPr>
            <w:tcW w:w="2520" w:type="dxa"/>
            <w:vAlign w:val="center"/>
          </w:tcPr>
          <w:p w:rsidR="007B3E55" w:rsidRPr="00FE4098" w:rsidRDefault="007B3E55" w:rsidP="00614C04">
            <w:pPr>
              <w:spacing w:before="60" w:after="60"/>
              <w:jc w:val="center"/>
              <w:rPr>
                <w:rFonts w:cs="Arial"/>
                <w:b/>
                <w:sz w:val="20"/>
              </w:rPr>
            </w:pPr>
            <w:bookmarkStart w:id="8" w:name="_Toc105983297"/>
            <w:bookmarkStart w:id="9" w:name="_Toc105983350"/>
            <w:bookmarkStart w:id="10" w:name="_Toc105985440"/>
            <w:bookmarkStart w:id="11" w:name="_Toc106002515"/>
            <w:bookmarkStart w:id="12" w:name="_Toc106071856"/>
            <w:bookmarkStart w:id="13" w:name="_Toc115142421"/>
            <w:bookmarkEnd w:id="7"/>
            <w:r w:rsidRPr="00FE4098">
              <w:rPr>
                <w:rFonts w:cs="Arial"/>
                <w:b/>
                <w:sz w:val="20"/>
              </w:rPr>
              <w:t>Decision point</w:t>
            </w:r>
          </w:p>
        </w:tc>
        <w:tc>
          <w:tcPr>
            <w:tcW w:w="5850" w:type="dxa"/>
            <w:vAlign w:val="center"/>
          </w:tcPr>
          <w:p w:rsidR="007B3E55" w:rsidRPr="00FE4098" w:rsidRDefault="007B3E55" w:rsidP="00614C04">
            <w:pPr>
              <w:spacing w:before="60" w:after="60"/>
              <w:jc w:val="center"/>
              <w:rPr>
                <w:rFonts w:cs="Arial"/>
                <w:b/>
                <w:sz w:val="20"/>
              </w:rPr>
            </w:pPr>
            <w:r w:rsidRPr="00FE4098">
              <w:rPr>
                <w:rFonts w:cs="Arial"/>
                <w:b/>
                <w:sz w:val="20"/>
              </w:rPr>
              <w:t>Option used in this report</w:t>
            </w:r>
          </w:p>
        </w:tc>
      </w:tr>
      <w:tr w:rsidR="007B3E55">
        <w:tc>
          <w:tcPr>
            <w:tcW w:w="2520" w:type="dxa"/>
          </w:tcPr>
          <w:p w:rsidR="007B3E55" w:rsidRPr="0013159E" w:rsidRDefault="007B3E55" w:rsidP="00614C04">
            <w:pPr>
              <w:spacing w:before="60" w:after="60"/>
              <w:rPr>
                <w:rFonts w:cs="Arial"/>
                <w:sz w:val="18"/>
                <w:szCs w:val="18"/>
              </w:rPr>
            </w:pPr>
            <w:r w:rsidRPr="0013159E">
              <w:rPr>
                <w:rFonts w:cs="Arial"/>
                <w:sz w:val="18"/>
                <w:szCs w:val="18"/>
              </w:rPr>
              <w:t>income sharing unit</w:t>
            </w:r>
          </w:p>
        </w:tc>
        <w:tc>
          <w:tcPr>
            <w:tcW w:w="5850" w:type="dxa"/>
          </w:tcPr>
          <w:p w:rsidR="007B3E55" w:rsidRPr="0013159E" w:rsidRDefault="007B3E55" w:rsidP="00614C04">
            <w:pPr>
              <w:spacing w:before="60" w:after="60"/>
              <w:rPr>
                <w:rFonts w:cs="Arial"/>
                <w:sz w:val="18"/>
                <w:szCs w:val="18"/>
              </w:rPr>
            </w:pPr>
            <w:r>
              <w:rPr>
                <w:rFonts w:cs="Arial"/>
                <w:sz w:val="18"/>
                <w:szCs w:val="18"/>
              </w:rPr>
              <w:t>household (HH)</w:t>
            </w:r>
          </w:p>
        </w:tc>
      </w:tr>
      <w:tr w:rsidR="007B3E55">
        <w:tc>
          <w:tcPr>
            <w:tcW w:w="2520" w:type="dxa"/>
          </w:tcPr>
          <w:p w:rsidR="007B3E55" w:rsidRPr="0013159E" w:rsidRDefault="007B3E55" w:rsidP="00614C04">
            <w:pPr>
              <w:spacing w:before="60" w:after="60"/>
              <w:rPr>
                <w:rFonts w:cs="Arial"/>
                <w:sz w:val="18"/>
                <w:szCs w:val="18"/>
              </w:rPr>
            </w:pPr>
            <w:r w:rsidRPr="0013159E">
              <w:rPr>
                <w:rFonts w:cs="Arial"/>
                <w:sz w:val="18"/>
                <w:szCs w:val="18"/>
              </w:rPr>
              <w:t>income concept</w:t>
            </w:r>
          </w:p>
        </w:tc>
        <w:tc>
          <w:tcPr>
            <w:tcW w:w="5850" w:type="dxa"/>
          </w:tcPr>
          <w:p w:rsidR="007B3E55" w:rsidRDefault="007B3E55" w:rsidP="00614C04">
            <w:pPr>
              <w:tabs>
                <w:tab w:val="num" w:pos="252"/>
              </w:tabs>
              <w:spacing w:before="60"/>
              <w:rPr>
                <w:rFonts w:cs="Arial"/>
                <w:sz w:val="18"/>
                <w:szCs w:val="18"/>
              </w:rPr>
            </w:pPr>
            <w:r>
              <w:rPr>
                <w:rFonts w:cs="Arial"/>
                <w:sz w:val="18"/>
                <w:szCs w:val="18"/>
              </w:rPr>
              <w:t xml:space="preserve">equivalised </w:t>
            </w:r>
            <w:r w:rsidRPr="0013159E">
              <w:rPr>
                <w:rFonts w:cs="Arial"/>
                <w:sz w:val="18"/>
                <w:szCs w:val="18"/>
              </w:rPr>
              <w:t xml:space="preserve">disposable </w:t>
            </w:r>
            <w:r>
              <w:rPr>
                <w:rFonts w:cs="Arial"/>
                <w:sz w:val="18"/>
                <w:szCs w:val="18"/>
              </w:rPr>
              <w:t>HH income  (ie after-tax cash income, adjusted for HH size and composition)</w:t>
            </w:r>
          </w:p>
          <w:p w:rsidR="007B3E55" w:rsidRDefault="007B3E55" w:rsidP="00614C04">
            <w:pPr>
              <w:numPr>
                <w:ilvl w:val="0"/>
                <w:numId w:val="12"/>
              </w:numPr>
              <w:tabs>
                <w:tab w:val="clear" w:pos="1530"/>
                <w:tab w:val="num" w:pos="252"/>
              </w:tabs>
              <w:spacing w:before="60"/>
              <w:ind w:left="259" w:hanging="187"/>
              <w:rPr>
                <w:rFonts w:cs="Arial"/>
                <w:sz w:val="18"/>
                <w:szCs w:val="18"/>
              </w:rPr>
            </w:pPr>
            <w:r>
              <w:rPr>
                <w:rFonts w:cs="Arial"/>
                <w:sz w:val="18"/>
                <w:szCs w:val="18"/>
              </w:rPr>
              <w:t>before deducting housing costs (</w:t>
            </w:r>
            <w:smartTag w:uri="urn:schemas-microsoft-com:office:smarttags" w:element="stockticker">
              <w:r>
                <w:rPr>
                  <w:rFonts w:cs="Arial"/>
                  <w:sz w:val="18"/>
                  <w:szCs w:val="18"/>
                </w:rPr>
                <w:t>BHC</w:t>
              </w:r>
            </w:smartTag>
            <w:r>
              <w:rPr>
                <w:rFonts w:cs="Arial"/>
                <w:sz w:val="18"/>
                <w:szCs w:val="18"/>
              </w:rPr>
              <w:t>)</w:t>
            </w:r>
          </w:p>
          <w:p w:rsidR="007B3E55" w:rsidRPr="0013159E" w:rsidRDefault="007B3E55" w:rsidP="00614C04">
            <w:pPr>
              <w:numPr>
                <w:ilvl w:val="0"/>
                <w:numId w:val="12"/>
              </w:numPr>
              <w:tabs>
                <w:tab w:val="clear" w:pos="1530"/>
                <w:tab w:val="num" w:pos="252"/>
              </w:tabs>
              <w:spacing w:after="60"/>
              <w:ind w:left="259" w:hanging="187"/>
              <w:rPr>
                <w:rFonts w:cs="Arial"/>
                <w:sz w:val="18"/>
                <w:szCs w:val="18"/>
              </w:rPr>
            </w:pPr>
            <w:r>
              <w:rPr>
                <w:rFonts w:cs="Arial"/>
                <w:sz w:val="18"/>
                <w:szCs w:val="18"/>
              </w:rPr>
              <w:t>after deducting housing costs (</w:t>
            </w:r>
            <w:smartTag w:uri="urn:schemas-microsoft-com:office:smarttags" w:element="stockticker">
              <w:r>
                <w:rPr>
                  <w:rFonts w:cs="Arial"/>
                  <w:sz w:val="18"/>
                  <w:szCs w:val="18"/>
                </w:rPr>
                <w:t>AHC</w:t>
              </w:r>
            </w:smartTag>
            <w:r>
              <w:rPr>
                <w:rFonts w:cs="Arial"/>
                <w:sz w:val="18"/>
                <w:szCs w:val="18"/>
              </w:rPr>
              <w:t>)</w:t>
            </w:r>
          </w:p>
        </w:tc>
      </w:tr>
      <w:tr w:rsidR="007B3E55">
        <w:tc>
          <w:tcPr>
            <w:tcW w:w="2520" w:type="dxa"/>
          </w:tcPr>
          <w:p w:rsidR="007B3E55" w:rsidRPr="0013159E" w:rsidRDefault="007B3E55" w:rsidP="00614C04">
            <w:pPr>
              <w:spacing w:before="60" w:after="60"/>
              <w:rPr>
                <w:rFonts w:cs="Arial"/>
                <w:sz w:val="18"/>
                <w:szCs w:val="18"/>
              </w:rPr>
            </w:pPr>
            <w:r w:rsidRPr="0013159E">
              <w:rPr>
                <w:rFonts w:cs="Arial"/>
                <w:sz w:val="18"/>
                <w:szCs w:val="18"/>
              </w:rPr>
              <w:t>equivalence scale</w:t>
            </w:r>
          </w:p>
        </w:tc>
        <w:tc>
          <w:tcPr>
            <w:tcW w:w="5850" w:type="dxa"/>
          </w:tcPr>
          <w:p w:rsidR="007B3E55" w:rsidRPr="0013159E" w:rsidRDefault="007B3E55" w:rsidP="00614C04">
            <w:pPr>
              <w:spacing w:before="60" w:after="60"/>
              <w:rPr>
                <w:rFonts w:cs="Arial"/>
                <w:sz w:val="18"/>
                <w:szCs w:val="18"/>
              </w:rPr>
            </w:pPr>
            <w:r>
              <w:rPr>
                <w:rFonts w:cs="Arial"/>
                <w:sz w:val="18"/>
                <w:szCs w:val="18"/>
              </w:rPr>
              <w:t>r</w:t>
            </w:r>
            <w:r w:rsidRPr="0013159E">
              <w:rPr>
                <w:rFonts w:cs="Arial"/>
                <w:sz w:val="18"/>
                <w:szCs w:val="18"/>
              </w:rPr>
              <w:t>evised Jensen 1988</w:t>
            </w:r>
            <w:r>
              <w:rPr>
                <w:rFonts w:cs="Arial"/>
                <w:sz w:val="18"/>
                <w:szCs w:val="18"/>
              </w:rPr>
              <w:t xml:space="preserve"> (except for Section J, the international section, in which the ‘square root’ scale is used for OECD comparisons, and the ‘modified OECD scale’ for EU comparisons</w:t>
            </w:r>
          </w:p>
        </w:tc>
      </w:tr>
      <w:tr w:rsidR="007B3E55">
        <w:tc>
          <w:tcPr>
            <w:tcW w:w="2520" w:type="dxa"/>
          </w:tcPr>
          <w:p w:rsidR="007B3E55" w:rsidRDefault="007B3E55" w:rsidP="00614C04">
            <w:pPr>
              <w:spacing w:before="60" w:after="60"/>
              <w:rPr>
                <w:rFonts w:cs="Arial"/>
                <w:sz w:val="18"/>
                <w:szCs w:val="18"/>
              </w:rPr>
            </w:pPr>
            <w:r>
              <w:rPr>
                <w:rFonts w:cs="Arial"/>
                <w:sz w:val="18"/>
                <w:szCs w:val="18"/>
              </w:rPr>
              <w:t>inequality measures</w:t>
            </w:r>
          </w:p>
        </w:tc>
        <w:tc>
          <w:tcPr>
            <w:tcW w:w="5850" w:type="dxa"/>
          </w:tcPr>
          <w:p w:rsidR="007B3E55" w:rsidRDefault="007B3E55" w:rsidP="00614C04">
            <w:pPr>
              <w:spacing w:before="60"/>
              <w:rPr>
                <w:rFonts w:cs="Arial"/>
                <w:sz w:val="18"/>
                <w:szCs w:val="18"/>
              </w:rPr>
            </w:pPr>
            <w:r>
              <w:rPr>
                <w:rFonts w:cs="Arial"/>
                <w:sz w:val="18"/>
                <w:szCs w:val="18"/>
              </w:rPr>
              <w:t>percentile ratios (90/10 and 80/20)</w:t>
            </w:r>
          </w:p>
          <w:p w:rsidR="007B3E55" w:rsidRDefault="007B3E55" w:rsidP="00614C04">
            <w:pPr>
              <w:spacing w:before="60" w:after="60"/>
              <w:rPr>
                <w:rFonts w:cs="Arial"/>
                <w:sz w:val="18"/>
                <w:szCs w:val="18"/>
              </w:rPr>
            </w:pPr>
            <w:r>
              <w:rPr>
                <w:rFonts w:cs="Arial"/>
                <w:sz w:val="18"/>
                <w:szCs w:val="18"/>
              </w:rPr>
              <w:t>Gini coefficient</w:t>
            </w:r>
          </w:p>
        </w:tc>
      </w:tr>
      <w:tr w:rsidR="007B3E55">
        <w:tc>
          <w:tcPr>
            <w:tcW w:w="2520" w:type="dxa"/>
          </w:tcPr>
          <w:p w:rsidR="007B3E55" w:rsidRPr="0013159E" w:rsidRDefault="007B3E55" w:rsidP="00614C04">
            <w:pPr>
              <w:spacing w:before="60" w:after="60"/>
              <w:rPr>
                <w:rFonts w:cs="Arial"/>
                <w:sz w:val="18"/>
                <w:szCs w:val="18"/>
              </w:rPr>
            </w:pPr>
            <w:r>
              <w:rPr>
                <w:rFonts w:cs="Arial"/>
                <w:sz w:val="18"/>
                <w:szCs w:val="18"/>
              </w:rPr>
              <w:t>types of low-income thresholds or ‘poverty lines’</w:t>
            </w:r>
          </w:p>
        </w:tc>
        <w:tc>
          <w:tcPr>
            <w:tcW w:w="5850" w:type="dxa"/>
          </w:tcPr>
          <w:p w:rsidR="007B3E55" w:rsidRDefault="007B3E55" w:rsidP="00614C04">
            <w:pPr>
              <w:spacing w:before="60" w:after="60"/>
              <w:rPr>
                <w:rFonts w:cs="Arial"/>
                <w:sz w:val="18"/>
                <w:szCs w:val="18"/>
              </w:rPr>
            </w:pPr>
            <w:r>
              <w:rPr>
                <w:rFonts w:cs="Arial"/>
                <w:sz w:val="18"/>
                <w:szCs w:val="18"/>
              </w:rPr>
              <w:t>‘moving line’ thresholds – set relative to the median for the survey year (</w:t>
            </w:r>
            <w:smartTag w:uri="urn:schemas-microsoft-com:office:smarttags" w:element="stockticker">
              <w:r>
                <w:rPr>
                  <w:rFonts w:cs="Arial"/>
                  <w:sz w:val="18"/>
                  <w:szCs w:val="18"/>
                </w:rPr>
                <w:t>REL</w:t>
              </w:r>
            </w:smartTag>
            <w:r>
              <w:rPr>
                <w:rFonts w:cs="Arial"/>
                <w:sz w:val="18"/>
                <w:szCs w:val="18"/>
              </w:rPr>
              <w:t>)</w:t>
            </w:r>
          </w:p>
          <w:p w:rsidR="007B3E55" w:rsidRPr="0013159E" w:rsidRDefault="007B3E55" w:rsidP="00614C04">
            <w:pPr>
              <w:spacing w:before="60" w:after="60"/>
              <w:rPr>
                <w:rFonts w:cs="Arial"/>
                <w:sz w:val="18"/>
                <w:szCs w:val="18"/>
              </w:rPr>
            </w:pPr>
            <w:r>
              <w:rPr>
                <w:rFonts w:cs="Arial"/>
                <w:sz w:val="18"/>
                <w:szCs w:val="18"/>
              </w:rPr>
              <w:t>‘fixed line’ thresholds – set in a base year (2007) and kept at a constant value in real terms (CV)</w:t>
            </w:r>
          </w:p>
        </w:tc>
      </w:tr>
      <w:tr w:rsidR="007B3E55">
        <w:tc>
          <w:tcPr>
            <w:tcW w:w="2520" w:type="dxa"/>
          </w:tcPr>
          <w:p w:rsidR="007B3E55" w:rsidRPr="0013159E" w:rsidRDefault="007B3E55" w:rsidP="00614C04">
            <w:pPr>
              <w:spacing w:before="60" w:after="60"/>
              <w:rPr>
                <w:rFonts w:cs="Arial"/>
                <w:sz w:val="18"/>
                <w:szCs w:val="18"/>
              </w:rPr>
            </w:pPr>
            <w:r>
              <w:rPr>
                <w:rFonts w:cs="Arial"/>
                <w:sz w:val="18"/>
                <w:szCs w:val="18"/>
              </w:rPr>
              <w:t>setting of low-income thresholds or ‘poverty lines’</w:t>
            </w:r>
          </w:p>
        </w:tc>
        <w:tc>
          <w:tcPr>
            <w:tcW w:w="5850" w:type="dxa"/>
          </w:tcPr>
          <w:p w:rsidR="007B3E55" w:rsidRDefault="007B3E55" w:rsidP="00614C04">
            <w:pPr>
              <w:spacing w:before="60" w:after="60"/>
              <w:rPr>
                <w:rFonts w:cs="Arial"/>
                <w:sz w:val="18"/>
                <w:szCs w:val="18"/>
              </w:rPr>
            </w:pPr>
            <w:smartTag w:uri="urn:schemas-microsoft-com:office:smarttags" w:element="stockticker">
              <w:r>
                <w:rPr>
                  <w:rFonts w:cs="Arial"/>
                  <w:sz w:val="18"/>
                  <w:szCs w:val="18"/>
                </w:rPr>
                <w:t>REL</w:t>
              </w:r>
            </w:smartTag>
            <w:r>
              <w:rPr>
                <w:rFonts w:cs="Arial"/>
                <w:sz w:val="18"/>
                <w:szCs w:val="18"/>
              </w:rPr>
              <w:t xml:space="preserve"> thresholds set at 50% and 60% of the median HH income (</w:t>
            </w:r>
            <w:smartTag w:uri="urn:schemas-microsoft-com:office:smarttags" w:element="stockticker">
              <w:r>
                <w:rPr>
                  <w:rFonts w:cs="Arial"/>
                  <w:sz w:val="18"/>
                  <w:szCs w:val="18"/>
                </w:rPr>
                <w:t>BHC</w:t>
              </w:r>
            </w:smartTag>
            <w:r>
              <w:rPr>
                <w:rFonts w:cs="Arial"/>
                <w:sz w:val="18"/>
                <w:szCs w:val="18"/>
              </w:rPr>
              <w:t>)</w:t>
            </w:r>
          </w:p>
          <w:p w:rsidR="007B3E55" w:rsidRDefault="007B3E55" w:rsidP="00614C04">
            <w:pPr>
              <w:spacing w:before="60" w:after="60"/>
              <w:rPr>
                <w:rFonts w:cs="Arial"/>
                <w:sz w:val="18"/>
                <w:szCs w:val="18"/>
              </w:rPr>
            </w:pPr>
            <w:r>
              <w:rPr>
                <w:rFonts w:cs="Arial"/>
                <w:sz w:val="18"/>
                <w:szCs w:val="18"/>
              </w:rPr>
              <w:t>CV thresholds set at 50% and 60% of the 2007 median HH income (</w:t>
            </w:r>
            <w:smartTag w:uri="urn:schemas-microsoft-com:office:smarttags" w:element="stockticker">
              <w:r>
                <w:rPr>
                  <w:rFonts w:cs="Arial"/>
                  <w:sz w:val="18"/>
                  <w:szCs w:val="18"/>
                </w:rPr>
                <w:t>BHC</w:t>
              </w:r>
            </w:smartTag>
            <w:r>
              <w:rPr>
                <w:rFonts w:cs="Arial"/>
                <w:sz w:val="18"/>
                <w:szCs w:val="18"/>
              </w:rPr>
              <w:t xml:space="preserve">), and adjusted forward and back by the </w:t>
            </w:r>
            <w:smartTag w:uri="urn:schemas-microsoft-com:office:smarttags" w:element="stockticker">
              <w:r>
                <w:rPr>
                  <w:rFonts w:cs="Arial"/>
                  <w:sz w:val="18"/>
                  <w:szCs w:val="18"/>
                </w:rPr>
                <w:t>CPI</w:t>
              </w:r>
            </w:smartTag>
          </w:p>
          <w:p w:rsidR="007B3E55" w:rsidRPr="0013159E" w:rsidRDefault="007B3E55" w:rsidP="00614C04">
            <w:pPr>
              <w:spacing w:before="60" w:after="60"/>
              <w:rPr>
                <w:rFonts w:cs="Arial"/>
                <w:sz w:val="18"/>
                <w:szCs w:val="18"/>
              </w:rPr>
            </w:pPr>
            <w:smartTag w:uri="urn:schemas-microsoft-com:office:smarttags" w:element="stockticker">
              <w:r>
                <w:rPr>
                  <w:rFonts w:cs="Arial"/>
                  <w:sz w:val="18"/>
                  <w:szCs w:val="18"/>
                </w:rPr>
                <w:t>AHC</w:t>
              </w:r>
            </w:smartTag>
            <w:r>
              <w:rPr>
                <w:rFonts w:cs="Arial"/>
                <w:sz w:val="18"/>
                <w:szCs w:val="18"/>
              </w:rPr>
              <w:t xml:space="preserve"> thresholds are set at 25% less than the corresponding </w:t>
            </w:r>
            <w:smartTag w:uri="urn:schemas-microsoft-com:office:smarttags" w:element="stockticker">
              <w:r>
                <w:rPr>
                  <w:rFonts w:cs="Arial"/>
                  <w:sz w:val="18"/>
                  <w:szCs w:val="18"/>
                </w:rPr>
                <w:t>BHC</w:t>
              </w:r>
            </w:smartTag>
            <w:r>
              <w:rPr>
                <w:rFonts w:cs="Arial"/>
                <w:sz w:val="18"/>
                <w:szCs w:val="18"/>
              </w:rPr>
              <w:t xml:space="preserve"> threshold, as an allowance for average housing costs</w:t>
            </w:r>
          </w:p>
        </w:tc>
      </w:tr>
      <w:tr w:rsidR="007B3E55">
        <w:tc>
          <w:tcPr>
            <w:tcW w:w="2520" w:type="dxa"/>
          </w:tcPr>
          <w:p w:rsidR="007B3E55" w:rsidRDefault="007B3E55" w:rsidP="00614C04">
            <w:pPr>
              <w:spacing w:before="60" w:after="60"/>
              <w:rPr>
                <w:rFonts w:cs="Arial"/>
                <w:sz w:val="18"/>
                <w:szCs w:val="18"/>
              </w:rPr>
            </w:pPr>
            <w:r>
              <w:rPr>
                <w:rFonts w:cs="Arial"/>
                <w:sz w:val="18"/>
                <w:szCs w:val="18"/>
              </w:rPr>
              <w:t>primary measure for income poverty</w:t>
            </w:r>
          </w:p>
        </w:tc>
        <w:tc>
          <w:tcPr>
            <w:tcW w:w="5850" w:type="dxa"/>
          </w:tcPr>
          <w:p w:rsidR="007B3E55" w:rsidRDefault="007B3E55" w:rsidP="00614C04">
            <w:pPr>
              <w:spacing w:before="60" w:after="60"/>
              <w:rPr>
                <w:rFonts w:cs="Arial"/>
                <w:sz w:val="18"/>
                <w:szCs w:val="18"/>
              </w:rPr>
            </w:pPr>
            <w:smartTag w:uri="urn:schemas-microsoft-com:office:smarttags" w:element="stockticker">
              <w:r>
                <w:rPr>
                  <w:rFonts w:cs="Arial"/>
                  <w:sz w:val="18"/>
                  <w:szCs w:val="18"/>
                </w:rPr>
                <w:t>AHC</w:t>
              </w:r>
            </w:smartTag>
            <w:r>
              <w:rPr>
                <w:rFonts w:cs="Arial"/>
                <w:sz w:val="18"/>
                <w:szCs w:val="18"/>
              </w:rPr>
              <w:t xml:space="preserve"> ‘fixed line’ (60%) – the rationale for this is noted earlier in this Section and is further discussed in Section E.</w:t>
            </w:r>
          </w:p>
        </w:tc>
      </w:tr>
      <w:bookmarkEnd w:id="8"/>
      <w:bookmarkEnd w:id="9"/>
      <w:bookmarkEnd w:id="10"/>
      <w:bookmarkEnd w:id="11"/>
      <w:bookmarkEnd w:id="12"/>
      <w:bookmarkEnd w:id="13"/>
    </w:tbl>
    <w:p w:rsidR="007B3E55" w:rsidRDefault="007B3E55" w:rsidP="007B3E55">
      <w:pPr>
        <w:jc w:val="center"/>
        <w:sectPr w:rsidR="007B3E55" w:rsidSect="005A3E8C">
          <w:headerReference w:type="default" r:id="rId25"/>
          <w:pgSz w:w="11909" w:h="16834" w:code="9"/>
          <w:pgMar w:top="1440" w:right="1584" w:bottom="1440" w:left="1584" w:header="706" w:footer="706" w:gutter="0"/>
          <w:cols w:space="720"/>
        </w:sectPr>
      </w:pPr>
    </w:p>
    <w:p w:rsidR="007B3E55" w:rsidRPr="001F6116" w:rsidRDefault="007B3E55" w:rsidP="007B3E55">
      <w:pPr>
        <w:jc w:val="center"/>
        <w:rPr>
          <w:b/>
          <w:sz w:val="32"/>
          <w:szCs w:val="32"/>
        </w:rPr>
      </w:pPr>
      <w:r w:rsidRPr="001F6116">
        <w:rPr>
          <w:b/>
          <w:sz w:val="32"/>
          <w:szCs w:val="32"/>
        </w:rPr>
        <w:lastRenderedPageBreak/>
        <w:t>Section B</w:t>
      </w:r>
    </w:p>
    <w:p w:rsidR="007B3E55" w:rsidRPr="001F6116" w:rsidRDefault="007B3E55" w:rsidP="007B3E55">
      <w:pPr>
        <w:jc w:val="center"/>
        <w:rPr>
          <w:b/>
          <w:sz w:val="32"/>
          <w:szCs w:val="32"/>
          <w:lang w:val="en-NZ"/>
        </w:rPr>
      </w:pPr>
      <w:r w:rsidRPr="001F6116">
        <w:rPr>
          <w:b/>
          <w:sz w:val="32"/>
          <w:szCs w:val="32"/>
        </w:rPr>
        <w:t xml:space="preserve">Household incomes in </w:t>
      </w:r>
      <w:r>
        <w:rPr>
          <w:b/>
          <w:sz w:val="32"/>
          <w:szCs w:val="32"/>
        </w:rPr>
        <w:t>2010-11</w:t>
      </w:r>
    </w:p>
    <w:p w:rsidR="007B3E55" w:rsidRDefault="007B3E55" w:rsidP="007B3E55">
      <w:pPr>
        <w:pStyle w:val="Heading2"/>
        <w:rPr>
          <w:b w:val="0"/>
        </w:rPr>
      </w:pPr>
    </w:p>
    <w:p w:rsidR="007B3E55" w:rsidRPr="001F42D8" w:rsidRDefault="007B3E55" w:rsidP="007B3E55">
      <w:pPr>
        <w:rPr>
          <w:sz w:val="20"/>
          <w:lang w:val="en-NZ"/>
        </w:rPr>
      </w:pPr>
      <w:r w:rsidRPr="001F42D8">
        <w:rPr>
          <w:sz w:val="20"/>
          <w:lang w:val="en-NZ"/>
        </w:rPr>
        <w:t>This section provides general information on the distribution of household income using the 20</w:t>
      </w:r>
      <w:r>
        <w:rPr>
          <w:sz w:val="20"/>
          <w:lang w:val="en-NZ"/>
        </w:rPr>
        <w:t>11</w:t>
      </w:r>
      <w:r w:rsidRPr="001F42D8">
        <w:rPr>
          <w:sz w:val="20"/>
          <w:lang w:val="en-NZ"/>
        </w:rPr>
        <w:t xml:space="preserve"> HES.  The following are reported:</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 xml:space="preserve">means and medians for gross, disposable and equivalised disposable income </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medians for different household types</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graphs of the income distribution for the whole population</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a table to assist households to identify where they fall in the distribution</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distribution of individuals across household income quintiles by various household and individual characteristics</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income shares for income deciles</w:t>
      </w:r>
    </w:p>
    <w:p w:rsidR="007B3E55" w:rsidRPr="001F42D8" w:rsidRDefault="007B3E55" w:rsidP="00614C04">
      <w:pPr>
        <w:numPr>
          <w:ilvl w:val="0"/>
          <w:numId w:val="33"/>
        </w:numPr>
        <w:tabs>
          <w:tab w:val="clear" w:pos="1440"/>
        </w:tabs>
        <w:spacing w:before="120"/>
        <w:ind w:left="720"/>
        <w:rPr>
          <w:sz w:val="20"/>
          <w:lang w:val="en-NZ"/>
        </w:rPr>
      </w:pPr>
      <w:r w:rsidRPr="001F42D8">
        <w:rPr>
          <w:sz w:val="20"/>
          <w:lang w:val="en-NZ"/>
        </w:rPr>
        <w:t>the extent of re-distribution of market income through taxes and cash benefits.</w:t>
      </w:r>
    </w:p>
    <w:p w:rsidR="007B3E55" w:rsidRPr="001F42D8" w:rsidRDefault="007B3E55" w:rsidP="007B3E55">
      <w:pPr>
        <w:rPr>
          <w:sz w:val="20"/>
          <w:lang w:val="en-NZ"/>
        </w:rPr>
      </w:pPr>
    </w:p>
    <w:p w:rsidR="007B3E55" w:rsidRPr="001F42D8" w:rsidRDefault="007B3E55" w:rsidP="007B3E55">
      <w:pPr>
        <w:pStyle w:val="Heading2"/>
        <w:spacing w:before="120"/>
        <w:rPr>
          <w:sz w:val="24"/>
        </w:rPr>
      </w:pPr>
      <w:bookmarkStart w:id="14" w:name="_Toc115142422"/>
      <w:r w:rsidRPr="001F42D8">
        <w:rPr>
          <w:sz w:val="24"/>
        </w:rPr>
        <w:t>Means and medians</w:t>
      </w:r>
      <w:bookmarkEnd w:id="14"/>
    </w:p>
    <w:p w:rsidR="007B3E55" w:rsidRPr="001F42D8" w:rsidRDefault="007B3E55" w:rsidP="007B3E55">
      <w:pPr>
        <w:rPr>
          <w:rFonts w:cs="Arial"/>
          <w:sz w:val="20"/>
          <w:szCs w:val="22"/>
          <w:lang w:val="en-NZ"/>
        </w:rPr>
      </w:pPr>
    </w:p>
    <w:p w:rsidR="007B3E55" w:rsidRDefault="007B3E55" w:rsidP="007B3E55">
      <w:pPr>
        <w:jc w:val="both"/>
        <w:rPr>
          <w:rFonts w:cs="Arial"/>
          <w:sz w:val="20"/>
          <w:szCs w:val="22"/>
          <w:lang w:val="en-NZ"/>
        </w:rPr>
      </w:pPr>
      <w:r w:rsidRPr="001F42D8">
        <w:rPr>
          <w:rFonts w:cs="Arial"/>
          <w:b/>
          <w:sz w:val="20"/>
          <w:szCs w:val="22"/>
          <w:lang w:val="en-NZ"/>
        </w:rPr>
        <w:t>Table B.1</w:t>
      </w:r>
      <w:r w:rsidRPr="001F42D8">
        <w:rPr>
          <w:rFonts w:cs="Arial"/>
          <w:sz w:val="20"/>
          <w:szCs w:val="22"/>
          <w:lang w:val="en-NZ"/>
        </w:rPr>
        <w:t xml:space="preserve"> reports median and mean household incomes on gross, disposable (after-tax), and equivalised disposable bases using the 20</w:t>
      </w:r>
      <w:r>
        <w:rPr>
          <w:rFonts w:cs="Arial"/>
          <w:sz w:val="20"/>
          <w:szCs w:val="22"/>
          <w:lang w:val="en-NZ"/>
        </w:rPr>
        <w:t>11</w:t>
      </w:r>
      <w:r w:rsidRPr="001F42D8">
        <w:rPr>
          <w:rFonts w:cs="Arial"/>
          <w:sz w:val="20"/>
          <w:szCs w:val="22"/>
          <w:lang w:val="en-NZ"/>
        </w:rPr>
        <w:t xml:space="preserve"> HES, and the changes in real terms from </w:t>
      </w:r>
      <w:r>
        <w:rPr>
          <w:rFonts w:cs="Arial"/>
          <w:sz w:val="20"/>
          <w:szCs w:val="22"/>
          <w:lang w:val="en-NZ"/>
        </w:rPr>
        <w:t>the 2010 to 2011 HES and from the 2009 to 2010 HES.</w:t>
      </w:r>
      <w:r w:rsidRPr="001F42D8">
        <w:rPr>
          <w:rFonts w:cs="Arial"/>
          <w:sz w:val="20"/>
          <w:szCs w:val="22"/>
          <w:lang w:val="en-NZ"/>
        </w:rPr>
        <w:t xml:space="preserve">  Longer term trends are reported in Section D.</w:t>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r>
        <w:rPr>
          <w:rFonts w:cs="Arial"/>
          <w:sz w:val="20"/>
          <w:szCs w:val="22"/>
          <w:lang w:val="en-NZ"/>
        </w:rPr>
        <w:t xml:space="preserve">The impact of the international financial crisis and economic slowdown is reflected in the changes shown in the table.  For example, the early impact is shown in the small fall in gross </w:t>
      </w:r>
      <w:r w:rsidRPr="00FF507A">
        <w:rPr>
          <w:rFonts w:cs="Arial"/>
          <w:sz w:val="20"/>
          <w:szCs w:val="22"/>
          <w:u w:val="single"/>
          <w:lang w:val="en-NZ"/>
        </w:rPr>
        <w:t>median</w:t>
      </w:r>
      <w:r>
        <w:rPr>
          <w:rFonts w:cs="Arial"/>
          <w:sz w:val="20"/>
          <w:szCs w:val="22"/>
          <w:lang w:val="en-NZ"/>
        </w:rPr>
        <w:t xml:space="preserve"> income from 2008-09 to 2009-10 (~1%), and the fuller impact in the decline from 2009-10 to 2010-11 (~4%).  The gross </w:t>
      </w:r>
      <w:r w:rsidRPr="00011EC9">
        <w:rPr>
          <w:rFonts w:cs="Arial"/>
          <w:sz w:val="20"/>
          <w:szCs w:val="22"/>
          <w:u w:val="single"/>
          <w:lang w:val="en-NZ"/>
        </w:rPr>
        <w:t>mean</w:t>
      </w:r>
      <w:r>
        <w:rPr>
          <w:rFonts w:cs="Arial"/>
          <w:sz w:val="20"/>
          <w:szCs w:val="22"/>
          <w:lang w:val="en-NZ"/>
        </w:rPr>
        <w:t xml:space="preserve"> on the other hand rose from 2009-10 to 2010-11 after a fall from 2008-09 to 2009-10.  Changes in the mean are strongly influenced by what happens to higher incomes and these rose from 2009-10 to 2010-11 after a fall in the previous year.</w:t>
      </w:r>
    </w:p>
    <w:p w:rsidR="007B3E55" w:rsidRPr="001F42D8" w:rsidRDefault="007B3E55" w:rsidP="007B3E55">
      <w:pPr>
        <w:jc w:val="both"/>
        <w:rPr>
          <w:rFonts w:cs="Arial"/>
          <w:sz w:val="20"/>
          <w:szCs w:val="22"/>
          <w:lang w:val="en-NZ"/>
        </w:rPr>
      </w:pPr>
      <w:r>
        <w:rPr>
          <w:rFonts w:cs="Arial"/>
          <w:sz w:val="20"/>
          <w:szCs w:val="22"/>
          <w:lang w:val="en-NZ"/>
        </w:rPr>
        <w:t xml:space="preserve">  </w:t>
      </w:r>
    </w:p>
    <w:p w:rsidR="007B3E55" w:rsidRPr="001F42D8" w:rsidRDefault="007B3E55" w:rsidP="007B3E55">
      <w:pPr>
        <w:jc w:val="center"/>
        <w:rPr>
          <w:rFonts w:cs="Arial"/>
          <w:b/>
          <w:sz w:val="18"/>
          <w:lang w:val="en-NZ"/>
        </w:rPr>
      </w:pPr>
      <w:r w:rsidRPr="001F42D8">
        <w:rPr>
          <w:rFonts w:cs="Arial"/>
          <w:b/>
          <w:sz w:val="18"/>
          <w:lang w:val="en-NZ"/>
        </w:rPr>
        <w:t>Table B.1</w:t>
      </w:r>
    </w:p>
    <w:p w:rsidR="007B3E55" w:rsidRPr="001F42D8" w:rsidRDefault="007B3E55" w:rsidP="007B3E55">
      <w:pPr>
        <w:jc w:val="center"/>
        <w:rPr>
          <w:rFonts w:cs="Arial"/>
          <w:b/>
          <w:sz w:val="18"/>
          <w:lang w:val="en-NZ"/>
        </w:rPr>
      </w:pPr>
      <w:r w:rsidRPr="001F42D8">
        <w:rPr>
          <w:rFonts w:cs="Arial"/>
          <w:b/>
          <w:sz w:val="18"/>
          <w:lang w:val="en-NZ"/>
        </w:rPr>
        <w:t xml:space="preserve">Gross, disposable and equivalised disposable household incomes: </w:t>
      </w:r>
    </w:p>
    <w:p w:rsidR="007B3E55" w:rsidRDefault="007B3E55" w:rsidP="007B3E55">
      <w:pPr>
        <w:spacing w:after="120"/>
        <w:jc w:val="center"/>
      </w:pPr>
      <w:r w:rsidRPr="001F42D8">
        <w:rPr>
          <w:rFonts w:cs="Arial"/>
          <w:b/>
          <w:sz w:val="18"/>
          <w:lang w:val="en-NZ"/>
        </w:rPr>
        <w:t>annual medians and means (HES 20</w:t>
      </w:r>
      <w:r>
        <w:rPr>
          <w:rFonts w:cs="Arial"/>
          <w:b/>
          <w:sz w:val="18"/>
          <w:lang w:val="en-NZ"/>
        </w:rPr>
        <w:t>11</w:t>
      </w:r>
      <w:r w:rsidRPr="001F42D8">
        <w:rPr>
          <w:rFonts w:cs="Arial"/>
          <w:b/>
          <w:sz w:val="18"/>
          <w:lang w:val="en-NZ"/>
        </w:rPr>
        <w:t>)</w:t>
      </w:r>
      <w:r>
        <w:rPr>
          <w:rFonts w:cs="Arial"/>
          <w:b/>
          <w:sz w:val="18"/>
          <w:lang w:val="en-NZ"/>
        </w:rPr>
        <w:t>, with changes from recent years</w:t>
      </w:r>
    </w:p>
    <w:tbl>
      <w:tblPr>
        <w:tblStyle w:val="TableGrid"/>
        <w:tblW w:w="0" w:type="auto"/>
        <w:jc w:val="center"/>
        <w:tblInd w:w="-1159" w:type="dxa"/>
        <w:tblLayout w:type="fixed"/>
        <w:tblLook w:val="01E0"/>
      </w:tblPr>
      <w:tblGrid>
        <w:gridCol w:w="2170"/>
        <w:gridCol w:w="992"/>
        <w:gridCol w:w="925"/>
        <w:gridCol w:w="1060"/>
        <w:gridCol w:w="992"/>
        <w:gridCol w:w="992"/>
        <w:gridCol w:w="993"/>
      </w:tblGrid>
      <w:tr w:rsidR="007B3E55">
        <w:trPr>
          <w:trHeight w:hRule="exact" w:val="357"/>
          <w:jc w:val="center"/>
        </w:trPr>
        <w:tc>
          <w:tcPr>
            <w:tcW w:w="2170" w:type="dxa"/>
            <w:shd w:val="clear" w:color="auto" w:fill="auto"/>
            <w:vAlign w:val="center"/>
          </w:tcPr>
          <w:p w:rsidR="007B3E55" w:rsidRPr="00442218" w:rsidRDefault="007B3E55" w:rsidP="00614C04">
            <w:pPr>
              <w:spacing w:before="20" w:after="20"/>
              <w:rPr>
                <w:rFonts w:cs="Arial"/>
                <w:sz w:val="16"/>
                <w:szCs w:val="16"/>
                <w:lang w:val="en-NZ"/>
              </w:rPr>
            </w:pPr>
          </w:p>
        </w:tc>
        <w:tc>
          <w:tcPr>
            <w:tcW w:w="2977" w:type="dxa"/>
            <w:gridSpan w:val="3"/>
            <w:shd w:val="clear" w:color="auto" w:fill="auto"/>
            <w:vAlign w:val="center"/>
          </w:tcPr>
          <w:p w:rsidR="007B3E55" w:rsidRPr="00760397" w:rsidRDefault="007B3E55" w:rsidP="00614C04">
            <w:pPr>
              <w:spacing w:before="20" w:after="20"/>
              <w:jc w:val="center"/>
              <w:rPr>
                <w:rFonts w:cs="Arial"/>
                <w:b/>
                <w:sz w:val="16"/>
                <w:szCs w:val="16"/>
                <w:lang w:val="en-NZ"/>
              </w:rPr>
            </w:pPr>
            <w:r>
              <w:rPr>
                <w:rFonts w:cs="Arial"/>
                <w:b/>
                <w:sz w:val="16"/>
                <w:szCs w:val="16"/>
                <w:lang w:val="en-NZ"/>
              </w:rPr>
              <w:t>M</w:t>
            </w:r>
            <w:r w:rsidRPr="00760397">
              <w:rPr>
                <w:rFonts w:cs="Arial"/>
                <w:b/>
                <w:sz w:val="16"/>
                <w:szCs w:val="16"/>
                <w:lang w:val="en-NZ"/>
              </w:rPr>
              <w:t>edian</w:t>
            </w:r>
          </w:p>
        </w:tc>
        <w:tc>
          <w:tcPr>
            <w:tcW w:w="2977" w:type="dxa"/>
            <w:gridSpan w:val="3"/>
            <w:shd w:val="clear" w:color="auto" w:fill="auto"/>
            <w:vAlign w:val="center"/>
          </w:tcPr>
          <w:p w:rsidR="007B3E55" w:rsidRPr="00760397" w:rsidRDefault="007B3E55" w:rsidP="00614C04">
            <w:pPr>
              <w:spacing w:before="20" w:after="20"/>
              <w:jc w:val="center"/>
              <w:rPr>
                <w:rFonts w:cs="Arial"/>
                <w:b/>
                <w:sz w:val="16"/>
                <w:szCs w:val="16"/>
                <w:lang w:val="en-NZ"/>
              </w:rPr>
            </w:pPr>
            <w:r>
              <w:rPr>
                <w:rFonts w:cs="Arial"/>
                <w:b/>
                <w:sz w:val="16"/>
                <w:szCs w:val="16"/>
                <w:lang w:val="en-NZ"/>
              </w:rPr>
              <w:t>M</w:t>
            </w:r>
            <w:r w:rsidRPr="00760397">
              <w:rPr>
                <w:rFonts w:cs="Arial"/>
                <w:b/>
                <w:sz w:val="16"/>
                <w:szCs w:val="16"/>
                <w:lang w:val="en-NZ"/>
              </w:rPr>
              <w:t>ean</w:t>
            </w:r>
          </w:p>
        </w:tc>
      </w:tr>
      <w:tr w:rsidR="007B3E55">
        <w:trPr>
          <w:trHeight w:hRule="exact" w:val="276"/>
          <w:jc w:val="center"/>
        </w:trPr>
        <w:tc>
          <w:tcPr>
            <w:tcW w:w="2170" w:type="dxa"/>
            <w:vMerge w:val="restart"/>
            <w:shd w:val="clear" w:color="auto" w:fill="auto"/>
            <w:vAlign w:val="center"/>
          </w:tcPr>
          <w:p w:rsidR="007B3E55" w:rsidRPr="00442218" w:rsidRDefault="007B3E55" w:rsidP="00614C04">
            <w:pPr>
              <w:spacing w:before="20" w:after="20"/>
              <w:rPr>
                <w:rFonts w:cs="Arial"/>
                <w:sz w:val="16"/>
                <w:szCs w:val="16"/>
                <w:lang w:val="en-NZ"/>
              </w:rPr>
            </w:pPr>
          </w:p>
        </w:tc>
        <w:tc>
          <w:tcPr>
            <w:tcW w:w="992" w:type="dxa"/>
            <w:vMerge w:val="restart"/>
            <w:shd w:val="clear" w:color="auto" w:fill="auto"/>
            <w:vAlign w:val="center"/>
          </w:tcPr>
          <w:p w:rsidR="007B3E55" w:rsidRPr="00A27746" w:rsidRDefault="007B3E55" w:rsidP="00614C04">
            <w:pPr>
              <w:spacing w:before="20" w:after="20"/>
              <w:jc w:val="center"/>
              <w:rPr>
                <w:rFonts w:cs="Arial"/>
                <w:b/>
                <w:sz w:val="16"/>
                <w:szCs w:val="16"/>
                <w:lang w:val="en-NZ"/>
              </w:rPr>
            </w:pPr>
            <w:r w:rsidRPr="00A27746">
              <w:rPr>
                <w:rFonts w:cs="Arial"/>
                <w:b/>
                <w:sz w:val="16"/>
                <w:szCs w:val="16"/>
                <w:lang w:val="en-NZ"/>
              </w:rPr>
              <w:t>20</w:t>
            </w:r>
            <w:r>
              <w:rPr>
                <w:rFonts w:cs="Arial"/>
                <w:b/>
                <w:sz w:val="16"/>
                <w:szCs w:val="16"/>
                <w:lang w:val="en-NZ"/>
              </w:rPr>
              <w:t>10-</w:t>
            </w:r>
            <w:r w:rsidRPr="00A27746">
              <w:rPr>
                <w:rFonts w:cs="Arial"/>
                <w:b/>
                <w:sz w:val="16"/>
                <w:szCs w:val="16"/>
                <w:lang w:val="en-NZ"/>
              </w:rPr>
              <w:t>11 HES</w:t>
            </w:r>
          </w:p>
        </w:tc>
        <w:tc>
          <w:tcPr>
            <w:tcW w:w="1985" w:type="dxa"/>
            <w:gridSpan w:val="2"/>
            <w:tcMar>
              <w:left w:w="57" w:type="dxa"/>
              <w:right w:w="57" w:type="dxa"/>
            </w:tcMar>
            <w:vAlign w:val="center"/>
          </w:tcPr>
          <w:p w:rsidR="007B3E55" w:rsidRPr="00A27746" w:rsidRDefault="007B3E55" w:rsidP="00614C04">
            <w:pPr>
              <w:spacing w:before="20" w:after="20"/>
              <w:jc w:val="center"/>
              <w:rPr>
                <w:rFonts w:cs="Arial"/>
                <w:b/>
                <w:sz w:val="16"/>
                <w:szCs w:val="16"/>
                <w:lang w:val="en-NZ"/>
              </w:rPr>
            </w:pPr>
            <w:r w:rsidRPr="00A27746">
              <w:rPr>
                <w:rFonts w:cs="Arial"/>
                <w:b/>
                <w:sz w:val="16"/>
                <w:szCs w:val="16"/>
                <w:lang w:val="en-NZ"/>
              </w:rPr>
              <w:t xml:space="preserve">Real changes </w:t>
            </w:r>
          </w:p>
        </w:tc>
        <w:tc>
          <w:tcPr>
            <w:tcW w:w="992" w:type="dxa"/>
            <w:vMerge w:val="restart"/>
            <w:shd w:val="clear" w:color="auto" w:fill="auto"/>
            <w:vAlign w:val="center"/>
          </w:tcPr>
          <w:p w:rsidR="007B3E55" w:rsidRPr="00A27746" w:rsidRDefault="007B3E55" w:rsidP="00614C04">
            <w:pPr>
              <w:spacing w:before="20" w:after="20"/>
              <w:jc w:val="center"/>
              <w:rPr>
                <w:rFonts w:cs="Arial"/>
                <w:b/>
                <w:sz w:val="16"/>
                <w:szCs w:val="16"/>
                <w:lang w:val="en-NZ"/>
              </w:rPr>
            </w:pPr>
            <w:r w:rsidRPr="00A27746">
              <w:rPr>
                <w:rFonts w:cs="Arial"/>
                <w:b/>
                <w:sz w:val="16"/>
                <w:szCs w:val="16"/>
                <w:lang w:val="en-NZ"/>
              </w:rPr>
              <w:t>201</w:t>
            </w:r>
            <w:r>
              <w:rPr>
                <w:rFonts w:cs="Arial"/>
                <w:b/>
                <w:sz w:val="16"/>
                <w:szCs w:val="16"/>
                <w:lang w:val="en-NZ"/>
              </w:rPr>
              <w:t>0-11</w:t>
            </w:r>
            <w:r w:rsidRPr="00A27746">
              <w:rPr>
                <w:rFonts w:cs="Arial"/>
                <w:b/>
                <w:sz w:val="16"/>
                <w:szCs w:val="16"/>
                <w:lang w:val="en-NZ"/>
              </w:rPr>
              <w:t xml:space="preserve"> HES</w:t>
            </w:r>
          </w:p>
        </w:tc>
        <w:tc>
          <w:tcPr>
            <w:tcW w:w="1985" w:type="dxa"/>
            <w:gridSpan w:val="2"/>
            <w:tcMar>
              <w:left w:w="57" w:type="dxa"/>
              <w:right w:w="57" w:type="dxa"/>
            </w:tcMar>
            <w:vAlign w:val="center"/>
          </w:tcPr>
          <w:p w:rsidR="007B3E55" w:rsidRPr="00A27746" w:rsidRDefault="007B3E55" w:rsidP="00614C04">
            <w:pPr>
              <w:spacing w:before="20" w:after="20"/>
              <w:jc w:val="center"/>
              <w:rPr>
                <w:rFonts w:cs="Arial"/>
                <w:b/>
                <w:sz w:val="16"/>
                <w:szCs w:val="16"/>
                <w:lang w:val="en-NZ"/>
              </w:rPr>
            </w:pPr>
            <w:r w:rsidRPr="00A27746">
              <w:rPr>
                <w:rFonts w:cs="Arial"/>
                <w:b/>
                <w:sz w:val="16"/>
                <w:szCs w:val="16"/>
                <w:lang w:val="en-NZ"/>
              </w:rPr>
              <w:t xml:space="preserve">Real changes </w:t>
            </w:r>
          </w:p>
        </w:tc>
      </w:tr>
      <w:tr w:rsidR="007B3E55">
        <w:trPr>
          <w:trHeight w:hRule="exact" w:val="482"/>
          <w:jc w:val="center"/>
        </w:trPr>
        <w:tc>
          <w:tcPr>
            <w:tcW w:w="2170" w:type="dxa"/>
            <w:vMerge/>
            <w:shd w:val="clear" w:color="auto" w:fill="auto"/>
            <w:vAlign w:val="center"/>
          </w:tcPr>
          <w:p w:rsidR="007B3E55" w:rsidRPr="00442218" w:rsidRDefault="007B3E55" w:rsidP="00614C04">
            <w:pPr>
              <w:spacing w:before="20" w:after="20"/>
              <w:rPr>
                <w:rFonts w:cs="Arial"/>
                <w:sz w:val="16"/>
                <w:szCs w:val="16"/>
                <w:lang w:val="en-NZ"/>
              </w:rPr>
            </w:pPr>
          </w:p>
        </w:tc>
        <w:tc>
          <w:tcPr>
            <w:tcW w:w="992" w:type="dxa"/>
            <w:vMerge/>
            <w:shd w:val="clear" w:color="auto" w:fill="auto"/>
            <w:vAlign w:val="center"/>
          </w:tcPr>
          <w:p w:rsidR="007B3E55" w:rsidRPr="00442218" w:rsidRDefault="007B3E55" w:rsidP="00614C04">
            <w:pPr>
              <w:spacing w:before="20" w:after="20"/>
              <w:jc w:val="center"/>
              <w:rPr>
                <w:rFonts w:cs="Arial"/>
                <w:sz w:val="16"/>
                <w:szCs w:val="16"/>
                <w:lang w:val="en-NZ"/>
              </w:rPr>
            </w:pPr>
          </w:p>
        </w:tc>
        <w:tc>
          <w:tcPr>
            <w:tcW w:w="925" w:type="dxa"/>
            <w:tcMar>
              <w:left w:w="57" w:type="dxa"/>
              <w:right w:w="57" w:type="dxa"/>
            </w:tcMar>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2009-10 to 2010-11</w:t>
            </w:r>
          </w:p>
        </w:tc>
        <w:tc>
          <w:tcPr>
            <w:tcW w:w="1060" w:type="dxa"/>
            <w:tcMar>
              <w:left w:w="57" w:type="dxa"/>
              <w:right w:w="57" w:type="dxa"/>
            </w:tcMar>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2008-09 to 2009-10</w:t>
            </w:r>
          </w:p>
        </w:tc>
        <w:tc>
          <w:tcPr>
            <w:tcW w:w="992" w:type="dxa"/>
            <w:vMerge/>
            <w:shd w:val="clear" w:color="auto" w:fill="auto"/>
            <w:vAlign w:val="center"/>
          </w:tcPr>
          <w:p w:rsidR="007B3E55" w:rsidRPr="00442218" w:rsidRDefault="007B3E55" w:rsidP="00614C04">
            <w:pPr>
              <w:spacing w:before="20" w:after="20"/>
              <w:jc w:val="center"/>
              <w:rPr>
                <w:rFonts w:cs="Arial"/>
                <w:sz w:val="16"/>
                <w:szCs w:val="16"/>
                <w:lang w:val="en-NZ"/>
              </w:rPr>
            </w:pPr>
          </w:p>
        </w:tc>
        <w:tc>
          <w:tcPr>
            <w:tcW w:w="992" w:type="dxa"/>
            <w:tcMar>
              <w:left w:w="57" w:type="dxa"/>
              <w:right w:w="57" w:type="dxa"/>
            </w:tcMar>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2009-10 to 2010-11</w:t>
            </w:r>
          </w:p>
        </w:tc>
        <w:tc>
          <w:tcPr>
            <w:tcW w:w="993" w:type="dxa"/>
            <w:tcMar>
              <w:left w:w="57" w:type="dxa"/>
              <w:right w:w="57" w:type="dxa"/>
            </w:tcMar>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2008-09 to 2009-10</w:t>
            </w:r>
          </w:p>
        </w:tc>
      </w:tr>
      <w:tr w:rsidR="007B3E55">
        <w:trPr>
          <w:trHeight w:hRule="exact" w:val="317"/>
          <w:jc w:val="center"/>
        </w:trPr>
        <w:tc>
          <w:tcPr>
            <w:tcW w:w="2170" w:type="dxa"/>
            <w:vAlign w:val="center"/>
          </w:tcPr>
          <w:p w:rsidR="007B3E55" w:rsidRPr="00442218" w:rsidRDefault="007B3E55" w:rsidP="00614C04">
            <w:pPr>
              <w:spacing w:before="20" w:after="20"/>
              <w:rPr>
                <w:rFonts w:cs="Arial"/>
                <w:sz w:val="16"/>
                <w:szCs w:val="16"/>
                <w:lang w:val="en-NZ"/>
              </w:rPr>
            </w:pPr>
            <w:r w:rsidRPr="00442218">
              <w:rPr>
                <w:rFonts w:cs="Arial"/>
                <w:sz w:val="16"/>
                <w:szCs w:val="16"/>
                <w:lang w:val="en-NZ"/>
              </w:rPr>
              <w:t>Gross</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$75,400</w:t>
            </w:r>
          </w:p>
        </w:tc>
        <w:tc>
          <w:tcPr>
            <w:tcW w:w="925"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-4.1%</w:t>
            </w:r>
          </w:p>
        </w:tc>
        <w:tc>
          <w:tcPr>
            <w:tcW w:w="1060"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-1.4%</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$94,100</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+1.0%</w:t>
            </w:r>
          </w:p>
        </w:tc>
        <w:tc>
          <w:tcPr>
            <w:tcW w:w="993"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-4.1%</w:t>
            </w:r>
          </w:p>
        </w:tc>
      </w:tr>
      <w:tr w:rsidR="007B3E55">
        <w:trPr>
          <w:trHeight w:hRule="exact" w:val="317"/>
          <w:jc w:val="center"/>
        </w:trPr>
        <w:tc>
          <w:tcPr>
            <w:tcW w:w="2170" w:type="dxa"/>
            <w:vAlign w:val="center"/>
          </w:tcPr>
          <w:p w:rsidR="007B3E55" w:rsidRPr="00442218" w:rsidRDefault="007B3E55" w:rsidP="00614C04">
            <w:pPr>
              <w:spacing w:before="20" w:after="20"/>
              <w:rPr>
                <w:rFonts w:cs="Arial"/>
                <w:sz w:val="16"/>
                <w:szCs w:val="16"/>
                <w:lang w:val="en-NZ"/>
              </w:rPr>
            </w:pPr>
            <w:r w:rsidRPr="00442218">
              <w:rPr>
                <w:rFonts w:cs="Arial"/>
                <w:sz w:val="16"/>
                <w:szCs w:val="16"/>
                <w:lang w:val="en-NZ"/>
              </w:rPr>
              <w:t>Disposable (</w:t>
            </w:r>
            <w:smartTag w:uri="urn:schemas-microsoft-com:office:smarttags" w:element="stockticker">
              <w:r w:rsidRPr="00442218">
                <w:rPr>
                  <w:rFonts w:cs="Arial"/>
                  <w:sz w:val="16"/>
                  <w:szCs w:val="16"/>
                  <w:lang w:val="en-NZ"/>
                </w:rPr>
                <w:t>BHC</w:t>
              </w:r>
            </w:smartTag>
            <w:r w:rsidRPr="00442218">
              <w:rPr>
                <w:rFonts w:cs="Arial"/>
                <w:sz w:val="16"/>
                <w:szCs w:val="16"/>
                <w:lang w:val="en-NZ"/>
              </w:rPr>
              <w:t>)</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$63,200</w:t>
            </w:r>
          </w:p>
        </w:tc>
        <w:tc>
          <w:tcPr>
            <w:tcW w:w="925"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-1.8%</w:t>
            </w:r>
          </w:p>
        </w:tc>
        <w:tc>
          <w:tcPr>
            <w:tcW w:w="1060"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-0.2%</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$76,400</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+2.0%</w:t>
            </w:r>
          </w:p>
        </w:tc>
        <w:tc>
          <w:tcPr>
            <w:tcW w:w="993"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-1.3%</w:t>
            </w:r>
          </w:p>
        </w:tc>
      </w:tr>
      <w:tr w:rsidR="007B3E55">
        <w:trPr>
          <w:trHeight w:hRule="exact" w:val="317"/>
          <w:jc w:val="center"/>
        </w:trPr>
        <w:tc>
          <w:tcPr>
            <w:tcW w:w="2170" w:type="dxa"/>
            <w:vAlign w:val="center"/>
          </w:tcPr>
          <w:p w:rsidR="007B3E55" w:rsidRPr="00442218" w:rsidRDefault="007B3E55" w:rsidP="00614C04">
            <w:pPr>
              <w:spacing w:before="20" w:after="20"/>
              <w:rPr>
                <w:rFonts w:cs="Arial"/>
                <w:sz w:val="16"/>
                <w:szCs w:val="16"/>
                <w:lang w:val="en-NZ"/>
              </w:rPr>
            </w:pPr>
            <w:r w:rsidRPr="00442218">
              <w:rPr>
                <w:rFonts w:cs="Arial"/>
                <w:sz w:val="16"/>
                <w:szCs w:val="16"/>
                <w:lang w:val="en-NZ"/>
              </w:rPr>
              <w:t>Disposable (</w:t>
            </w:r>
            <w:smartTag w:uri="urn:schemas-microsoft-com:office:smarttags" w:element="stockticker">
              <w:r w:rsidRPr="00442218">
                <w:rPr>
                  <w:rFonts w:cs="Arial"/>
                  <w:sz w:val="16"/>
                  <w:szCs w:val="16"/>
                  <w:lang w:val="en-NZ"/>
                </w:rPr>
                <w:t>AHC</w:t>
              </w:r>
            </w:smartTag>
            <w:r w:rsidRPr="00442218">
              <w:rPr>
                <w:rFonts w:cs="Arial"/>
                <w:sz w:val="16"/>
                <w:szCs w:val="16"/>
                <w:lang w:val="en-NZ"/>
              </w:rPr>
              <w:t>)</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$49,700</w:t>
            </w:r>
          </w:p>
        </w:tc>
        <w:tc>
          <w:tcPr>
            <w:tcW w:w="925"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-4.1%</w:t>
            </w:r>
          </w:p>
        </w:tc>
        <w:tc>
          <w:tcPr>
            <w:tcW w:w="1060"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+2.5%</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$62,700</w:t>
            </w:r>
          </w:p>
        </w:tc>
        <w:tc>
          <w:tcPr>
            <w:tcW w:w="992"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+0.9%</w:t>
            </w:r>
          </w:p>
        </w:tc>
        <w:tc>
          <w:tcPr>
            <w:tcW w:w="993" w:type="dxa"/>
            <w:vAlign w:val="center"/>
          </w:tcPr>
          <w:p w:rsidR="007B3E55" w:rsidRPr="00442218" w:rsidRDefault="007B3E55" w:rsidP="00614C04">
            <w:pPr>
              <w:spacing w:before="20" w:after="20"/>
              <w:jc w:val="center"/>
              <w:rPr>
                <w:rFonts w:cs="Arial"/>
                <w:sz w:val="16"/>
                <w:szCs w:val="16"/>
                <w:lang w:val="en-NZ"/>
              </w:rPr>
            </w:pPr>
            <w:r>
              <w:rPr>
                <w:rFonts w:cs="Arial"/>
                <w:sz w:val="16"/>
                <w:szCs w:val="16"/>
                <w:lang w:val="en-NZ"/>
              </w:rPr>
              <w:t>+0.1%</w:t>
            </w:r>
          </w:p>
        </w:tc>
      </w:tr>
      <w:tr w:rsidR="007B3E55">
        <w:trPr>
          <w:trHeight w:hRule="exact" w:val="317"/>
          <w:jc w:val="center"/>
        </w:trPr>
        <w:tc>
          <w:tcPr>
            <w:tcW w:w="2170" w:type="dxa"/>
            <w:vAlign w:val="center"/>
          </w:tcPr>
          <w:p w:rsidR="007B3E55" w:rsidRPr="00442218" w:rsidRDefault="007B3E55" w:rsidP="00614C04">
            <w:pPr>
              <w:spacing w:before="20" w:after="20"/>
              <w:rPr>
                <w:rFonts w:cs="Arial"/>
                <w:b/>
                <w:sz w:val="16"/>
                <w:szCs w:val="16"/>
                <w:lang w:val="en-NZ"/>
              </w:rPr>
            </w:pPr>
            <w:r w:rsidRPr="00442218">
              <w:rPr>
                <w:rFonts w:cs="Arial"/>
                <w:b/>
                <w:sz w:val="16"/>
                <w:szCs w:val="16"/>
                <w:lang w:val="en-NZ"/>
              </w:rPr>
              <w:t>Equiv disposable (</w:t>
            </w:r>
            <w:smartTag w:uri="urn:schemas-microsoft-com:office:smarttags" w:element="stockticker">
              <w:r w:rsidRPr="00442218">
                <w:rPr>
                  <w:rFonts w:cs="Arial"/>
                  <w:b/>
                  <w:sz w:val="16"/>
                  <w:szCs w:val="16"/>
                  <w:lang w:val="en-NZ"/>
                </w:rPr>
                <w:t>BHC</w:t>
              </w:r>
            </w:smartTag>
            <w:r w:rsidRPr="00442218">
              <w:rPr>
                <w:rFonts w:cs="Arial"/>
                <w:b/>
                <w:sz w:val="16"/>
                <w:szCs w:val="16"/>
                <w:lang w:val="en-NZ"/>
              </w:rPr>
              <w:t>)</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$31,900</w:t>
            </w:r>
          </w:p>
        </w:tc>
        <w:tc>
          <w:tcPr>
            <w:tcW w:w="925"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-3.0%</w:t>
            </w:r>
          </w:p>
        </w:tc>
        <w:tc>
          <w:tcPr>
            <w:tcW w:w="1060"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-+1.1%</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$39,000</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+1.3%</w:t>
            </w:r>
          </w:p>
        </w:tc>
        <w:tc>
          <w:tcPr>
            <w:tcW w:w="993"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-1.3%</w:t>
            </w:r>
          </w:p>
        </w:tc>
      </w:tr>
      <w:tr w:rsidR="007B3E55">
        <w:trPr>
          <w:trHeight w:hRule="exact" w:val="317"/>
          <w:jc w:val="center"/>
        </w:trPr>
        <w:tc>
          <w:tcPr>
            <w:tcW w:w="2170" w:type="dxa"/>
            <w:vAlign w:val="center"/>
          </w:tcPr>
          <w:p w:rsidR="007B3E55" w:rsidRPr="00442218" w:rsidRDefault="007B3E55" w:rsidP="00614C04">
            <w:pPr>
              <w:spacing w:before="20" w:after="20"/>
              <w:rPr>
                <w:rFonts w:cs="Arial"/>
                <w:b/>
                <w:sz w:val="16"/>
                <w:szCs w:val="16"/>
                <w:lang w:val="en-NZ"/>
              </w:rPr>
            </w:pPr>
            <w:r w:rsidRPr="00442218">
              <w:rPr>
                <w:rFonts w:cs="Arial"/>
                <w:b/>
                <w:sz w:val="16"/>
                <w:szCs w:val="16"/>
                <w:lang w:val="en-NZ"/>
              </w:rPr>
              <w:t>Equiv</w:t>
            </w:r>
            <w:r>
              <w:rPr>
                <w:rFonts w:cs="Arial"/>
                <w:b/>
                <w:sz w:val="16"/>
                <w:szCs w:val="16"/>
                <w:lang w:val="en-NZ"/>
              </w:rPr>
              <w:t xml:space="preserve"> </w:t>
            </w:r>
            <w:r w:rsidRPr="00442218">
              <w:rPr>
                <w:rFonts w:cs="Arial"/>
                <w:b/>
                <w:sz w:val="16"/>
                <w:szCs w:val="16"/>
                <w:lang w:val="en-NZ"/>
              </w:rPr>
              <w:t>disposable (</w:t>
            </w:r>
            <w:smartTag w:uri="urn:schemas-microsoft-com:office:smarttags" w:element="stockticker">
              <w:r w:rsidRPr="00442218">
                <w:rPr>
                  <w:rFonts w:cs="Arial"/>
                  <w:b/>
                  <w:sz w:val="16"/>
                  <w:szCs w:val="16"/>
                  <w:lang w:val="en-NZ"/>
                </w:rPr>
                <w:t>AHC</w:t>
              </w:r>
            </w:smartTag>
            <w:r w:rsidRPr="00442218">
              <w:rPr>
                <w:rFonts w:cs="Arial"/>
                <w:b/>
                <w:sz w:val="16"/>
                <w:szCs w:val="16"/>
                <w:lang w:val="en-NZ"/>
              </w:rPr>
              <w:t>)</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$24,900</w:t>
            </w:r>
          </w:p>
        </w:tc>
        <w:tc>
          <w:tcPr>
            <w:tcW w:w="925"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-3.8%</w:t>
            </w:r>
          </w:p>
        </w:tc>
        <w:tc>
          <w:tcPr>
            <w:tcW w:w="1060"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+2.0%</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$31,900</w:t>
            </w:r>
          </w:p>
        </w:tc>
        <w:tc>
          <w:tcPr>
            <w:tcW w:w="992"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+0.1%</w:t>
            </w:r>
          </w:p>
        </w:tc>
        <w:tc>
          <w:tcPr>
            <w:tcW w:w="993" w:type="dxa"/>
            <w:vAlign w:val="center"/>
          </w:tcPr>
          <w:p w:rsidR="007B3E55" w:rsidRPr="00442218" w:rsidRDefault="007B3E55" w:rsidP="00614C04">
            <w:pPr>
              <w:spacing w:before="20" w:after="20"/>
              <w:jc w:val="center"/>
              <w:rPr>
                <w:rFonts w:cs="Arial"/>
                <w:b/>
                <w:sz w:val="16"/>
                <w:szCs w:val="16"/>
                <w:lang w:val="en-NZ"/>
              </w:rPr>
            </w:pPr>
            <w:r>
              <w:rPr>
                <w:rFonts w:cs="Arial"/>
                <w:b/>
                <w:sz w:val="16"/>
                <w:szCs w:val="16"/>
                <w:lang w:val="en-NZ"/>
              </w:rPr>
              <w:t>+0.2%</w:t>
            </w:r>
          </w:p>
        </w:tc>
      </w:tr>
    </w:tbl>
    <w:p w:rsidR="007B3E55" w:rsidRPr="005B4EB7" w:rsidRDefault="007B3E55" w:rsidP="007B3E55">
      <w:pPr>
        <w:spacing w:before="120"/>
        <w:ind w:left="810" w:right="281" w:hanging="536"/>
        <w:jc w:val="both"/>
        <w:rPr>
          <w:rFonts w:cs="Arial"/>
          <w:sz w:val="16"/>
          <w:szCs w:val="16"/>
          <w:lang w:val="en-NZ"/>
        </w:rPr>
      </w:pPr>
      <w:bookmarkStart w:id="15" w:name="_Toc115142423"/>
      <w:r w:rsidRPr="005B4EB7">
        <w:rPr>
          <w:rFonts w:cs="Arial"/>
          <w:sz w:val="16"/>
          <w:szCs w:val="16"/>
          <w:lang w:val="en-NZ"/>
        </w:rPr>
        <w:t xml:space="preserve">Note: </w:t>
      </w:r>
      <w:r w:rsidRPr="005B4EB7">
        <w:rPr>
          <w:rFonts w:cs="Arial"/>
          <w:sz w:val="16"/>
          <w:szCs w:val="16"/>
          <w:lang w:val="en-NZ"/>
        </w:rPr>
        <w:tab/>
        <w:t xml:space="preserve">The equivalised income rows in the table (the bottom two) use the one person household as the reference.  The unit is ‘dollars per equivalent adult’.  </w:t>
      </w:r>
    </w:p>
    <w:p w:rsidR="007B3E55" w:rsidRDefault="007B3E55" w:rsidP="007B3E55">
      <w:pPr>
        <w:jc w:val="both"/>
        <w:rPr>
          <w:rFonts w:cs="Arial"/>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Medians are calculated by assigning individuals the income of their household, ranking the individuals and finding the middle one.  This person-weighted approach is different from the household-weighted approach which simply ranks households by their income and finds the middle household.  The person-weighted approach is the international standard for the sort of analysis carried out for this report.  See </w:t>
      </w:r>
      <w:r w:rsidRPr="001F42D8">
        <w:rPr>
          <w:rFonts w:cs="Arial"/>
          <w:b/>
          <w:sz w:val="20"/>
          <w:szCs w:val="22"/>
          <w:lang w:val="en-NZ"/>
        </w:rPr>
        <w:t>Appendix 4</w:t>
      </w:r>
      <w:r w:rsidRPr="001F42D8">
        <w:rPr>
          <w:rFonts w:cs="Arial"/>
          <w:sz w:val="20"/>
          <w:szCs w:val="22"/>
          <w:lang w:val="en-NZ"/>
        </w:rPr>
        <w:t xml:space="preserve"> for further information.</w:t>
      </w:r>
    </w:p>
    <w:p w:rsidR="007B3E55" w:rsidRPr="001F42D8" w:rsidRDefault="007B3E55" w:rsidP="007B3E55">
      <w:pPr>
        <w:jc w:val="both"/>
        <w:rPr>
          <w:rFonts w:cs="Arial"/>
          <w:sz w:val="20"/>
          <w:szCs w:val="22"/>
          <w:lang w:val="en-NZ"/>
        </w:rPr>
      </w:pPr>
    </w:p>
    <w:p w:rsidR="007B3E55" w:rsidRDefault="007B3E55" w:rsidP="007B3E55">
      <w:pPr>
        <w:jc w:val="both"/>
        <w:rPr>
          <w:rFonts w:cs="Arial"/>
          <w:b/>
          <w:szCs w:val="22"/>
          <w:lang w:val="en-NZ"/>
        </w:rPr>
      </w:pPr>
      <w:r w:rsidRPr="001F42D8">
        <w:rPr>
          <w:rFonts w:cs="Arial"/>
          <w:sz w:val="20"/>
          <w:szCs w:val="22"/>
          <w:lang w:val="en-NZ"/>
        </w:rPr>
        <w:t xml:space="preserve">Mean incomes are higher than median incomes because of the skew of the income distribution towards the lower end.  The relatively few households with incomes at the very upper ranges of the </w:t>
      </w:r>
      <w:r w:rsidRPr="001F42D8">
        <w:rPr>
          <w:rFonts w:cs="Arial"/>
          <w:sz w:val="20"/>
          <w:szCs w:val="22"/>
          <w:lang w:val="en-NZ"/>
        </w:rPr>
        <w:lastRenderedPageBreak/>
        <w:t xml:space="preserve">income distribution have a disproportionately large upward impact on the mean compared with their impact on the median, and therefore pull the mean up above the median.  The </w:t>
      </w:r>
      <w:r>
        <w:rPr>
          <w:rFonts w:cs="Arial"/>
          <w:sz w:val="20"/>
          <w:szCs w:val="22"/>
          <w:lang w:val="en-NZ"/>
        </w:rPr>
        <w:t xml:space="preserve">varying </w:t>
      </w:r>
      <w:r w:rsidRPr="001F42D8">
        <w:rPr>
          <w:rFonts w:cs="Arial"/>
          <w:sz w:val="20"/>
          <w:szCs w:val="22"/>
          <w:lang w:val="en-NZ"/>
        </w:rPr>
        <w:t xml:space="preserve">number of very high income households in </w:t>
      </w:r>
      <w:r>
        <w:rPr>
          <w:rFonts w:cs="Arial"/>
          <w:sz w:val="20"/>
          <w:szCs w:val="22"/>
          <w:lang w:val="en-NZ"/>
        </w:rPr>
        <w:t>different years</w:t>
      </w:r>
      <w:r w:rsidRPr="001F42D8">
        <w:rPr>
          <w:rFonts w:cs="Arial"/>
          <w:sz w:val="20"/>
          <w:szCs w:val="22"/>
          <w:lang w:val="en-NZ"/>
        </w:rPr>
        <w:t xml:space="preserve"> can also lead to the mean being less stable than the median.</w:t>
      </w:r>
    </w:p>
    <w:p w:rsidR="007B3E55" w:rsidRDefault="007B3E55" w:rsidP="007B3E55">
      <w:pPr>
        <w:jc w:val="both"/>
        <w:rPr>
          <w:rFonts w:cs="Arial"/>
          <w:b/>
          <w:sz w:val="20"/>
          <w:szCs w:val="22"/>
          <w:lang w:val="en-NZ"/>
        </w:rPr>
      </w:pPr>
    </w:p>
    <w:p w:rsidR="007B3E55" w:rsidRPr="001F42D8" w:rsidRDefault="007B3E55" w:rsidP="007B3E55">
      <w:pPr>
        <w:jc w:val="both"/>
        <w:rPr>
          <w:rFonts w:cs="Arial"/>
          <w:b/>
          <w:sz w:val="20"/>
          <w:szCs w:val="22"/>
          <w:lang w:val="en-NZ"/>
        </w:rPr>
      </w:pPr>
      <w:r w:rsidRPr="001F42D8">
        <w:rPr>
          <w:rFonts w:cs="Arial"/>
          <w:b/>
          <w:sz w:val="20"/>
          <w:szCs w:val="22"/>
          <w:lang w:val="en-NZ"/>
        </w:rPr>
        <w:t>Medians for households of different types</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The overall median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w:t>
      </w:r>
      <w:r>
        <w:rPr>
          <w:rFonts w:cs="Arial"/>
          <w:sz w:val="20"/>
          <w:szCs w:val="22"/>
          <w:lang w:val="en-NZ"/>
        </w:rPr>
        <w:t xml:space="preserve">household </w:t>
      </w:r>
      <w:r w:rsidRPr="001F42D8">
        <w:rPr>
          <w:rFonts w:cs="Arial"/>
          <w:sz w:val="20"/>
          <w:szCs w:val="22"/>
          <w:lang w:val="en-NZ"/>
        </w:rPr>
        <w:t xml:space="preserve">disposable income in </w:t>
      </w:r>
      <w:r>
        <w:rPr>
          <w:rFonts w:cs="Arial"/>
          <w:sz w:val="20"/>
          <w:szCs w:val="22"/>
          <w:lang w:val="en-NZ"/>
        </w:rPr>
        <w:t>the 2011 HES</w:t>
      </w:r>
      <w:r w:rsidRPr="001F42D8">
        <w:rPr>
          <w:rFonts w:cs="Arial"/>
          <w:sz w:val="20"/>
          <w:szCs w:val="22"/>
          <w:lang w:val="en-NZ"/>
        </w:rPr>
        <w:t xml:space="preserve"> was $</w:t>
      </w:r>
      <w:r>
        <w:rPr>
          <w:rFonts w:cs="Arial"/>
          <w:sz w:val="20"/>
          <w:szCs w:val="22"/>
          <w:lang w:val="en-NZ"/>
        </w:rPr>
        <w:t>63,200</w:t>
      </w:r>
      <w:r w:rsidRPr="001F42D8">
        <w:rPr>
          <w:rFonts w:cs="Arial"/>
          <w:sz w:val="20"/>
          <w:szCs w:val="22"/>
          <w:lang w:val="en-NZ"/>
        </w:rPr>
        <w:t xml:space="preserve"> (ordinary dollars).  In equivalised terms this is </w:t>
      </w:r>
      <w:r>
        <w:rPr>
          <w:rFonts w:cs="Arial"/>
          <w:sz w:val="20"/>
          <w:szCs w:val="22"/>
          <w:lang w:val="en-NZ"/>
        </w:rPr>
        <w:t>31</w:t>
      </w:r>
      <w:r w:rsidRPr="001F42D8">
        <w:rPr>
          <w:rFonts w:cs="Arial"/>
          <w:sz w:val="20"/>
          <w:szCs w:val="22"/>
          <w:lang w:val="en-NZ"/>
        </w:rPr>
        <w:t>,</w:t>
      </w:r>
      <w:r>
        <w:rPr>
          <w:rFonts w:cs="Arial"/>
          <w:sz w:val="20"/>
          <w:szCs w:val="22"/>
          <w:lang w:val="en-NZ"/>
        </w:rPr>
        <w:t>6</w:t>
      </w:r>
      <w:r w:rsidRPr="001F42D8">
        <w:rPr>
          <w:rFonts w:cs="Arial"/>
          <w:sz w:val="20"/>
          <w:szCs w:val="22"/>
          <w:lang w:val="en-NZ"/>
        </w:rPr>
        <w:t xml:space="preserve">00 dollars per equivalent adult.  </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Different household types have different median incomes, some above and some below the overall median.  For example, the median household income for households comprising a couple plus one dependent child </w:t>
      </w:r>
      <w:r>
        <w:rPr>
          <w:rFonts w:cs="Arial"/>
          <w:sz w:val="20"/>
          <w:szCs w:val="22"/>
          <w:lang w:val="en-NZ"/>
        </w:rPr>
        <w:t>was</w:t>
      </w:r>
      <w:r w:rsidRPr="001F42D8">
        <w:rPr>
          <w:rFonts w:cs="Arial"/>
          <w:sz w:val="20"/>
          <w:szCs w:val="22"/>
          <w:lang w:val="en-NZ"/>
        </w:rPr>
        <w:t xml:space="preserve"> $</w:t>
      </w:r>
      <w:r>
        <w:rPr>
          <w:rFonts w:cs="Arial"/>
          <w:sz w:val="20"/>
          <w:szCs w:val="22"/>
          <w:lang w:val="en-NZ"/>
        </w:rPr>
        <w:t>69,700</w:t>
      </w:r>
      <w:r w:rsidRPr="001F42D8">
        <w:rPr>
          <w:rFonts w:cs="Arial"/>
          <w:sz w:val="20"/>
          <w:szCs w:val="22"/>
          <w:lang w:val="en-NZ"/>
        </w:rPr>
        <w:t xml:space="preserve"> in ordinary dollars and $</w:t>
      </w:r>
      <w:r>
        <w:rPr>
          <w:rFonts w:cs="Arial"/>
          <w:sz w:val="20"/>
          <w:szCs w:val="22"/>
          <w:lang w:val="en-NZ"/>
        </w:rPr>
        <w:t>33,200</w:t>
      </w:r>
      <w:r w:rsidRPr="001F42D8">
        <w:rPr>
          <w:rFonts w:cs="Arial"/>
          <w:sz w:val="20"/>
          <w:szCs w:val="22"/>
          <w:lang w:val="en-NZ"/>
        </w:rPr>
        <w:t xml:space="preserve"> when the ranking is done by equivalised household incomes (ie </w:t>
      </w:r>
      <w:r>
        <w:rPr>
          <w:rFonts w:cs="Arial"/>
          <w:sz w:val="20"/>
          <w:szCs w:val="22"/>
          <w:lang w:val="en-NZ"/>
        </w:rPr>
        <w:t>33,200</w:t>
      </w:r>
      <w:r w:rsidRPr="001F42D8">
        <w:rPr>
          <w:rFonts w:cs="Arial"/>
          <w:sz w:val="20"/>
          <w:szCs w:val="22"/>
          <w:lang w:val="en-NZ"/>
        </w:rPr>
        <w:t xml:space="preserve"> dollars per equivalent adult).   </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b/>
          <w:sz w:val="20"/>
          <w:szCs w:val="22"/>
          <w:lang w:val="en-NZ"/>
        </w:rPr>
        <w:t>Table B.2</w:t>
      </w:r>
      <w:r w:rsidRPr="001F42D8">
        <w:rPr>
          <w:rFonts w:cs="Arial"/>
          <w:sz w:val="20"/>
          <w:szCs w:val="22"/>
          <w:lang w:val="en-NZ"/>
        </w:rPr>
        <w:t xml:space="preserve"> shows the median disposable incomes (</w:t>
      </w:r>
      <w:smartTag w:uri="urn:schemas-microsoft-com:office:smarttags" w:element="stockticker">
        <w:r w:rsidRPr="001F42D8">
          <w:rPr>
            <w:rFonts w:cs="Arial"/>
            <w:sz w:val="20"/>
            <w:szCs w:val="22"/>
            <w:lang w:val="en-NZ"/>
          </w:rPr>
          <w:t>BHC</w:t>
        </w:r>
      </w:smartTag>
      <w:r w:rsidRPr="001F42D8">
        <w:rPr>
          <w:rFonts w:cs="Arial"/>
          <w:sz w:val="20"/>
          <w:szCs w:val="22"/>
          <w:lang w:val="en-NZ"/>
        </w:rPr>
        <w:t>) of different household types using incomes before equivalising (centre column) and after equivalising the household incomes (right hand column).</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b/>
          <w:sz w:val="20"/>
          <w:szCs w:val="22"/>
          <w:lang w:val="en-NZ"/>
        </w:rPr>
        <w:t>Table B.3</w:t>
      </w:r>
      <w:r w:rsidRPr="001F42D8">
        <w:rPr>
          <w:rFonts w:cs="Arial"/>
          <w:sz w:val="20"/>
          <w:szCs w:val="22"/>
          <w:lang w:val="en-NZ"/>
        </w:rPr>
        <w:t xml:space="preserve"> shows the same information for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incomes.</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Tables B.2 and B.3 show that the median equivalised household incomes for older on</w:t>
      </w:r>
      <w:r>
        <w:rPr>
          <w:rFonts w:cs="Arial"/>
          <w:sz w:val="20"/>
          <w:szCs w:val="22"/>
          <w:lang w:val="en-NZ"/>
        </w:rPr>
        <w:t>e-person and couple households</w:t>
      </w:r>
      <w:r w:rsidRPr="001F42D8">
        <w:rPr>
          <w:rFonts w:cs="Arial"/>
          <w:sz w:val="20"/>
          <w:szCs w:val="22"/>
          <w:lang w:val="en-NZ"/>
        </w:rPr>
        <w:t>, sole-parent households, larger two-parent households and for other family households with children are all below the overall median.  This means that these households are all more concentrated in the lower half of the equivalised income distribution.</w:t>
      </w:r>
    </w:p>
    <w:p w:rsidR="007B3E55" w:rsidRPr="001F42D8" w:rsidRDefault="007B3E55" w:rsidP="007B3E55">
      <w:pPr>
        <w:ind w:left="360"/>
        <w:jc w:val="both"/>
        <w:rPr>
          <w:rFonts w:cs="Arial"/>
          <w:sz w:val="20"/>
          <w:szCs w:val="22"/>
          <w:lang w:val="en-NZ"/>
        </w:rPr>
      </w:pPr>
    </w:p>
    <w:p w:rsidR="007B3E55" w:rsidRDefault="007B3E55" w:rsidP="007B3E55">
      <w:pPr>
        <w:jc w:val="both"/>
        <w:rPr>
          <w:rFonts w:cs="Arial"/>
          <w:sz w:val="20"/>
          <w:szCs w:val="22"/>
          <w:lang w:val="en-NZ"/>
        </w:rPr>
      </w:pPr>
      <w:r w:rsidRPr="001F42D8">
        <w:rPr>
          <w:rFonts w:cs="Arial"/>
          <w:sz w:val="20"/>
          <w:szCs w:val="22"/>
          <w:lang w:val="en-NZ"/>
        </w:rPr>
        <w:t xml:space="preserve">On the other hand, ‘working age’ couple-only households, two parent with </w:t>
      </w:r>
      <w:r>
        <w:rPr>
          <w:rFonts w:cs="Arial"/>
          <w:sz w:val="20"/>
          <w:szCs w:val="22"/>
          <w:lang w:val="en-NZ"/>
        </w:rPr>
        <w:t xml:space="preserve">one </w:t>
      </w:r>
      <w:r w:rsidRPr="001F42D8">
        <w:rPr>
          <w:rFonts w:cs="Arial"/>
          <w:sz w:val="20"/>
          <w:szCs w:val="22"/>
          <w:lang w:val="en-NZ"/>
        </w:rPr>
        <w:t>dependent child households and family households with no dependent children have equivalised medians above the overall median and are therefore more concentrated in the upper half of the equivalised income distribution.</w:t>
      </w:r>
    </w:p>
    <w:p w:rsidR="007B3E55" w:rsidRDefault="007B3E55" w:rsidP="007B3E55">
      <w:pPr>
        <w:jc w:val="both"/>
        <w:rPr>
          <w:rFonts w:cs="Arial"/>
          <w:szCs w:val="22"/>
          <w:lang w:val="en-NZ"/>
        </w:rPr>
      </w:pPr>
    </w:p>
    <w:p w:rsidR="007B3E55" w:rsidRDefault="007B3E55" w:rsidP="007B3E55">
      <w:pPr>
        <w:jc w:val="both"/>
        <w:rPr>
          <w:rFonts w:cs="Arial"/>
          <w:szCs w:val="22"/>
          <w:lang w:val="en-NZ"/>
        </w:rPr>
      </w:pPr>
    </w:p>
    <w:p w:rsidR="007B3E55" w:rsidRPr="005915F2" w:rsidRDefault="007B3E55" w:rsidP="007B3E55">
      <w:pPr>
        <w:jc w:val="both"/>
        <w:rPr>
          <w:rFonts w:cs="Arial"/>
          <w:szCs w:val="22"/>
          <w:lang w:val="en-NZ"/>
        </w:rPr>
      </w:pPr>
      <w:r>
        <w:rPr>
          <w:rFonts w:cs="Arial"/>
          <w:b/>
          <w:noProof/>
          <w:sz w:val="20"/>
          <w:lang w:val="en-US"/>
        </w:rPr>
        <w:pict>
          <v:shape id="_x0000_s1196" type="#_x0000_t202" style="position:absolute;left:0;text-align:left;margin-left:19.25pt;margin-top:4.1pt;width:400.6pt;height:302.6pt;z-index:251645440">
            <v:textbox style="mso-next-textbox:#_x0000_s1196">
              <w:txbxContent>
                <w:p w:rsidR="00DE4A2A" w:rsidRPr="00BC2AFD" w:rsidRDefault="00DE4A2A" w:rsidP="007B3E55">
                  <w:pPr>
                    <w:spacing w:before="120"/>
                    <w:ind w:left="86" w:right="86"/>
                    <w:jc w:val="center"/>
                    <w:rPr>
                      <w:b/>
                      <w:sz w:val="18"/>
                    </w:rPr>
                  </w:pPr>
                  <w:r w:rsidRPr="00BC2AFD">
                    <w:rPr>
                      <w:b/>
                      <w:sz w:val="18"/>
                    </w:rPr>
                    <w:t>Reconciling Table A.1 with Tables B.2 and B.3</w:t>
                  </w:r>
                </w:p>
                <w:p w:rsidR="00DE4A2A" w:rsidRPr="001F42D8" w:rsidRDefault="00DE4A2A" w:rsidP="007B3E55">
                  <w:pPr>
                    <w:spacing w:before="120"/>
                    <w:ind w:left="86" w:right="86"/>
                    <w:jc w:val="both"/>
                    <w:rPr>
                      <w:rFonts w:cs="Arial"/>
                      <w:sz w:val="18"/>
                      <w:lang w:val="en-NZ"/>
                    </w:rPr>
                  </w:pPr>
                  <w:r w:rsidRPr="001F42D8">
                    <w:rPr>
                      <w:sz w:val="18"/>
                    </w:rPr>
                    <w:t>This</w:t>
                  </w:r>
                  <w:r w:rsidRPr="001F42D8">
                    <w:rPr>
                      <w:rFonts w:cs="Arial"/>
                      <w:sz w:val="18"/>
                      <w:lang w:val="en-NZ"/>
                    </w:rPr>
                    <w:t xml:space="preserve"> report uses the one person HH as the reference for the equivalising process. The unit is dollars per equivalent adult.  To convert ordinary disposable income to equivalised incomes for a particular HH type, the ordinary incomes need to be divided by the appropriate equivalence ratio listed in Table A.1 in the Introduction.   For example for a (2,1) household, divide by 1.86.  This means that a (2,1) HH with a disposable income of $65,500 has an equivalised disposable income of $35,200 (ie 35,200 dollars per equivalent adult).  (65,500 / 1.86 = 35,200)</w:t>
                  </w:r>
                </w:p>
                <w:p w:rsidR="00DE4A2A" w:rsidRPr="001F42D8" w:rsidRDefault="00DE4A2A" w:rsidP="007B3E55">
                  <w:pPr>
                    <w:ind w:left="90" w:right="90"/>
                    <w:jc w:val="both"/>
                    <w:rPr>
                      <w:rFonts w:cs="Arial"/>
                      <w:sz w:val="18"/>
                      <w:lang w:val="en-NZ"/>
                    </w:rPr>
                  </w:pPr>
                </w:p>
                <w:p w:rsidR="00DE4A2A" w:rsidRPr="001F42D8" w:rsidRDefault="00DE4A2A" w:rsidP="007B3E55">
                  <w:pPr>
                    <w:ind w:left="90" w:right="90"/>
                    <w:jc w:val="both"/>
                    <w:rPr>
                      <w:rFonts w:cs="Arial"/>
                      <w:sz w:val="18"/>
                      <w:lang w:val="en-NZ"/>
                    </w:rPr>
                  </w:pPr>
                  <w:r w:rsidRPr="001F42D8">
                    <w:rPr>
                      <w:rFonts w:cs="Arial"/>
                      <w:sz w:val="18"/>
                      <w:lang w:val="en-NZ"/>
                    </w:rPr>
                    <w:t>This relatively simple conversion can be applied to any individual HH.  It cannot however be generally applied to medians of the population as a whole or of any subgroup of the population.  There are three reasons for this:</w:t>
                  </w:r>
                </w:p>
                <w:p w:rsidR="00DE4A2A" w:rsidRPr="001F42D8" w:rsidRDefault="00DE4A2A" w:rsidP="00614C04">
                  <w:pPr>
                    <w:numPr>
                      <w:ilvl w:val="0"/>
                      <w:numId w:val="42"/>
                    </w:numPr>
                    <w:tabs>
                      <w:tab w:val="clear" w:pos="810"/>
                      <w:tab w:val="num" w:pos="720"/>
                    </w:tabs>
                    <w:spacing w:before="60"/>
                    <w:ind w:left="720" w:right="86" w:hanging="274"/>
                    <w:jc w:val="both"/>
                    <w:rPr>
                      <w:rFonts w:cs="Arial"/>
                      <w:sz w:val="18"/>
                      <w:lang w:val="en-NZ"/>
                    </w:rPr>
                  </w:pPr>
                  <w:r w:rsidRPr="001F42D8">
                    <w:rPr>
                      <w:rFonts w:cs="Arial"/>
                      <w:sz w:val="18"/>
                      <w:lang w:val="en-NZ"/>
                    </w:rPr>
                    <w:t>For the population as a whole, the concept of equivalence ratio is meaningless as individuals come from a range of different HH types, and different equivalence ratios apply to each of these.</w:t>
                  </w:r>
                </w:p>
                <w:p w:rsidR="00DE4A2A" w:rsidRPr="001F42D8" w:rsidRDefault="00DE4A2A" w:rsidP="00614C04">
                  <w:pPr>
                    <w:numPr>
                      <w:ilvl w:val="0"/>
                      <w:numId w:val="42"/>
                    </w:numPr>
                    <w:tabs>
                      <w:tab w:val="clear" w:pos="810"/>
                      <w:tab w:val="num" w:pos="720"/>
                    </w:tabs>
                    <w:spacing w:before="60"/>
                    <w:ind w:left="720" w:right="86" w:hanging="274"/>
                    <w:jc w:val="both"/>
                    <w:rPr>
                      <w:rFonts w:cs="Arial"/>
                      <w:sz w:val="18"/>
                      <w:lang w:val="en-NZ"/>
                    </w:rPr>
                  </w:pPr>
                  <w:r w:rsidRPr="001F42D8">
                    <w:rPr>
                      <w:rFonts w:cs="Arial"/>
                      <w:sz w:val="18"/>
                      <w:lang w:val="en-NZ"/>
                    </w:rPr>
                    <w:t>For some subgroups (eg ‘other family households with children’),  no equivalence ratio is defined as there are unknown numbers of children and adults in each HH in this group.</w:t>
                  </w:r>
                </w:p>
                <w:p w:rsidR="00DE4A2A" w:rsidRPr="001F42D8" w:rsidRDefault="00DE4A2A" w:rsidP="00614C04">
                  <w:pPr>
                    <w:numPr>
                      <w:ilvl w:val="0"/>
                      <w:numId w:val="42"/>
                    </w:numPr>
                    <w:tabs>
                      <w:tab w:val="clear" w:pos="810"/>
                      <w:tab w:val="num" w:pos="720"/>
                    </w:tabs>
                    <w:spacing w:before="60"/>
                    <w:ind w:left="720" w:right="86" w:hanging="274"/>
                    <w:jc w:val="both"/>
                    <w:rPr>
                      <w:rFonts w:cs="Arial"/>
                      <w:sz w:val="18"/>
                      <w:lang w:val="en-NZ"/>
                    </w:rPr>
                  </w:pPr>
                  <w:r w:rsidRPr="001F42D8">
                    <w:rPr>
                      <w:rFonts w:cs="Arial"/>
                      <w:sz w:val="18"/>
                      <w:lang w:val="en-NZ"/>
                    </w:rPr>
                    <w:t>For any subgroup of HHs which have children, children of different ages are assigned a slightly different equivalence ratio when using the 1988 Revised Jensen scale.  This means that the ranking of individuals using equivalised incomes can end up slightly different than the ranking of individuals using ordinary household incomes for the same HH type (eg couple plus one dependent child). This leads to the equivalised median being not quite the same as the ‘ordinary’ income divided by the appropriate equivalence ratio.  Note that for couple HHs without children, the simple conversion does work.  See Tables B.2 and B.3.</w:t>
                  </w:r>
                </w:p>
              </w:txbxContent>
            </v:textbox>
          </v:shape>
        </w:pict>
      </w:r>
    </w:p>
    <w:p w:rsidR="007B3E55" w:rsidRPr="001F42D8" w:rsidRDefault="007B3E55" w:rsidP="007B3E55">
      <w:pPr>
        <w:jc w:val="center"/>
        <w:rPr>
          <w:rFonts w:cs="Arial"/>
          <w:b/>
          <w:sz w:val="18"/>
        </w:rPr>
      </w:pPr>
      <w:r>
        <w:rPr>
          <w:rFonts w:cs="Arial"/>
          <w:b/>
          <w:sz w:val="20"/>
        </w:rPr>
        <w:br w:type="page"/>
      </w:r>
      <w:r w:rsidRPr="001F42D8">
        <w:rPr>
          <w:rFonts w:cs="Arial"/>
          <w:b/>
          <w:sz w:val="18"/>
        </w:rPr>
        <w:lastRenderedPageBreak/>
        <w:t>Table B.2</w:t>
      </w:r>
    </w:p>
    <w:p w:rsidR="007B3E55" w:rsidRPr="001F42D8" w:rsidRDefault="007B3E55" w:rsidP="007B3E55">
      <w:pPr>
        <w:jc w:val="center"/>
        <w:rPr>
          <w:rFonts w:cs="Arial"/>
          <w:b/>
          <w:sz w:val="18"/>
        </w:rPr>
      </w:pPr>
      <w:r w:rsidRPr="001F42D8">
        <w:rPr>
          <w:rFonts w:cs="Arial"/>
          <w:b/>
          <w:sz w:val="18"/>
        </w:rPr>
        <w:t>Median disposable income (</w:t>
      </w:r>
      <w:smartTag w:uri="urn:schemas-microsoft-com:office:smarttags" w:element="stockticker">
        <w:r w:rsidRPr="001F42D8">
          <w:rPr>
            <w:rFonts w:cs="Arial"/>
            <w:b/>
            <w:sz w:val="18"/>
          </w:rPr>
          <w:t>BHC</w:t>
        </w:r>
      </w:smartTag>
      <w:r w:rsidRPr="001F42D8">
        <w:rPr>
          <w:rFonts w:cs="Arial"/>
          <w:b/>
          <w:sz w:val="18"/>
        </w:rPr>
        <w:t>) for different household types (HES 20</w:t>
      </w:r>
      <w:r>
        <w:rPr>
          <w:rFonts w:cs="Arial"/>
          <w:b/>
          <w:sz w:val="18"/>
        </w:rPr>
        <w:t>11</w:t>
      </w:r>
      <w:r w:rsidRPr="001F42D8">
        <w:rPr>
          <w:rFonts w:cs="Arial"/>
          <w:b/>
          <w:sz w:val="18"/>
        </w:rPr>
        <w:t>)</w:t>
      </w:r>
    </w:p>
    <w:p w:rsidR="007B3E55" w:rsidRPr="001F42D8" w:rsidRDefault="007B3E55" w:rsidP="007B3E55">
      <w:pPr>
        <w:spacing w:after="120"/>
        <w:jc w:val="center"/>
        <w:rPr>
          <w:rFonts w:cs="Arial"/>
          <w:b/>
          <w:sz w:val="18"/>
        </w:rPr>
      </w:pPr>
      <w:r w:rsidRPr="001F42D8">
        <w:rPr>
          <w:rFonts w:cs="Arial"/>
          <w:b/>
          <w:sz w:val="18"/>
        </w:rPr>
        <w:t>in ordinary and equivalised dollars</w:t>
      </w:r>
    </w:p>
    <w:tbl>
      <w:tblPr>
        <w:tblStyle w:val="TableGrid"/>
        <w:tblW w:w="0" w:type="auto"/>
        <w:jc w:val="center"/>
        <w:tblInd w:w="-744" w:type="dxa"/>
        <w:tblLook w:val="01E0"/>
      </w:tblPr>
      <w:tblGrid>
        <w:gridCol w:w="3373"/>
        <w:gridCol w:w="2268"/>
        <w:gridCol w:w="2561"/>
      </w:tblGrid>
      <w:tr w:rsidR="007B3E55">
        <w:trPr>
          <w:trHeight w:hRule="exact" w:val="883"/>
          <w:jc w:val="center"/>
        </w:trPr>
        <w:tc>
          <w:tcPr>
            <w:tcW w:w="3373" w:type="dxa"/>
            <w:vAlign w:val="center"/>
          </w:tcPr>
          <w:p w:rsidR="007B3E55" w:rsidRPr="00D41F09" w:rsidRDefault="007B3E55" w:rsidP="00614C04">
            <w:pPr>
              <w:jc w:val="center"/>
              <w:rPr>
                <w:b/>
                <w:sz w:val="16"/>
                <w:szCs w:val="18"/>
                <w:lang w:val="en-NZ"/>
              </w:rPr>
            </w:pPr>
            <w:bookmarkStart w:id="16" w:name="_Toc115142424"/>
            <w:r w:rsidRPr="00D41F09">
              <w:rPr>
                <w:b/>
                <w:sz w:val="16"/>
                <w:szCs w:val="18"/>
              </w:rPr>
              <w:t>HH type</w:t>
            </w:r>
          </w:p>
        </w:tc>
        <w:tc>
          <w:tcPr>
            <w:tcW w:w="2268" w:type="dxa"/>
            <w:vAlign w:val="center"/>
          </w:tcPr>
          <w:p w:rsidR="007B3E55" w:rsidRPr="00D41F09" w:rsidRDefault="007B3E55" w:rsidP="00614C04">
            <w:pPr>
              <w:pStyle w:val="Heading2"/>
              <w:jc w:val="center"/>
              <w:rPr>
                <w:sz w:val="16"/>
                <w:szCs w:val="18"/>
                <w:lang w:val="en-US"/>
              </w:rPr>
            </w:pPr>
            <w:r w:rsidRPr="00D41F09">
              <w:rPr>
                <w:sz w:val="16"/>
                <w:szCs w:val="18"/>
                <w:lang w:val="en-US"/>
              </w:rPr>
              <w:t>Median disposable income for the HH type</w:t>
            </w:r>
          </w:p>
          <w:p w:rsidR="007B3E55" w:rsidRPr="00D41F09" w:rsidRDefault="007B3E55" w:rsidP="00614C04">
            <w:pPr>
              <w:spacing w:before="60"/>
              <w:jc w:val="center"/>
              <w:rPr>
                <w:sz w:val="16"/>
                <w:lang w:val="en-US"/>
              </w:rPr>
            </w:pPr>
            <w:r w:rsidRPr="00D41F09">
              <w:rPr>
                <w:b/>
                <w:sz w:val="16"/>
                <w:szCs w:val="18"/>
                <w:lang w:val="en-US"/>
              </w:rPr>
              <w:t>(ordinary $)</w:t>
            </w:r>
          </w:p>
        </w:tc>
        <w:tc>
          <w:tcPr>
            <w:tcW w:w="2561" w:type="dxa"/>
            <w:vAlign w:val="center"/>
          </w:tcPr>
          <w:p w:rsidR="007B3E55" w:rsidRPr="00D41F09" w:rsidRDefault="007B3E55" w:rsidP="00614C04">
            <w:pPr>
              <w:pStyle w:val="Heading2"/>
              <w:jc w:val="center"/>
              <w:rPr>
                <w:sz w:val="16"/>
                <w:szCs w:val="18"/>
                <w:lang w:val="en-US"/>
              </w:rPr>
            </w:pPr>
            <w:r w:rsidRPr="00D41F09">
              <w:rPr>
                <w:sz w:val="16"/>
                <w:szCs w:val="18"/>
                <w:lang w:val="en-US"/>
              </w:rPr>
              <w:t>Median disposable income for the HH type</w:t>
            </w:r>
          </w:p>
          <w:p w:rsidR="007B3E55" w:rsidRPr="00D41F09" w:rsidRDefault="007B3E55" w:rsidP="00614C04">
            <w:pPr>
              <w:pStyle w:val="Heading2"/>
              <w:spacing w:before="60"/>
              <w:jc w:val="center"/>
              <w:rPr>
                <w:sz w:val="16"/>
                <w:szCs w:val="18"/>
              </w:rPr>
            </w:pPr>
            <w:r w:rsidRPr="00D41F09">
              <w:rPr>
                <w:sz w:val="16"/>
                <w:szCs w:val="18"/>
                <w:lang w:val="en-US"/>
              </w:rPr>
              <w:t>($ per equivalent adult)</w:t>
            </w:r>
          </w:p>
        </w:tc>
      </w:tr>
      <w:tr w:rsidR="007B3E55">
        <w:trPr>
          <w:jc w:val="center"/>
        </w:trPr>
        <w:tc>
          <w:tcPr>
            <w:tcW w:w="3373" w:type="dxa"/>
            <w:vAlign w:val="center"/>
          </w:tcPr>
          <w:p w:rsidR="007B3E55" w:rsidRPr="005B4EB7" w:rsidRDefault="007B3E55" w:rsidP="00614C04">
            <w:pPr>
              <w:spacing w:before="60" w:after="60"/>
              <w:rPr>
                <w:sz w:val="16"/>
                <w:szCs w:val="16"/>
                <w:lang w:val="en-NZ"/>
              </w:rPr>
            </w:pPr>
            <w:r w:rsidRPr="005B4EB7">
              <w:rPr>
                <w:sz w:val="16"/>
                <w:szCs w:val="16"/>
              </w:rPr>
              <w:t>One person, 65+</w:t>
            </w:r>
          </w:p>
        </w:tc>
        <w:tc>
          <w:tcPr>
            <w:tcW w:w="2268" w:type="dxa"/>
            <w:vAlign w:val="center"/>
          </w:tcPr>
          <w:p w:rsidR="007B3E55" w:rsidRPr="005B4EB7" w:rsidRDefault="007B3E55" w:rsidP="00614C04">
            <w:pPr>
              <w:pStyle w:val="Heading2"/>
              <w:spacing w:before="60" w:after="60"/>
              <w:jc w:val="center"/>
              <w:rPr>
                <w:b w:val="0"/>
                <w:sz w:val="16"/>
                <w:szCs w:val="16"/>
              </w:rPr>
            </w:pPr>
            <w:r w:rsidRPr="005B4EB7">
              <w:rPr>
                <w:b w:val="0"/>
                <w:sz w:val="16"/>
                <w:szCs w:val="16"/>
              </w:rPr>
              <w:t>19,</w:t>
            </w:r>
            <w:r>
              <w:rPr>
                <w:b w:val="0"/>
                <w:sz w:val="16"/>
                <w:szCs w:val="16"/>
              </w:rPr>
              <w:t>1</w:t>
            </w:r>
            <w:r w:rsidRPr="005B4EB7">
              <w:rPr>
                <w:b w:val="0"/>
                <w:sz w:val="16"/>
                <w:szCs w:val="16"/>
              </w:rPr>
              <w:t>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19,100</w:t>
            </w:r>
          </w:p>
        </w:tc>
      </w:tr>
      <w:tr w:rsidR="007B3E55">
        <w:trPr>
          <w:jc w:val="center"/>
        </w:trPr>
        <w:tc>
          <w:tcPr>
            <w:tcW w:w="3373" w:type="dxa"/>
            <w:vAlign w:val="center"/>
          </w:tcPr>
          <w:p w:rsidR="007B3E55" w:rsidRPr="005B4EB7" w:rsidRDefault="007B3E55" w:rsidP="00614C04">
            <w:pPr>
              <w:spacing w:before="60" w:after="60"/>
              <w:rPr>
                <w:sz w:val="16"/>
                <w:szCs w:val="16"/>
                <w:lang w:val="en-NZ"/>
              </w:rPr>
            </w:pPr>
            <w:r w:rsidRPr="005B4EB7">
              <w:rPr>
                <w:sz w:val="16"/>
                <w:szCs w:val="16"/>
                <w:lang w:val="en-NZ"/>
              </w:rPr>
              <w:t>Couple, 65+</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40,100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26,000</w:t>
            </w:r>
          </w:p>
        </w:tc>
      </w:tr>
      <w:tr w:rsidR="007B3E55">
        <w:trPr>
          <w:jc w:val="center"/>
        </w:trPr>
        <w:tc>
          <w:tcPr>
            <w:tcW w:w="3373" w:type="dxa"/>
            <w:vAlign w:val="center"/>
          </w:tcPr>
          <w:p w:rsidR="007B3E55" w:rsidRPr="005B4EB7" w:rsidRDefault="007B3E55" w:rsidP="00614C04">
            <w:pPr>
              <w:spacing w:before="60" w:after="60"/>
              <w:rPr>
                <w:sz w:val="16"/>
                <w:szCs w:val="16"/>
                <w:lang w:val="en-NZ"/>
              </w:rPr>
            </w:pPr>
            <w:r w:rsidRPr="005B4EB7">
              <w:rPr>
                <w:sz w:val="16"/>
                <w:szCs w:val="16"/>
                <w:lang w:val="en-NZ"/>
              </w:rPr>
              <w:t>One person, under 65</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29,600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29,600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Couple, under 65</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70,200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45,600</w:t>
            </w:r>
          </w:p>
        </w:tc>
      </w:tr>
      <w:tr w:rsidR="007B3E55">
        <w:trPr>
          <w:jc w:val="center"/>
        </w:trPr>
        <w:tc>
          <w:tcPr>
            <w:tcW w:w="3373" w:type="dxa"/>
            <w:vAlign w:val="center"/>
          </w:tcPr>
          <w:p w:rsidR="007B3E55" w:rsidRPr="005B4EB7" w:rsidRDefault="007B3E55" w:rsidP="00614C04">
            <w:pPr>
              <w:spacing w:before="60" w:after="60"/>
              <w:rPr>
                <w:sz w:val="16"/>
                <w:szCs w:val="16"/>
                <w:lang w:val="en-NZ"/>
              </w:rPr>
            </w:pPr>
            <w:r w:rsidRPr="005B4EB7">
              <w:rPr>
                <w:sz w:val="16"/>
                <w:szCs w:val="16"/>
              </w:rPr>
              <w:t>SP, 1 child</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37,400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24,300</w:t>
            </w:r>
          </w:p>
        </w:tc>
      </w:tr>
      <w:tr w:rsidR="007B3E55">
        <w:trPr>
          <w:jc w:val="center"/>
        </w:trPr>
        <w:tc>
          <w:tcPr>
            <w:tcW w:w="3373" w:type="dxa"/>
            <w:vAlign w:val="center"/>
          </w:tcPr>
          <w:p w:rsidR="007B3E55" w:rsidRPr="005B4EB7" w:rsidRDefault="007B3E55" w:rsidP="00614C04">
            <w:pPr>
              <w:spacing w:before="60" w:after="60"/>
              <w:rPr>
                <w:sz w:val="16"/>
                <w:szCs w:val="16"/>
                <w:lang w:val="en-NZ"/>
              </w:rPr>
            </w:pPr>
            <w:r w:rsidRPr="005B4EB7">
              <w:rPr>
                <w:sz w:val="16"/>
                <w:szCs w:val="16"/>
              </w:rPr>
              <w:t>SP, 2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35,400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20,900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SP, 3 or more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39</w:t>
            </w:r>
            <w:r w:rsidRPr="005B4EB7">
              <w:rPr>
                <w:b w:val="0"/>
                <w:sz w:val="16"/>
                <w:szCs w:val="16"/>
              </w:rPr>
              <w:t>,000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17,000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2P, 1 child</w:t>
            </w:r>
          </w:p>
        </w:tc>
        <w:tc>
          <w:tcPr>
            <w:tcW w:w="2268" w:type="dxa"/>
            <w:vAlign w:val="center"/>
          </w:tcPr>
          <w:p w:rsidR="007B3E55" w:rsidRPr="005B4EB7" w:rsidRDefault="007B3E55" w:rsidP="00614C04">
            <w:pPr>
              <w:pStyle w:val="Heading2"/>
              <w:spacing w:before="60" w:after="60"/>
              <w:jc w:val="center"/>
              <w:rPr>
                <w:b w:val="0"/>
                <w:sz w:val="16"/>
                <w:szCs w:val="16"/>
              </w:rPr>
            </w:pPr>
            <w:r w:rsidRPr="005B4EB7">
              <w:rPr>
                <w:b w:val="0"/>
                <w:sz w:val="16"/>
                <w:szCs w:val="16"/>
              </w:rPr>
              <w:t>69,</w:t>
            </w:r>
            <w:r>
              <w:rPr>
                <w:b w:val="0"/>
                <w:sz w:val="16"/>
                <w:szCs w:val="16"/>
              </w:rPr>
              <w:t>7</w:t>
            </w:r>
            <w:r w:rsidRPr="005B4EB7">
              <w:rPr>
                <w:b w:val="0"/>
                <w:sz w:val="16"/>
                <w:szCs w:val="16"/>
              </w:rPr>
              <w:t>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33,200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2P, 2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70,300</w:t>
            </w:r>
          </w:p>
        </w:tc>
        <w:tc>
          <w:tcPr>
            <w:tcW w:w="2561" w:type="dxa"/>
            <w:vAlign w:val="center"/>
          </w:tcPr>
          <w:p w:rsidR="007B3E55" w:rsidRPr="005B4EB7" w:rsidRDefault="007B3E55" w:rsidP="00614C04">
            <w:pPr>
              <w:pStyle w:val="Heading2"/>
              <w:spacing w:before="60" w:after="60"/>
              <w:jc w:val="center"/>
              <w:rPr>
                <w:b w:val="0"/>
                <w:sz w:val="16"/>
                <w:szCs w:val="16"/>
              </w:rPr>
            </w:pPr>
            <w:r w:rsidRPr="005B4EB7">
              <w:rPr>
                <w:b w:val="0"/>
                <w:sz w:val="16"/>
                <w:szCs w:val="16"/>
              </w:rPr>
              <w:t>3</w:t>
            </w:r>
            <w:r>
              <w:rPr>
                <w:b w:val="0"/>
                <w:sz w:val="16"/>
                <w:szCs w:val="16"/>
              </w:rPr>
              <w:t>1</w:t>
            </w:r>
            <w:r w:rsidRPr="005B4EB7">
              <w:rPr>
                <w:b w:val="0"/>
                <w:sz w:val="16"/>
                <w:szCs w:val="16"/>
              </w:rPr>
              <w:t>,</w:t>
            </w:r>
            <w:r>
              <w:rPr>
                <w:b w:val="0"/>
                <w:sz w:val="16"/>
                <w:szCs w:val="16"/>
              </w:rPr>
              <w:t>800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2P, 3 or more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64,100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25,300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rPr>
            </w:pPr>
            <w:r w:rsidRPr="005B4EB7">
              <w:rPr>
                <w:b w:val="0"/>
                <w:sz w:val="16"/>
                <w:szCs w:val="16"/>
              </w:rPr>
              <w:t>Other family HHs with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85,500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33,500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lang w:val="en-GB"/>
              </w:rPr>
            </w:pPr>
            <w:r w:rsidRPr="005B4EB7">
              <w:rPr>
                <w:b w:val="0"/>
                <w:sz w:val="16"/>
                <w:szCs w:val="16"/>
                <w:lang w:val="en-GB"/>
              </w:rPr>
              <w:t>Family HHs</w:t>
            </w:r>
            <w:r>
              <w:rPr>
                <w:b w:val="0"/>
                <w:sz w:val="16"/>
                <w:szCs w:val="16"/>
                <w:lang w:val="en-GB"/>
              </w:rPr>
              <w:t>, all</w:t>
            </w:r>
            <w:r w:rsidRPr="005B4EB7">
              <w:rPr>
                <w:b w:val="0"/>
                <w:sz w:val="16"/>
                <w:szCs w:val="16"/>
                <w:lang w:val="en-GB"/>
              </w:rPr>
              <w:t xml:space="preserve"> </w:t>
            </w:r>
            <w:r>
              <w:rPr>
                <w:b w:val="0"/>
                <w:sz w:val="16"/>
                <w:szCs w:val="16"/>
                <w:lang w:val="en-GB"/>
              </w:rPr>
              <w:t xml:space="preserve">&lt; </w:t>
            </w:r>
            <w:r w:rsidRPr="005B4EB7">
              <w:rPr>
                <w:b w:val="0"/>
                <w:sz w:val="16"/>
                <w:szCs w:val="16"/>
                <w:lang w:val="en-GB"/>
              </w:rPr>
              <w:t>65 – no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92,600</w:t>
            </w:r>
          </w:p>
        </w:tc>
        <w:tc>
          <w:tcPr>
            <w:tcW w:w="2561" w:type="dxa"/>
            <w:vAlign w:val="center"/>
          </w:tcPr>
          <w:p w:rsidR="007B3E55" w:rsidRPr="005B4EB7" w:rsidRDefault="007B3E55" w:rsidP="00614C04">
            <w:pPr>
              <w:pStyle w:val="Heading2"/>
              <w:spacing w:before="60" w:after="60"/>
              <w:jc w:val="center"/>
              <w:rPr>
                <w:b w:val="0"/>
                <w:sz w:val="16"/>
                <w:szCs w:val="16"/>
              </w:rPr>
            </w:pPr>
            <w:r>
              <w:rPr>
                <w:b w:val="0"/>
                <w:sz w:val="16"/>
                <w:szCs w:val="16"/>
              </w:rPr>
              <w:t>44,100</w:t>
            </w:r>
          </w:p>
        </w:tc>
      </w:tr>
      <w:tr w:rsidR="007B3E55">
        <w:trPr>
          <w:jc w:val="center"/>
        </w:trPr>
        <w:tc>
          <w:tcPr>
            <w:tcW w:w="3373" w:type="dxa"/>
            <w:vAlign w:val="center"/>
          </w:tcPr>
          <w:p w:rsidR="007B3E55" w:rsidRPr="005B4EB7" w:rsidRDefault="007B3E55" w:rsidP="00614C04">
            <w:pPr>
              <w:pStyle w:val="Heading2"/>
              <w:spacing w:before="60" w:after="60"/>
              <w:rPr>
                <w:b w:val="0"/>
                <w:sz w:val="16"/>
                <w:szCs w:val="16"/>
                <w:lang w:val="en-GB"/>
              </w:rPr>
            </w:pPr>
            <w:r w:rsidRPr="005B4EB7">
              <w:rPr>
                <w:b w:val="0"/>
                <w:sz w:val="16"/>
                <w:szCs w:val="16"/>
                <w:lang w:val="en-GB"/>
              </w:rPr>
              <w:t>Family HHs</w:t>
            </w:r>
            <w:r>
              <w:rPr>
                <w:b w:val="0"/>
                <w:sz w:val="16"/>
                <w:szCs w:val="16"/>
                <w:lang w:val="en-GB"/>
              </w:rPr>
              <w:t xml:space="preserve">, at least one </w:t>
            </w:r>
            <w:r w:rsidRPr="005B4EB7">
              <w:rPr>
                <w:b w:val="0"/>
                <w:sz w:val="16"/>
                <w:szCs w:val="16"/>
                <w:lang w:val="en-GB"/>
              </w:rPr>
              <w:t>65</w:t>
            </w:r>
            <w:r>
              <w:rPr>
                <w:b w:val="0"/>
                <w:sz w:val="16"/>
                <w:szCs w:val="16"/>
                <w:lang w:val="en-GB"/>
              </w:rPr>
              <w:t>+</w:t>
            </w:r>
            <w:r w:rsidRPr="005B4EB7">
              <w:rPr>
                <w:b w:val="0"/>
                <w:sz w:val="16"/>
                <w:szCs w:val="16"/>
                <w:lang w:val="en-GB"/>
              </w:rPr>
              <w:t xml:space="preserve"> – no children</w:t>
            </w:r>
          </w:p>
        </w:tc>
        <w:tc>
          <w:tcPr>
            <w:tcW w:w="2268" w:type="dxa"/>
            <w:vAlign w:val="center"/>
          </w:tcPr>
          <w:p w:rsidR="007B3E55" w:rsidRPr="005B4EB7" w:rsidRDefault="007B3E55" w:rsidP="00614C04">
            <w:pPr>
              <w:pStyle w:val="Heading2"/>
              <w:spacing w:before="60" w:after="60"/>
              <w:jc w:val="center"/>
              <w:rPr>
                <w:b w:val="0"/>
                <w:sz w:val="16"/>
                <w:szCs w:val="16"/>
              </w:rPr>
            </w:pPr>
            <w:r>
              <w:rPr>
                <w:b w:val="0"/>
                <w:sz w:val="16"/>
                <w:szCs w:val="16"/>
              </w:rPr>
              <w:t>83,600</w:t>
            </w:r>
          </w:p>
        </w:tc>
        <w:tc>
          <w:tcPr>
            <w:tcW w:w="2561" w:type="dxa"/>
            <w:vAlign w:val="center"/>
          </w:tcPr>
          <w:p w:rsidR="007B3E55" w:rsidRDefault="007B3E55" w:rsidP="00614C04">
            <w:pPr>
              <w:pStyle w:val="Heading2"/>
              <w:spacing w:before="60" w:after="60"/>
              <w:jc w:val="center"/>
              <w:rPr>
                <w:b w:val="0"/>
                <w:sz w:val="16"/>
                <w:szCs w:val="16"/>
              </w:rPr>
            </w:pPr>
            <w:r>
              <w:rPr>
                <w:b w:val="0"/>
                <w:sz w:val="16"/>
                <w:szCs w:val="16"/>
              </w:rPr>
              <w:t>39,900</w:t>
            </w:r>
          </w:p>
        </w:tc>
      </w:tr>
      <w:tr w:rsidR="007B3E55">
        <w:trPr>
          <w:jc w:val="center"/>
        </w:trPr>
        <w:tc>
          <w:tcPr>
            <w:tcW w:w="3373" w:type="dxa"/>
            <w:vAlign w:val="center"/>
          </w:tcPr>
          <w:p w:rsidR="007B3E55" w:rsidRPr="005B4EB7" w:rsidRDefault="007B3E55" w:rsidP="00614C04">
            <w:pPr>
              <w:pStyle w:val="Heading2"/>
              <w:spacing w:before="60" w:after="60"/>
              <w:rPr>
                <w:sz w:val="16"/>
                <w:szCs w:val="16"/>
              </w:rPr>
            </w:pPr>
            <w:r w:rsidRPr="005B4EB7">
              <w:rPr>
                <w:sz w:val="16"/>
                <w:szCs w:val="16"/>
              </w:rPr>
              <w:t>Whole population</w:t>
            </w:r>
          </w:p>
        </w:tc>
        <w:tc>
          <w:tcPr>
            <w:tcW w:w="2268" w:type="dxa"/>
            <w:vAlign w:val="center"/>
          </w:tcPr>
          <w:p w:rsidR="007B3E55" w:rsidRPr="005B4EB7" w:rsidRDefault="007B3E55" w:rsidP="00614C04">
            <w:pPr>
              <w:pStyle w:val="Heading2"/>
              <w:spacing w:before="60" w:after="60"/>
              <w:jc w:val="center"/>
              <w:rPr>
                <w:sz w:val="16"/>
                <w:szCs w:val="16"/>
              </w:rPr>
            </w:pPr>
            <w:r>
              <w:rPr>
                <w:sz w:val="16"/>
                <w:szCs w:val="16"/>
              </w:rPr>
              <w:t>63,200</w:t>
            </w:r>
          </w:p>
        </w:tc>
        <w:tc>
          <w:tcPr>
            <w:tcW w:w="2561" w:type="dxa"/>
            <w:vAlign w:val="center"/>
          </w:tcPr>
          <w:p w:rsidR="007B3E55" w:rsidRPr="005B4EB7" w:rsidRDefault="007B3E55" w:rsidP="00614C04">
            <w:pPr>
              <w:pStyle w:val="Heading2"/>
              <w:spacing w:before="60" w:after="60"/>
              <w:jc w:val="center"/>
              <w:rPr>
                <w:sz w:val="16"/>
                <w:szCs w:val="16"/>
              </w:rPr>
            </w:pPr>
            <w:r>
              <w:rPr>
                <w:sz w:val="16"/>
                <w:szCs w:val="16"/>
              </w:rPr>
              <w:t>31,900</w:t>
            </w:r>
          </w:p>
        </w:tc>
      </w:tr>
    </w:tbl>
    <w:p w:rsidR="007B3E55" w:rsidRDefault="007B3E55" w:rsidP="007B3E55">
      <w:pPr>
        <w:pStyle w:val="Heading2"/>
        <w:rPr>
          <w:sz w:val="22"/>
          <w:szCs w:val="22"/>
        </w:rPr>
      </w:pPr>
    </w:p>
    <w:p w:rsidR="007B3E55" w:rsidRPr="00E83EE3" w:rsidRDefault="007B3E55" w:rsidP="007B3E55">
      <w:pPr>
        <w:rPr>
          <w:lang w:val="en-NZ"/>
        </w:rPr>
      </w:pPr>
    </w:p>
    <w:p w:rsidR="007B3E55" w:rsidRPr="001F42D8" w:rsidRDefault="007B3E55" w:rsidP="007B3E55">
      <w:pPr>
        <w:jc w:val="center"/>
        <w:rPr>
          <w:rFonts w:cs="Arial"/>
          <w:b/>
          <w:sz w:val="18"/>
        </w:rPr>
      </w:pPr>
      <w:r w:rsidRPr="001F42D8">
        <w:rPr>
          <w:rFonts w:cs="Arial"/>
          <w:b/>
          <w:sz w:val="18"/>
        </w:rPr>
        <w:t>Table B.3</w:t>
      </w:r>
    </w:p>
    <w:p w:rsidR="007B3E55" w:rsidRPr="001F42D8" w:rsidRDefault="007B3E55" w:rsidP="007B3E55">
      <w:pPr>
        <w:jc w:val="center"/>
        <w:rPr>
          <w:rFonts w:cs="Arial"/>
          <w:b/>
          <w:sz w:val="18"/>
        </w:rPr>
      </w:pPr>
      <w:r w:rsidRPr="001F42D8">
        <w:rPr>
          <w:rFonts w:cs="Arial"/>
          <w:b/>
          <w:sz w:val="18"/>
        </w:rPr>
        <w:t>Median disposable income (</w:t>
      </w:r>
      <w:smartTag w:uri="urn:schemas-microsoft-com:office:smarttags" w:element="stockticker">
        <w:r w:rsidRPr="001F42D8">
          <w:rPr>
            <w:rFonts w:cs="Arial"/>
            <w:b/>
            <w:sz w:val="18"/>
          </w:rPr>
          <w:t>AHC</w:t>
        </w:r>
      </w:smartTag>
      <w:r w:rsidRPr="001F42D8">
        <w:rPr>
          <w:rFonts w:cs="Arial"/>
          <w:b/>
          <w:sz w:val="18"/>
        </w:rPr>
        <w:t>) for different household types (HES 20</w:t>
      </w:r>
      <w:r>
        <w:rPr>
          <w:rFonts w:cs="Arial"/>
          <w:b/>
          <w:sz w:val="18"/>
        </w:rPr>
        <w:t>11</w:t>
      </w:r>
      <w:r w:rsidRPr="001F42D8">
        <w:rPr>
          <w:rFonts w:cs="Arial"/>
          <w:b/>
          <w:sz w:val="18"/>
        </w:rPr>
        <w:t>)</w:t>
      </w:r>
    </w:p>
    <w:p w:rsidR="007B3E55" w:rsidRPr="001F42D8" w:rsidRDefault="007B3E55" w:rsidP="007B3E55">
      <w:pPr>
        <w:spacing w:after="120"/>
        <w:jc w:val="center"/>
        <w:rPr>
          <w:rFonts w:cs="Arial"/>
          <w:b/>
          <w:sz w:val="18"/>
        </w:rPr>
      </w:pPr>
      <w:r w:rsidRPr="001F42D8">
        <w:rPr>
          <w:rFonts w:cs="Arial"/>
          <w:b/>
          <w:sz w:val="18"/>
        </w:rPr>
        <w:t>in ordinary and equivalised dollars</w:t>
      </w:r>
    </w:p>
    <w:tbl>
      <w:tblPr>
        <w:tblStyle w:val="TableGrid"/>
        <w:tblW w:w="0" w:type="auto"/>
        <w:jc w:val="center"/>
        <w:tblInd w:w="-664" w:type="dxa"/>
        <w:tblLook w:val="01E0"/>
      </w:tblPr>
      <w:tblGrid>
        <w:gridCol w:w="3414"/>
        <w:gridCol w:w="2250"/>
        <w:gridCol w:w="2543"/>
      </w:tblGrid>
      <w:tr w:rsidR="007B3E55">
        <w:trPr>
          <w:trHeight w:hRule="exact" w:val="883"/>
          <w:jc w:val="center"/>
        </w:trPr>
        <w:tc>
          <w:tcPr>
            <w:tcW w:w="3414" w:type="dxa"/>
            <w:vAlign w:val="center"/>
          </w:tcPr>
          <w:p w:rsidR="007B3E55" w:rsidRPr="00D41F09" w:rsidRDefault="007B3E55" w:rsidP="00614C04">
            <w:pPr>
              <w:jc w:val="center"/>
              <w:rPr>
                <w:b/>
                <w:sz w:val="16"/>
                <w:szCs w:val="18"/>
                <w:lang w:val="en-NZ"/>
              </w:rPr>
            </w:pPr>
            <w:r w:rsidRPr="00D41F09">
              <w:rPr>
                <w:b/>
                <w:sz w:val="16"/>
                <w:szCs w:val="18"/>
              </w:rPr>
              <w:t>HH type</w:t>
            </w:r>
          </w:p>
        </w:tc>
        <w:tc>
          <w:tcPr>
            <w:tcW w:w="2250" w:type="dxa"/>
            <w:vAlign w:val="center"/>
          </w:tcPr>
          <w:p w:rsidR="007B3E55" w:rsidRPr="00D41F09" w:rsidRDefault="007B3E55" w:rsidP="00614C04">
            <w:pPr>
              <w:pStyle w:val="Heading2"/>
              <w:jc w:val="center"/>
              <w:rPr>
                <w:sz w:val="16"/>
                <w:szCs w:val="18"/>
                <w:lang w:val="en-US"/>
              </w:rPr>
            </w:pPr>
            <w:r w:rsidRPr="00D41F09">
              <w:rPr>
                <w:sz w:val="16"/>
                <w:szCs w:val="18"/>
                <w:lang w:val="en-US"/>
              </w:rPr>
              <w:t>Median disposable income for the HH type</w:t>
            </w:r>
          </w:p>
          <w:p w:rsidR="007B3E55" w:rsidRPr="00D41F09" w:rsidRDefault="007B3E55" w:rsidP="00614C04">
            <w:pPr>
              <w:spacing w:before="60"/>
              <w:jc w:val="center"/>
              <w:rPr>
                <w:sz w:val="16"/>
                <w:lang w:val="en-US"/>
              </w:rPr>
            </w:pPr>
            <w:r w:rsidRPr="00D41F09">
              <w:rPr>
                <w:b/>
                <w:sz w:val="16"/>
                <w:szCs w:val="18"/>
                <w:lang w:val="en-US"/>
              </w:rPr>
              <w:t>(ordinary $)</w:t>
            </w:r>
          </w:p>
        </w:tc>
        <w:tc>
          <w:tcPr>
            <w:tcW w:w="2543" w:type="dxa"/>
            <w:vAlign w:val="center"/>
          </w:tcPr>
          <w:p w:rsidR="007B3E55" w:rsidRPr="00D41F09" w:rsidRDefault="007B3E55" w:rsidP="00614C04">
            <w:pPr>
              <w:pStyle w:val="Heading2"/>
              <w:jc w:val="center"/>
              <w:rPr>
                <w:sz w:val="16"/>
                <w:szCs w:val="18"/>
                <w:lang w:val="en-US"/>
              </w:rPr>
            </w:pPr>
            <w:r w:rsidRPr="00D41F09">
              <w:rPr>
                <w:sz w:val="16"/>
                <w:szCs w:val="18"/>
                <w:lang w:val="en-US"/>
              </w:rPr>
              <w:t>Median disposable income for the HH type</w:t>
            </w:r>
          </w:p>
          <w:p w:rsidR="007B3E55" w:rsidRPr="00D41F09" w:rsidRDefault="007B3E55" w:rsidP="00614C04">
            <w:pPr>
              <w:pStyle w:val="Heading2"/>
              <w:spacing w:before="60"/>
              <w:jc w:val="center"/>
              <w:rPr>
                <w:sz w:val="16"/>
                <w:szCs w:val="18"/>
              </w:rPr>
            </w:pPr>
            <w:r w:rsidRPr="00D41F09">
              <w:rPr>
                <w:sz w:val="16"/>
                <w:szCs w:val="18"/>
                <w:lang w:val="en-US"/>
              </w:rPr>
              <w:t>($ per equivalent adult)</w:t>
            </w:r>
          </w:p>
        </w:tc>
      </w:tr>
      <w:tr w:rsidR="007B3E55">
        <w:trPr>
          <w:jc w:val="center"/>
        </w:trPr>
        <w:tc>
          <w:tcPr>
            <w:tcW w:w="3414" w:type="dxa"/>
            <w:vAlign w:val="center"/>
          </w:tcPr>
          <w:p w:rsidR="007B3E55" w:rsidRPr="005B4EB7" w:rsidRDefault="007B3E55" w:rsidP="00614C04">
            <w:pPr>
              <w:spacing w:before="60" w:after="60"/>
              <w:rPr>
                <w:sz w:val="16"/>
                <w:szCs w:val="16"/>
                <w:lang w:val="en-NZ"/>
              </w:rPr>
            </w:pPr>
            <w:r w:rsidRPr="005B4EB7">
              <w:rPr>
                <w:sz w:val="16"/>
                <w:szCs w:val="16"/>
              </w:rPr>
              <w:t>One person, 65+</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16,8</w:t>
            </w:r>
            <w:r w:rsidRPr="005B4EB7">
              <w:rPr>
                <w:b w:val="0"/>
                <w:sz w:val="16"/>
                <w:szCs w:val="16"/>
              </w:rPr>
              <w:t>00</w:t>
            </w:r>
          </w:p>
        </w:tc>
        <w:tc>
          <w:tcPr>
            <w:tcW w:w="2543" w:type="dxa"/>
            <w:vAlign w:val="center"/>
          </w:tcPr>
          <w:p w:rsidR="007B3E55" w:rsidRPr="005B4EB7" w:rsidRDefault="007B3E55" w:rsidP="00614C04">
            <w:pPr>
              <w:pStyle w:val="Heading2"/>
              <w:spacing w:before="60" w:after="60"/>
              <w:jc w:val="center"/>
              <w:rPr>
                <w:b w:val="0"/>
                <w:sz w:val="16"/>
                <w:szCs w:val="16"/>
              </w:rPr>
            </w:pPr>
            <w:r w:rsidRPr="005B4EB7">
              <w:rPr>
                <w:b w:val="0"/>
                <w:sz w:val="16"/>
                <w:szCs w:val="16"/>
              </w:rPr>
              <w:t>16,</w:t>
            </w:r>
            <w:r>
              <w:rPr>
                <w:b w:val="0"/>
                <w:sz w:val="16"/>
                <w:szCs w:val="16"/>
              </w:rPr>
              <w:t>8</w:t>
            </w:r>
            <w:r w:rsidRPr="005B4EB7">
              <w:rPr>
                <w:b w:val="0"/>
                <w:sz w:val="16"/>
                <w:szCs w:val="16"/>
              </w:rPr>
              <w:t>00</w:t>
            </w:r>
          </w:p>
        </w:tc>
      </w:tr>
      <w:tr w:rsidR="007B3E55">
        <w:trPr>
          <w:jc w:val="center"/>
        </w:trPr>
        <w:tc>
          <w:tcPr>
            <w:tcW w:w="3414" w:type="dxa"/>
            <w:vAlign w:val="center"/>
          </w:tcPr>
          <w:p w:rsidR="007B3E55" w:rsidRPr="005B4EB7" w:rsidRDefault="007B3E55" w:rsidP="00614C04">
            <w:pPr>
              <w:spacing w:before="60" w:after="60"/>
              <w:rPr>
                <w:sz w:val="16"/>
                <w:szCs w:val="16"/>
                <w:lang w:val="en-NZ"/>
              </w:rPr>
            </w:pPr>
            <w:r w:rsidRPr="005B4EB7">
              <w:rPr>
                <w:sz w:val="16"/>
                <w:szCs w:val="16"/>
                <w:lang w:val="en-NZ"/>
              </w:rPr>
              <w:t>Couple, 65+</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36,000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23,400</w:t>
            </w:r>
          </w:p>
        </w:tc>
      </w:tr>
      <w:tr w:rsidR="007B3E55">
        <w:trPr>
          <w:jc w:val="center"/>
        </w:trPr>
        <w:tc>
          <w:tcPr>
            <w:tcW w:w="3414" w:type="dxa"/>
            <w:vAlign w:val="center"/>
          </w:tcPr>
          <w:p w:rsidR="007B3E55" w:rsidRPr="005B4EB7" w:rsidRDefault="007B3E55" w:rsidP="00614C04">
            <w:pPr>
              <w:spacing w:before="60" w:after="60"/>
              <w:rPr>
                <w:sz w:val="16"/>
                <w:szCs w:val="16"/>
                <w:lang w:val="en-NZ"/>
              </w:rPr>
            </w:pPr>
            <w:r w:rsidRPr="005B4EB7">
              <w:rPr>
                <w:sz w:val="16"/>
                <w:szCs w:val="16"/>
                <w:lang w:val="en-NZ"/>
              </w:rPr>
              <w:t>One person, under 65</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22,100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22,100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Couple, under 65</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55,000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35,700</w:t>
            </w:r>
          </w:p>
        </w:tc>
      </w:tr>
      <w:tr w:rsidR="007B3E55">
        <w:trPr>
          <w:jc w:val="center"/>
        </w:trPr>
        <w:tc>
          <w:tcPr>
            <w:tcW w:w="3414" w:type="dxa"/>
            <w:vAlign w:val="center"/>
          </w:tcPr>
          <w:p w:rsidR="007B3E55" w:rsidRPr="005B4EB7" w:rsidRDefault="007B3E55" w:rsidP="00614C04">
            <w:pPr>
              <w:spacing w:before="60" w:after="60"/>
              <w:rPr>
                <w:sz w:val="16"/>
                <w:szCs w:val="16"/>
                <w:lang w:val="en-NZ"/>
              </w:rPr>
            </w:pPr>
            <w:r w:rsidRPr="005B4EB7">
              <w:rPr>
                <w:sz w:val="16"/>
                <w:szCs w:val="16"/>
              </w:rPr>
              <w:t>SP, 1 child</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24,200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15,200</w:t>
            </w:r>
          </w:p>
        </w:tc>
      </w:tr>
      <w:tr w:rsidR="007B3E55">
        <w:trPr>
          <w:jc w:val="center"/>
        </w:trPr>
        <w:tc>
          <w:tcPr>
            <w:tcW w:w="3414" w:type="dxa"/>
            <w:vAlign w:val="center"/>
          </w:tcPr>
          <w:p w:rsidR="007B3E55" w:rsidRPr="005B4EB7" w:rsidRDefault="007B3E55" w:rsidP="00614C04">
            <w:pPr>
              <w:spacing w:before="60" w:after="60"/>
              <w:rPr>
                <w:sz w:val="16"/>
                <w:szCs w:val="16"/>
                <w:lang w:val="en-NZ"/>
              </w:rPr>
            </w:pPr>
            <w:r w:rsidRPr="005B4EB7">
              <w:rPr>
                <w:sz w:val="16"/>
                <w:szCs w:val="16"/>
              </w:rPr>
              <w:t>SP, 2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23,300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13,400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SP, 3 or more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25,500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11,800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2P, 1 child</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50,900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25,700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2P, 2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55,800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25,100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2P, 3 or more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52,100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20,000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rPr>
            </w:pPr>
            <w:r w:rsidRPr="005B4EB7">
              <w:rPr>
                <w:b w:val="0"/>
                <w:sz w:val="16"/>
                <w:szCs w:val="16"/>
              </w:rPr>
              <w:t>Other family HHs with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71,200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26,200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lang w:val="en-GB"/>
              </w:rPr>
            </w:pPr>
            <w:r w:rsidRPr="005B4EB7">
              <w:rPr>
                <w:b w:val="0"/>
                <w:sz w:val="16"/>
                <w:szCs w:val="16"/>
                <w:lang w:val="en-GB"/>
              </w:rPr>
              <w:t>Family HHs</w:t>
            </w:r>
            <w:r>
              <w:rPr>
                <w:b w:val="0"/>
                <w:sz w:val="16"/>
                <w:szCs w:val="16"/>
                <w:lang w:val="en-GB"/>
              </w:rPr>
              <w:t>, all</w:t>
            </w:r>
            <w:r w:rsidRPr="005B4EB7">
              <w:rPr>
                <w:b w:val="0"/>
                <w:sz w:val="16"/>
                <w:szCs w:val="16"/>
                <w:lang w:val="en-GB"/>
              </w:rPr>
              <w:t xml:space="preserve"> </w:t>
            </w:r>
            <w:r>
              <w:rPr>
                <w:b w:val="0"/>
                <w:sz w:val="16"/>
                <w:szCs w:val="16"/>
                <w:lang w:val="en-GB"/>
              </w:rPr>
              <w:t xml:space="preserve">&lt; </w:t>
            </w:r>
            <w:r w:rsidRPr="005B4EB7">
              <w:rPr>
                <w:b w:val="0"/>
                <w:sz w:val="16"/>
                <w:szCs w:val="16"/>
                <w:lang w:val="en-GB"/>
              </w:rPr>
              <w:t>65 – no children</w:t>
            </w:r>
          </w:p>
        </w:tc>
        <w:tc>
          <w:tcPr>
            <w:tcW w:w="2250" w:type="dxa"/>
            <w:vAlign w:val="center"/>
          </w:tcPr>
          <w:p w:rsidR="007B3E55" w:rsidRPr="005B4EB7" w:rsidRDefault="007B3E55" w:rsidP="00614C04">
            <w:pPr>
              <w:pStyle w:val="Heading2"/>
              <w:spacing w:before="60" w:after="60"/>
              <w:jc w:val="center"/>
              <w:rPr>
                <w:b w:val="0"/>
                <w:sz w:val="16"/>
                <w:szCs w:val="16"/>
              </w:rPr>
            </w:pPr>
            <w:r>
              <w:rPr>
                <w:b w:val="0"/>
                <w:sz w:val="16"/>
                <w:szCs w:val="16"/>
              </w:rPr>
              <w:t>79,100</w:t>
            </w:r>
          </w:p>
        </w:tc>
        <w:tc>
          <w:tcPr>
            <w:tcW w:w="2543" w:type="dxa"/>
            <w:vAlign w:val="center"/>
          </w:tcPr>
          <w:p w:rsidR="007B3E55" w:rsidRPr="005B4EB7" w:rsidRDefault="007B3E55" w:rsidP="00614C04">
            <w:pPr>
              <w:pStyle w:val="Heading2"/>
              <w:spacing w:before="60" w:after="60"/>
              <w:jc w:val="center"/>
              <w:rPr>
                <w:b w:val="0"/>
                <w:sz w:val="16"/>
                <w:szCs w:val="16"/>
              </w:rPr>
            </w:pPr>
            <w:r>
              <w:rPr>
                <w:b w:val="0"/>
                <w:sz w:val="16"/>
                <w:szCs w:val="16"/>
              </w:rPr>
              <w:t>37,100</w:t>
            </w:r>
          </w:p>
        </w:tc>
      </w:tr>
      <w:tr w:rsidR="007B3E55">
        <w:trPr>
          <w:jc w:val="center"/>
        </w:trPr>
        <w:tc>
          <w:tcPr>
            <w:tcW w:w="3414" w:type="dxa"/>
            <w:vAlign w:val="center"/>
          </w:tcPr>
          <w:p w:rsidR="007B3E55" w:rsidRPr="005B4EB7" w:rsidRDefault="007B3E55" w:rsidP="00614C04">
            <w:pPr>
              <w:pStyle w:val="Heading2"/>
              <w:spacing w:before="60" w:after="60"/>
              <w:rPr>
                <w:b w:val="0"/>
                <w:sz w:val="16"/>
                <w:szCs w:val="16"/>
                <w:lang w:val="en-GB"/>
              </w:rPr>
            </w:pPr>
            <w:r w:rsidRPr="005B4EB7">
              <w:rPr>
                <w:b w:val="0"/>
                <w:sz w:val="16"/>
                <w:szCs w:val="16"/>
                <w:lang w:val="en-GB"/>
              </w:rPr>
              <w:t>Family HHs</w:t>
            </w:r>
            <w:r>
              <w:rPr>
                <w:b w:val="0"/>
                <w:sz w:val="16"/>
                <w:szCs w:val="16"/>
                <w:lang w:val="en-GB"/>
              </w:rPr>
              <w:t xml:space="preserve">, at least one </w:t>
            </w:r>
            <w:r w:rsidRPr="005B4EB7">
              <w:rPr>
                <w:b w:val="0"/>
                <w:sz w:val="16"/>
                <w:szCs w:val="16"/>
                <w:lang w:val="en-GB"/>
              </w:rPr>
              <w:t>65</w:t>
            </w:r>
            <w:r>
              <w:rPr>
                <w:b w:val="0"/>
                <w:sz w:val="16"/>
                <w:szCs w:val="16"/>
                <w:lang w:val="en-GB"/>
              </w:rPr>
              <w:t>+</w:t>
            </w:r>
            <w:r w:rsidRPr="005B4EB7">
              <w:rPr>
                <w:b w:val="0"/>
                <w:sz w:val="16"/>
                <w:szCs w:val="16"/>
                <w:lang w:val="en-GB"/>
              </w:rPr>
              <w:t xml:space="preserve"> – no children</w:t>
            </w:r>
          </w:p>
        </w:tc>
        <w:tc>
          <w:tcPr>
            <w:tcW w:w="2250" w:type="dxa"/>
            <w:vAlign w:val="center"/>
          </w:tcPr>
          <w:p w:rsidR="007B3E55" w:rsidRDefault="007B3E55" w:rsidP="00614C04">
            <w:pPr>
              <w:pStyle w:val="Heading2"/>
              <w:spacing w:before="60" w:after="60"/>
              <w:jc w:val="center"/>
              <w:rPr>
                <w:b w:val="0"/>
                <w:sz w:val="16"/>
                <w:szCs w:val="16"/>
              </w:rPr>
            </w:pPr>
            <w:r>
              <w:rPr>
                <w:b w:val="0"/>
                <w:sz w:val="16"/>
                <w:szCs w:val="16"/>
              </w:rPr>
              <w:t>73,300</w:t>
            </w:r>
          </w:p>
        </w:tc>
        <w:tc>
          <w:tcPr>
            <w:tcW w:w="2543" w:type="dxa"/>
            <w:vAlign w:val="center"/>
          </w:tcPr>
          <w:p w:rsidR="007B3E55" w:rsidRDefault="007B3E55" w:rsidP="00614C04">
            <w:pPr>
              <w:pStyle w:val="Heading2"/>
              <w:spacing w:before="60" w:after="60"/>
              <w:jc w:val="center"/>
              <w:rPr>
                <w:b w:val="0"/>
                <w:sz w:val="16"/>
                <w:szCs w:val="16"/>
              </w:rPr>
            </w:pPr>
            <w:r>
              <w:rPr>
                <w:b w:val="0"/>
                <w:sz w:val="16"/>
                <w:szCs w:val="16"/>
              </w:rPr>
              <w:t>35,300</w:t>
            </w:r>
          </w:p>
        </w:tc>
      </w:tr>
      <w:tr w:rsidR="007B3E55">
        <w:trPr>
          <w:jc w:val="center"/>
        </w:trPr>
        <w:tc>
          <w:tcPr>
            <w:tcW w:w="3414" w:type="dxa"/>
            <w:vAlign w:val="center"/>
          </w:tcPr>
          <w:p w:rsidR="007B3E55" w:rsidRPr="005B4EB7" w:rsidRDefault="007B3E55" w:rsidP="00614C04">
            <w:pPr>
              <w:pStyle w:val="Heading2"/>
              <w:spacing w:before="60" w:after="60"/>
              <w:rPr>
                <w:sz w:val="16"/>
                <w:szCs w:val="16"/>
              </w:rPr>
            </w:pPr>
            <w:r w:rsidRPr="005B4EB7">
              <w:rPr>
                <w:sz w:val="16"/>
                <w:szCs w:val="16"/>
              </w:rPr>
              <w:t>Whole population</w:t>
            </w:r>
          </w:p>
        </w:tc>
        <w:tc>
          <w:tcPr>
            <w:tcW w:w="2250" w:type="dxa"/>
            <w:vAlign w:val="center"/>
          </w:tcPr>
          <w:p w:rsidR="007B3E55" w:rsidRPr="005B4EB7" w:rsidRDefault="007B3E55" w:rsidP="00614C04">
            <w:pPr>
              <w:pStyle w:val="Heading2"/>
              <w:spacing w:before="60" w:after="60"/>
              <w:jc w:val="center"/>
              <w:rPr>
                <w:sz w:val="16"/>
                <w:szCs w:val="16"/>
              </w:rPr>
            </w:pPr>
            <w:r>
              <w:rPr>
                <w:sz w:val="16"/>
                <w:szCs w:val="16"/>
              </w:rPr>
              <w:t>49,700</w:t>
            </w:r>
          </w:p>
        </w:tc>
        <w:tc>
          <w:tcPr>
            <w:tcW w:w="2543" w:type="dxa"/>
            <w:vAlign w:val="center"/>
          </w:tcPr>
          <w:p w:rsidR="007B3E55" w:rsidRPr="005B4EB7" w:rsidRDefault="007B3E55" w:rsidP="00614C04">
            <w:pPr>
              <w:pStyle w:val="Heading2"/>
              <w:spacing w:before="60" w:after="60"/>
              <w:jc w:val="center"/>
              <w:rPr>
                <w:sz w:val="16"/>
                <w:szCs w:val="16"/>
              </w:rPr>
            </w:pPr>
            <w:r w:rsidRPr="005B4EB7">
              <w:rPr>
                <w:sz w:val="16"/>
                <w:szCs w:val="16"/>
              </w:rPr>
              <w:t>24</w:t>
            </w:r>
            <w:r>
              <w:rPr>
                <w:sz w:val="16"/>
                <w:szCs w:val="16"/>
              </w:rPr>
              <w:t>,9</w:t>
            </w:r>
            <w:r w:rsidRPr="005B4EB7">
              <w:rPr>
                <w:sz w:val="16"/>
                <w:szCs w:val="16"/>
              </w:rPr>
              <w:t>00</w:t>
            </w:r>
          </w:p>
        </w:tc>
      </w:tr>
    </w:tbl>
    <w:p w:rsidR="007B3E55" w:rsidRDefault="007B3E55" w:rsidP="007B3E55">
      <w:pPr>
        <w:pStyle w:val="Heading2"/>
        <w:ind w:left="1454" w:right="936" w:hanging="547"/>
        <w:jc w:val="both"/>
        <w:rPr>
          <w:b w:val="0"/>
          <w:sz w:val="18"/>
          <w:szCs w:val="18"/>
        </w:rPr>
      </w:pPr>
    </w:p>
    <w:p w:rsidR="007B3E55" w:rsidRPr="00BB3348" w:rsidRDefault="007B3E55" w:rsidP="007B3E55">
      <w:pPr>
        <w:ind w:left="990" w:hanging="540"/>
        <w:rPr>
          <w:sz w:val="18"/>
          <w:szCs w:val="18"/>
          <w:lang w:val="en-NZ"/>
        </w:rPr>
      </w:pPr>
    </w:p>
    <w:p w:rsidR="007B3E55" w:rsidRDefault="007B3E55" w:rsidP="007B3E55">
      <w:pPr>
        <w:pStyle w:val="Heading2"/>
        <w:ind w:left="990" w:hanging="540"/>
        <w:rPr>
          <w:b w:val="0"/>
          <w:sz w:val="18"/>
          <w:szCs w:val="18"/>
        </w:rPr>
      </w:pPr>
      <w:r w:rsidRPr="00BB3348">
        <w:rPr>
          <w:b w:val="0"/>
          <w:sz w:val="18"/>
          <w:szCs w:val="18"/>
        </w:rPr>
        <w:t xml:space="preserve">Note:  </w:t>
      </w:r>
      <w:r>
        <w:rPr>
          <w:b w:val="0"/>
          <w:sz w:val="18"/>
          <w:szCs w:val="18"/>
        </w:rPr>
        <w:t>S</w:t>
      </w:r>
      <w:r w:rsidRPr="00BB3348">
        <w:rPr>
          <w:b w:val="0"/>
          <w:sz w:val="18"/>
          <w:szCs w:val="18"/>
        </w:rPr>
        <w:t xml:space="preserve">ee </w:t>
      </w:r>
      <w:r>
        <w:rPr>
          <w:b w:val="0"/>
          <w:sz w:val="18"/>
          <w:szCs w:val="18"/>
        </w:rPr>
        <w:t xml:space="preserve">the </w:t>
      </w:r>
      <w:r w:rsidRPr="00BB3348">
        <w:rPr>
          <w:b w:val="0"/>
          <w:sz w:val="18"/>
          <w:szCs w:val="18"/>
        </w:rPr>
        <w:t>box on previous page for further information about the relationship between the two columns of figures in these tables.</w:t>
      </w:r>
    </w:p>
    <w:p w:rsidR="007B3E55" w:rsidRDefault="007B3E55" w:rsidP="007B3E55">
      <w:pPr>
        <w:pStyle w:val="Heading2"/>
        <w:ind w:left="990" w:hanging="540"/>
        <w:rPr>
          <w:b w:val="0"/>
          <w:sz w:val="18"/>
          <w:szCs w:val="18"/>
        </w:rPr>
      </w:pPr>
    </w:p>
    <w:p w:rsidR="007B3E55" w:rsidRPr="001F42D8" w:rsidRDefault="007B3E55" w:rsidP="007B3E55">
      <w:pPr>
        <w:pStyle w:val="Heading2"/>
        <w:rPr>
          <w:sz w:val="24"/>
        </w:rPr>
      </w:pPr>
      <w:r w:rsidRPr="00BB3348">
        <w:rPr>
          <w:b w:val="0"/>
          <w:sz w:val="18"/>
          <w:szCs w:val="18"/>
        </w:rPr>
        <w:br w:type="page"/>
      </w:r>
      <w:r w:rsidRPr="001F42D8">
        <w:rPr>
          <w:sz w:val="24"/>
        </w:rPr>
        <w:lastRenderedPageBreak/>
        <w:t>Income distribution for the whole population, HES 20</w:t>
      </w:r>
      <w:bookmarkEnd w:id="15"/>
      <w:bookmarkEnd w:id="16"/>
      <w:r>
        <w:rPr>
          <w:sz w:val="24"/>
        </w:rPr>
        <w:t>10</w:t>
      </w:r>
    </w:p>
    <w:p w:rsidR="007B3E55" w:rsidRPr="001F42D8" w:rsidRDefault="007B3E55" w:rsidP="007B3E55">
      <w:pPr>
        <w:rPr>
          <w:rFonts w:cs="Arial"/>
          <w:sz w:val="20"/>
          <w:szCs w:val="22"/>
          <w:lang w:val="en-NZ"/>
        </w:rPr>
      </w:pPr>
    </w:p>
    <w:p w:rsidR="007B3E55" w:rsidRPr="001F42D8" w:rsidRDefault="007B3E55" w:rsidP="007B3E55">
      <w:pPr>
        <w:pStyle w:val="Heading2"/>
        <w:jc w:val="both"/>
        <w:rPr>
          <w:b w:val="0"/>
          <w:sz w:val="20"/>
          <w:szCs w:val="22"/>
        </w:rPr>
      </w:pPr>
      <w:r w:rsidRPr="001F42D8">
        <w:rPr>
          <w:sz w:val="20"/>
          <w:szCs w:val="22"/>
        </w:rPr>
        <w:t>Figures B.1 and B.2</w:t>
      </w:r>
      <w:r w:rsidRPr="001F42D8">
        <w:rPr>
          <w:b w:val="0"/>
          <w:sz w:val="20"/>
          <w:szCs w:val="22"/>
        </w:rPr>
        <w:t xml:space="preserve"> (next page) show the general shape of the income distribution for the whole population, with the 65+ age-group distinguished from the rest. </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The graphs also show two of the main low-income thresholds (‘poverty lines’) that are used later in the report: 50% and 60% of the (current survey) median for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incomes, and these less 25% for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incomes.</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Apart from the skew to the left with a long right-hand tail of higher household incomes, the distinctive feature of the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distribution is the ‘pensioner spike’ just above the 50% threshold, and the strong bunching of those aged 65+ in households with incomes in the 50% to 70% of median range.  The pensioner spike arises because:</w:t>
      </w:r>
    </w:p>
    <w:p w:rsidR="007B3E55" w:rsidRPr="001F42D8" w:rsidRDefault="007B3E55" w:rsidP="00614C04">
      <w:pPr>
        <w:numPr>
          <w:ilvl w:val="0"/>
          <w:numId w:val="32"/>
        </w:numPr>
        <w:tabs>
          <w:tab w:val="clear" w:pos="720"/>
          <w:tab w:val="left" w:pos="450"/>
        </w:tabs>
        <w:spacing w:before="60"/>
        <w:ind w:left="461" w:hanging="274"/>
        <w:jc w:val="both"/>
        <w:rPr>
          <w:rFonts w:cs="Arial"/>
          <w:sz w:val="20"/>
          <w:szCs w:val="22"/>
          <w:lang w:val="en-NZ"/>
        </w:rPr>
      </w:pPr>
      <w:r w:rsidRPr="001F42D8">
        <w:rPr>
          <w:rFonts w:cs="Arial"/>
          <w:sz w:val="20"/>
          <w:szCs w:val="22"/>
          <w:lang w:val="en-NZ"/>
        </w:rPr>
        <w:t>New Zealand has a universal pension for those aged 65 and over</w:t>
      </w:r>
      <w:r w:rsidRPr="001F42D8">
        <w:rPr>
          <w:rStyle w:val="FootnoteReference"/>
          <w:rFonts w:cs="Arial"/>
          <w:sz w:val="20"/>
          <w:szCs w:val="22"/>
          <w:lang w:val="en-NZ"/>
        </w:rPr>
        <w:footnoteReference w:id="26"/>
      </w:r>
      <w:r w:rsidRPr="001F42D8">
        <w:rPr>
          <w:rFonts w:cs="Arial"/>
          <w:sz w:val="20"/>
          <w:szCs w:val="22"/>
          <w:lang w:val="en-NZ"/>
        </w:rPr>
        <w:t xml:space="preserve"> that is neither income nor asset tested (New Zealand Superannuation (NZS)) </w:t>
      </w:r>
    </w:p>
    <w:p w:rsidR="007B3E55" w:rsidRPr="001F42D8" w:rsidRDefault="007B3E55" w:rsidP="00614C04">
      <w:pPr>
        <w:numPr>
          <w:ilvl w:val="0"/>
          <w:numId w:val="32"/>
        </w:numPr>
        <w:tabs>
          <w:tab w:val="clear" w:pos="720"/>
          <w:tab w:val="left" w:pos="450"/>
        </w:tabs>
        <w:spacing w:before="60"/>
        <w:ind w:left="461" w:hanging="274"/>
        <w:jc w:val="both"/>
        <w:rPr>
          <w:rFonts w:cs="Arial"/>
          <w:sz w:val="20"/>
          <w:szCs w:val="22"/>
          <w:lang w:val="en-NZ"/>
        </w:rPr>
      </w:pPr>
      <w:r w:rsidRPr="001F42D8">
        <w:rPr>
          <w:rFonts w:cs="Arial"/>
          <w:sz w:val="20"/>
          <w:szCs w:val="22"/>
          <w:lang w:val="en-NZ"/>
        </w:rPr>
        <w:t>there is no mandatory second tier employment-related component</w:t>
      </w:r>
    </w:p>
    <w:p w:rsidR="007B3E55" w:rsidRPr="001D7415" w:rsidRDefault="007B3E55" w:rsidP="00614C04">
      <w:pPr>
        <w:numPr>
          <w:ilvl w:val="0"/>
          <w:numId w:val="32"/>
        </w:numPr>
        <w:tabs>
          <w:tab w:val="clear" w:pos="720"/>
          <w:tab w:val="left" w:pos="450"/>
        </w:tabs>
        <w:spacing w:before="60"/>
        <w:ind w:left="461" w:hanging="274"/>
        <w:jc w:val="both"/>
        <w:rPr>
          <w:rFonts w:cs="Arial"/>
          <w:sz w:val="20"/>
          <w:szCs w:val="22"/>
          <w:lang w:val="en-NZ"/>
        </w:rPr>
      </w:pPr>
      <w:r>
        <w:rPr>
          <w:rFonts w:cs="Arial"/>
          <w:sz w:val="20"/>
          <w:szCs w:val="22"/>
          <w:lang w:val="en-NZ"/>
        </w:rPr>
        <w:t xml:space="preserve">in 2010, 50% of those </w:t>
      </w:r>
      <w:r w:rsidRPr="001D7415">
        <w:rPr>
          <w:rFonts w:cs="Arial"/>
          <w:sz w:val="20"/>
          <w:szCs w:val="22"/>
          <w:lang w:val="en-NZ"/>
        </w:rPr>
        <w:t>aged 65+ report household incomes of less than $</w:t>
      </w:r>
      <w:r>
        <w:rPr>
          <w:rFonts w:cs="Arial"/>
          <w:sz w:val="20"/>
          <w:szCs w:val="22"/>
          <w:lang w:val="en-NZ"/>
        </w:rPr>
        <w:t>10</w:t>
      </w:r>
      <w:r w:rsidRPr="001D7415">
        <w:rPr>
          <w:rFonts w:cs="Arial"/>
          <w:sz w:val="20"/>
          <w:szCs w:val="22"/>
          <w:lang w:val="en-NZ"/>
        </w:rPr>
        <w:t xml:space="preserve">0pw (per capita) from sources other than NZS, and around </w:t>
      </w:r>
      <w:r>
        <w:rPr>
          <w:rFonts w:cs="Arial"/>
          <w:sz w:val="20"/>
          <w:szCs w:val="22"/>
          <w:lang w:val="en-NZ"/>
        </w:rPr>
        <w:t>40%</w:t>
      </w:r>
      <w:r w:rsidRPr="001D7415">
        <w:rPr>
          <w:rFonts w:cs="Arial"/>
          <w:sz w:val="20"/>
          <w:szCs w:val="22"/>
          <w:lang w:val="en-NZ"/>
        </w:rPr>
        <w:t xml:space="preserve"> report less than $</w:t>
      </w:r>
      <w:r>
        <w:rPr>
          <w:rFonts w:cs="Arial"/>
          <w:sz w:val="20"/>
          <w:szCs w:val="22"/>
          <w:lang w:val="en-NZ"/>
        </w:rPr>
        <w:t>5</w:t>
      </w:r>
      <w:r w:rsidRPr="001D7415">
        <w:rPr>
          <w:rFonts w:cs="Arial"/>
          <w:sz w:val="20"/>
          <w:szCs w:val="22"/>
          <w:lang w:val="en-NZ"/>
        </w:rPr>
        <w:t xml:space="preserve">0pw from other sources   </w:t>
      </w:r>
    </w:p>
    <w:p w:rsidR="007B3E55" w:rsidRPr="001F42D8" w:rsidRDefault="007B3E55" w:rsidP="00614C04">
      <w:pPr>
        <w:numPr>
          <w:ilvl w:val="0"/>
          <w:numId w:val="32"/>
        </w:numPr>
        <w:tabs>
          <w:tab w:val="clear" w:pos="720"/>
          <w:tab w:val="left" w:pos="450"/>
        </w:tabs>
        <w:spacing w:before="60"/>
        <w:ind w:left="461" w:hanging="274"/>
        <w:jc w:val="both"/>
        <w:rPr>
          <w:rFonts w:cs="Arial"/>
          <w:sz w:val="20"/>
          <w:szCs w:val="22"/>
          <w:lang w:val="en-NZ"/>
        </w:rPr>
      </w:pPr>
      <w:r w:rsidRPr="001F42D8">
        <w:rPr>
          <w:rFonts w:cs="Arial"/>
          <w:sz w:val="20"/>
          <w:szCs w:val="22"/>
          <w:lang w:val="en-NZ"/>
        </w:rPr>
        <w:t xml:space="preserve">the value of NZS was </w:t>
      </w:r>
      <w:r>
        <w:rPr>
          <w:rFonts w:cs="Arial"/>
          <w:sz w:val="20"/>
          <w:szCs w:val="22"/>
          <w:lang w:val="en-NZ"/>
        </w:rPr>
        <w:t>around 51%</w:t>
      </w:r>
      <w:r w:rsidRPr="001F42D8">
        <w:rPr>
          <w:rFonts w:cs="Arial"/>
          <w:sz w:val="20"/>
          <w:szCs w:val="22"/>
          <w:lang w:val="en-NZ"/>
        </w:rPr>
        <w:t xml:space="preserve"> of the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median in </w:t>
      </w:r>
      <w:r>
        <w:rPr>
          <w:rFonts w:cs="Arial"/>
          <w:sz w:val="20"/>
          <w:szCs w:val="22"/>
          <w:lang w:val="en-NZ"/>
        </w:rPr>
        <w:t xml:space="preserve">the </w:t>
      </w:r>
      <w:r w:rsidRPr="001F42D8">
        <w:rPr>
          <w:rFonts w:cs="Arial"/>
          <w:sz w:val="20"/>
          <w:szCs w:val="22"/>
          <w:lang w:val="en-NZ"/>
        </w:rPr>
        <w:t>20</w:t>
      </w:r>
      <w:r>
        <w:rPr>
          <w:rFonts w:cs="Arial"/>
          <w:sz w:val="20"/>
          <w:szCs w:val="22"/>
          <w:lang w:val="en-NZ"/>
        </w:rPr>
        <w:t>10 HES and 53% in the 2010-11 HES</w:t>
      </w:r>
      <w:r w:rsidRPr="001F42D8">
        <w:rPr>
          <w:rFonts w:cs="Arial"/>
          <w:sz w:val="20"/>
          <w:szCs w:val="22"/>
          <w:lang w:val="en-NZ"/>
        </w:rPr>
        <w:t xml:space="preserve"> (between 51% and 67% from 1988-2008</w:t>
      </w:r>
      <w:r>
        <w:rPr>
          <w:rFonts w:cs="Arial"/>
          <w:sz w:val="20"/>
          <w:szCs w:val="22"/>
          <w:lang w:val="en-NZ"/>
        </w:rPr>
        <w:t>, 48% in 2009</w:t>
      </w:r>
      <w:r w:rsidRPr="001F42D8">
        <w:rPr>
          <w:rFonts w:cs="Arial"/>
          <w:sz w:val="20"/>
          <w:szCs w:val="22"/>
          <w:lang w:val="en-NZ"/>
        </w:rPr>
        <w:t>).</w:t>
      </w:r>
      <w:r w:rsidRPr="001F42D8">
        <w:rPr>
          <w:rStyle w:val="FootnoteReference"/>
          <w:rFonts w:cs="Arial"/>
          <w:sz w:val="20"/>
          <w:szCs w:val="22"/>
          <w:lang w:val="en-NZ"/>
        </w:rPr>
        <w:footnoteReference w:id="27"/>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This strong bunching of incomes for older New Zealanders in the 50% to 70% of median range has implications for the reporting of poverty rates for this group.  When using thresholds set as a proportion of the current median, a small shift in the median from one year to the next can lead to a very large change in reported income poverty for the 65+ even though there has been little or no change in their income or living standards.  Similarly, using a 50% of median income threshold gives a very different picture than when a 60% threshold is used.</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For the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distribution, there is still a reasonably strong bunching of incomes between the median and the 60% threshold used with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incomes, but the pensioner ‘spike’ is broadened out and in the main lies above the 50% and 60% thresholds.  This happens because of the high proportion of older New Zealanders with mortgage-free homes and very low housing costs.   Small shifts in the median or the threshold do not therefore have the same disproportionate and misleading effects on (trends in) poverty rates as they do when using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incomes.  In addition, differing housing costs among some lower-income 65+ households spread their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incomes over a wider range than their </w:t>
      </w:r>
      <w:smartTag w:uri="urn:schemas-microsoft-com:office:smarttags" w:element="stockticker">
        <w:r w:rsidRPr="001F42D8">
          <w:rPr>
            <w:rFonts w:cs="Arial"/>
            <w:sz w:val="20"/>
            <w:szCs w:val="22"/>
            <w:lang w:val="en-NZ"/>
          </w:rPr>
          <w:t>BHC</w:t>
        </w:r>
      </w:smartTag>
      <w:r w:rsidRPr="001F42D8">
        <w:rPr>
          <w:rFonts w:cs="Arial"/>
          <w:sz w:val="20"/>
          <w:szCs w:val="22"/>
          <w:lang w:val="en-NZ"/>
        </w:rPr>
        <w:t xml:space="preserve"> incomes.  These two factors combined form part of the rationale for this report’s position that using </w:t>
      </w:r>
      <w:smartTag w:uri="urn:schemas-microsoft-com:office:smarttags" w:element="stockticker">
        <w:r w:rsidRPr="001F42D8">
          <w:rPr>
            <w:rFonts w:cs="Arial"/>
            <w:sz w:val="20"/>
            <w:szCs w:val="22"/>
            <w:lang w:val="en-NZ"/>
          </w:rPr>
          <w:t>AHC</w:t>
        </w:r>
      </w:smartTag>
      <w:r w:rsidRPr="001F42D8">
        <w:rPr>
          <w:rFonts w:cs="Arial"/>
          <w:sz w:val="20"/>
          <w:szCs w:val="22"/>
          <w:lang w:val="en-NZ"/>
        </w:rPr>
        <w:t xml:space="preserve"> incomes is more useful for monitoring poverty trends for older New Zealanders and for making comparisons with the rest of the population.  This is discussed further in </w:t>
      </w:r>
      <w:r w:rsidRPr="001F42D8">
        <w:rPr>
          <w:rFonts w:cs="Arial"/>
          <w:b/>
          <w:sz w:val="20"/>
          <w:szCs w:val="22"/>
          <w:lang w:val="en-NZ"/>
        </w:rPr>
        <w:t>Section E</w:t>
      </w:r>
      <w:r w:rsidRPr="001F42D8">
        <w:rPr>
          <w:rFonts w:cs="Arial"/>
          <w:sz w:val="20"/>
          <w:szCs w:val="22"/>
          <w:lang w:val="en-NZ"/>
        </w:rPr>
        <w:t xml:space="preserve"> and in </w:t>
      </w:r>
      <w:r w:rsidRPr="001F42D8">
        <w:rPr>
          <w:rFonts w:cs="Arial"/>
          <w:b/>
          <w:sz w:val="20"/>
          <w:szCs w:val="22"/>
          <w:lang w:val="en-NZ"/>
        </w:rPr>
        <w:t>Appendix 5</w:t>
      </w:r>
      <w:r w:rsidRPr="001F42D8">
        <w:rPr>
          <w:rFonts w:cs="Arial"/>
          <w:sz w:val="20"/>
          <w:szCs w:val="22"/>
          <w:lang w:val="en-NZ"/>
        </w:rPr>
        <w:t>.</w:t>
      </w:r>
    </w:p>
    <w:p w:rsidR="007B3E55" w:rsidRDefault="007B3E55" w:rsidP="007B3E55">
      <w:pPr>
        <w:rPr>
          <w:rFonts w:cs="Arial"/>
          <w:b/>
          <w:szCs w:val="22"/>
          <w:lang w:val="en-NZ"/>
        </w:rPr>
      </w:pPr>
    </w:p>
    <w:p w:rsidR="007B3E55" w:rsidRDefault="007B3E55" w:rsidP="007B3E55">
      <w:pPr>
        <w:jc w:val="both"/>
        <w:rPr>
          <w:rFonts w:cs="Arial"/>
          <w:b/>
          <w:szCs w:val="22"/>
          <w:lang w:val="en-NZ"/>
        </w:rPr>
      </w:pPr>
    </w:p>
    <w:p w:rsidR="007B3E55" w:rsidRPr="001F42D8" w:rsidRDefault="007B3E55" w:rsidP="007B3E55">
      <w:pPr>
        <w:jc w:val="center"/>
        <w:rPr>
          <w:rFonts w:cs="Arial"/>
          <w:b/>
          <w:sz w:val="20"/>
          <w:szCs w:val="22"/>
          <w:lang w:val="en-NZ"/>
        </w:rPr>
      </w:pPr>
      <w:r>
        <w:rPr>
          <w:rFonts w:cs="Arial"/>
          <w:szCs w:val="22"/>
          <w:lang w:val="en-NZ"/>
        </w:rPr>
        <w:br w:type="page"/>
      </w:r>
      <w:r w:rsidRPr="001F42D8">
        <w:rPr>
          <w:rFonts w:cs="Arial"/>
          <w:b/>
          <w:sz w:val="20"/>
          <w:szCs w:val="22"/>
          <w:lang w:val="en-NZ"/>
        </w:rPr>
        <w:lastRenderedPageBreak/>
        <w:t>Figure B.1</w:t>
      </w:r>
    </w:p>
    <w:p w:rsidR="007B3E55" w:rsidRPr="001F42D8" w:rsidRDefault="007B3E55" w:rsidP="007B3E55">
      <w:pPr>
        <w:jc w:val="center"/>
        <w:rPr>
          <w:rFonts w:cs="Arial"/>
          <w:b/>
          <w:sz w:val="20"/>
          <w:szCs w:val="22"/>
          <w:lang w:val="en-NZ"/>
        </w:rPr>
      </w:pPr>
      <w:smartTag w:uri="urn:schemas-microsoft-com:office:smarttags" w:element="stockticker">
        <w:r w:rsidRPr="001F42D8">
          <w:rPr>
            <w:rFonts w:cs="Arial"/>
            <w:b/>
            <w:sz w:val="20"/>
            <w:szCs w:val="22"/>
            <w:lang w:val="en-NZ"/>
          </w:rPr>
          <w:t>BHC</w:t>
        </w:r>
      </w:smartTag>
      <w:r w:rsidRPr="001F42D8">
        <w:rPr>
          <w:rFonts w:cs="Arial"/>
          <w:b/>
          <w:sz w:val="20"/>
          <w:szCs w:val="22"/>
          <w:lang w:val="en-NZ"/>
        </w:rPr>
        <w:t xml:space="preserve"> household income distribution for all individuals: HES </w:t>
      </w:r>
      <w:r>
        <w:rPr>
          <w:rFonts w:cs="Arial"/>
          <w:b/>
          <w:sz w:val="20"/>
          <w:szCs w:val="22"/>
          <w:lang w:val="en-NZ"/>
        </w:rPr>
        <w:t>2011</w:t>
      </w:r>
    </w:p>
    <w:p w:rsidR="007B3E55" w:rsidRPr="00BA43F4" w:rsidRDefault="00EC0BE0" w:rsidP="007B3E55">
      <w:pPr>
        <w:jc w:val="center"/>
        <w:rPr>
          <w:szCs w:val="22"/>
        </w:rPr>
      </w:pPr>
      <w:r>
        <w:rPr>
          <w:noProof/>
          <w:lang w:val="en-US"/>
        </w:rPr>
        <w:drawing>
          <wp:inline distT="0" distB="0" distL="0" distR="0">
            <wp:extent cx="4886325"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886325" cy="3219450"/>
                    </a:xfrm>
                    <a:prstGeom prst="rect">
                      <a:avLst/>
                    </a:prstGeom>
                    <a:noFill/>
                    <a:ln w="9525">
                      <a:noFill/>
                      <a:miter lim="800000"/>
                      <a:headEnd/>
                      <a:tailEnd/>
                    </a:ln>
                  </pic:spPr>
                </pic:pic>
              </a:graphicData>
            </a:graphic>
          </wp:inline>
        </w:drawing>
      </w:r>
    </w:p>
    <w:p w:rsidR="007B3E55" w:rsidRDefault="007B3E55" w:rsidP="007B3E55">
      <w:pPr>
        <w:jc w:val="both"/>
        <w:rPr>
          <w:rFonts w:cs="Arial"/>
          <w:szCs w:val="22"/>
          <w:lang w:val="en-NZ"/>
        </w:rPr>
      </w:pPr>
    </w:p>
    <w:p w:rsidR="007B3E55" w:rsidRPr="001F42D8" w:rsidRDefault="007B3E55" w:rsidP="007B3E55">
      <w:pPr>
        <w:jc w:val="center"/>
        <w:rPr>
          <w:rFonts w:cs="Arial"/>
          <w:b/>
          <w:sz w:val="20"/>
          <w:szCs w:val="22"/>
          <w:lang w:val="en-NZ"/>
        </w:rPr>
      </w:pPr>
      <w:r w:rsidRPr="001F42D8">
        <w:rPr>
          <w:rFonts w:cs="Arial"/>
          <w:b/>
          <w:sz w:val="20"/>
          <w:szCs w:val="22"/>
          <w:lang w:val="en-NZ"/>
        </w:rPr>
        <w:t>Figure B.2</w:t>
      </w:r>
    </w:p>
    <w:p w:rsidR="007B3E55" w:rsidRPr="001F42D8" w:rsidRDefault="007B3E55" w:rsidP="007B3E55">
      <w:pPr>
        <w:jc w:val="center"/>
        <w:rPr>
          <w:rFonts w:cs="Arial"/>
          <w:b/>
          <w:sz w:val="20"/>
          <w:szCs w:val="22"/>
          <w:lang w:val="en-NZ"/>
        </w:rPr>
      </w:pPr>
      <w:smartTag w:uri="urn:schemas-microsoft-com:office:smarttags" w:element="stockticker">
        <w:r w:rsidRPr="001F42D8">
          <w:rPr>
            <w:rFonts w:cs="Arial"/>
            <w:b/>
            <w:sz w:val="20"/>
            <w:szCs w:val="22"/>
            <w:lang w:val="en-NZ"/>
          </w:rPr>
          <w:t>AHC</w:t>
        </w:r>
      </w:smartTag>
      <w:r w:rsidRPr="001F42D8">
        <w:rPr>
          <w:rFonts w:cs="Arial"/>
          <w:b/>
          <w:sz w:val="20"/>
          <w:szCs w:val="22"/>
          <w:lang w:val="en-NZ"/>
        </w:rPr>
        <w:t xml:space="preserve"> household income distribution for all individuals: HES 20</w:t>
      </w:r>
      <w:r>
        <w:rPr>
          <w:rFonts w:cs="Arial"/>
          <w:b/>
          <w:sz w:val="20"/>
          <w:szCs w:val="22"/>
          <w:lang w:val="en-NZ"/>
        </w:rPr>
        <w:t>11</w:t>
      </w:r>
    </w:p>
    <w:p w:rsidR="007B3E55" w:rsidRPr="00BA43F4" w:rsidRDefault="00EC0BE0" w:rsidP="007B3E55">
      <w:pPr>
        <w:jc w:val="center"/>
        <w:rPr>
          <w:szCs w:val="22"/>
        </w:rPr>
      </w:pPr>
      <w:r>
        <w:rPr>
          <w:noProof/>
          <w:lang w:val="en-US"/>
        </w:rPr>
        <w:drawing>
          <wp:inline distT="0" distB="0" distL="0" distR="0">
            <wp:extent cx="5038725"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038725" cy="3314700"/>
                    </a:xfrm>
                    <a:prstGeom prst="rect">
                      <a:avLst/>
                    </a:prstGeom>
                    <a:noFill/>
                    <a:ln w="9525">
                      <a:noFill/>
                      <a:miter lim="800000"/>
                      <a:headEnd/>
                      <a:tailEnd/>
                    </a:ln>
                  </pic:spPr>
                </pic:pic>
              </a:graphicData>
            </a:graphic>
          </wp:inline>
        </w:drawing>
      </w:r>
    </w:p>
    <w:p w:rsidR="007B3E55" w:rsidRPr="00AD1CE5" w:rsidRDefault="007B3E55" w:rsidP="007B3E55">
      <w:pPr>
        <w:jc w:val="both"/>
        <w:rPr>
          <w:rFonts w:cs="Arial"/>
          <w:szCs w:val="22"/>
          <w:lang w:val="en-NZ"/>
        </w:rPr>
      </w:pPr>
    </w:p>
    <w:p w:rsidR="007B3E55" w:rsidRDefault="007B3E55" w:rsidP="007B3E55">
      <w:pPr>
        <w:tabs>
          <w:tab w:val="left" w:pos="900"/>
        </w:tabs>
        <w:spacing w:after="120"/>
        <w:ind w:left="1080" w:right="281" w:hanging="810"/>
        <w:jc w:val="both"/>
        <w:rPr>
          <w:sz w:val="18"/>
          <w:szCs w:val="18"/>
          <w:lang w:val="en-NZ"/>
        </w:rPr>
      </w:pPr>
      <w:r w:rsidRPr="003F254A">
        <w:rPr>
          <w:sz w:val="18"/>
          <w:szCs w:val="18"/>
          <w:lang w:val="en-NZ"/>
        </w:rPr>
        <w:t>Note</w:t>
      </w:r>
      <w:r>
        <w:rPr>
          <w:sz w:val="18"/>
          <w:szCs w:val="18"/>
          <w:lang w:val="en-NZ"/>
        </w:rPr>
        <w:t>s</w:t>
      </w:r>
      <w:r w:rsidRPr="003F254A">
        <w:rPr>
          <w:sz w:val="18"/>
          <w:szCs w:val="18"/>
          <w:lang w:val="en-NZ"/>
        </w:rPr>
        <w:t xml:space="preserve">:  </w:t>
      </w:r>
      <w:r>
        <w:rPr>
          <w:sz w:val="18"/>
          <w:szCs w:val="18"/>
          <w:lang w:val="en-NZ"/>
        </w:rPr>
        <w:t>1</w:t>
      </w:r>
      <w:r>
        <w:rPr>
          <w:sz w:val="18"/>
          <w:szCs w:val="18"/>
          <w:lang w:val="en-NZ"/>
        </w:rPr>
        <w:tab/>
      </w:r>
      <w:r w:rsidRPr="003F254A">
        <w:rPr>
          <w:sz w:val="18"/>
          <w:szCs w:val="18"/>
          <w:lang w:val="en-NZ"/>
        </w:rPr>
        <w:t xml:space="preserve">For both graphs, </w:t>
      </w:r>
      <w:r>
        <w:rPr>
          <w:sz w:val="18"/>
          <w:szCs w:val="18"/>
          <w:lang w:val="en-NZ"/>
        </w:rPr>
        <w:t>individuals</w:t>
      </w:r>
      <w:r w:rsidRPr="003F254A">
        <w:rPr>
          <w:sz w:val="18"/>
          <w:szCs w:val="18"/>
          <w:lang w:val="en-NZ"/>
        </w:rPr>
        <w:t xml:space="preserve"> are grou</w:t>
      </w:r>
      <w:r>
        <w:rPr>
          <w:sz w:val="18"/>
          <w:szCs w:val="18"/>
          <w:lang w:val="en-NZ"/>
        </w:rPr>
        <w:t xml:space="preserve">ped by their household incomes in multiples of $1500 </w:t>
      </w:r>
      <w:r w:rsidRPr="003F254A">
        <w:rPr>
          <w:sz w:val="18"/>
          <w:szCs w:val="18"/>
          <w:lang w:val="en-NZ"/>
        </w:rPr>
        <w:t>pa ($</w:t>
      </w:r>
      <w:r>
        <w:rPr>
          <w:sz w:val="18"/>
          <w:szCs w:val="18"/>
          <w:lang w:val="en-NZ"/>
        </w:rPr>
        <w:t>3</w:t>
      </w:r>
      <w:r w:rsidRPr="003F254A">
        <w:rPr>
          <w:sz w:val="18"/>
          <w:szCs w:val="18"/>
          <w:lang w:val="en-NZ"/>
        </w:rPr>
        <w:t>0</w:t>
      </w:r>
      <w:r>
        <w:rPr>
          <w:sz w:val="18"/>
          <w:szCs w:val="18"/>
          <w:lang w:val="en-NZ"/>
        </w:rPr>
        <w:t xml:space="preserve"> </w:t>
      </w:r>
      <w:r w:rsidRPr="003F254A">
        <w:rPr>
          <w:sz w:val="18"/>
          <w:szCs w:val="18"/>
          <w:lang w:val="en-NZ"/>
        </w:rPr>
        <w:t>pw)</w:t>
      </w:r>
      <w:r>
        <w:rPr>
          <w:sz w:val="18"/>
          <w:szCs w:val="18"/>
          <w:lang w:val="en-NZ"/>
        </w:rPr>
        <w:t xml:space="preserve">.  This is a rough and ready way of showing the shape of the income distribution </w:t>
      </w:r>
      <w:r w:rsidRPr="003F254A">
        <w:rPr>
          <w:sz w:val="18"/>
          <w:szCs w:val="18"/>
          <w:lang w:val="en-NZ"/>
        </w:rPr>
        <w:t>and the number of people in different income bands</w:t>
      </w:r>
      <w:r>
        <w:rPr>
          <w:sz w:val="18"/>
          <w:szCs w:val="18"/>
          <w:lang w:val="en-NZ"/>
        </w:rPr>
        <w:t xml:space="preserve">.  </w:t>
      </w:r>
    </w:p>
    <w:p w:rsidR="007B3E55" w:rsidRDefault="007B3E55" w:rsidP="007B3E55">
      <w:pPr>
        <w:tabs>
          <w:tab w:val="left" w:pos="900"/>
        </w:tabs>
        <w:spacing w:after="120"/>
        <w:ind w:left="1080" w:right="281" w:hanging="810"/>
        <w:jc w:val="both"/>
        <w:rPr>
          <w:sz w:val="18"/>
          <w:szCs w:val="18"/>
          <w:lang w:val="en-NZ"/>
        </w:rPr>
      </w:pPr>
      <w:r>
        <w:rPr>
          <w:sz w:val="18"/>
          <w:szCs w:val="18"/>
          <w:lang w:val="en-NZ"/>
        </w:rPr>
        <w:tab/>
        <w:t>2</w:t>
      </w:r>
      <w:r>
        <w:rPr>
          <w:sz w:val="18"/>
          <w:szCs w:val="18"/>
          <w:lang w:val="en-NZ"/>
        </w:rPr>
        <w:tab/>
        <w:t>Figure B.1 draws attention</w:t>
      </w:r>
      <w:r w:rsidRPr="003F254A">
        <w:rPr>
          <w:sz w:val="18"/>
          <w:szCs w:val="18"/>
          <w:lang w:val="en-NZ"/>
        </w:rPr>
        <w:t xml:space="preserve"> to the pensioner spike in the </w:t>
      </w:r>
      <w:smartTag w:uri="urn:schemas-microsoft-com:office:smarttags" w:element="stockticker">
        <w:r w:rsidRPr="003F254A">
          <w:rPr>
            <w:sz w:val="18"/>
            <w:szCs w:val="18"/>
            <w:lang w:val="en-NZ"/>
          </w:rPr>
          <w:t>BHC</w:t>
        </w:r>
      </w:smartTag>
      <w:r w:rsidRPr="003F254A">
        <w:rPr>
          <w:sz w:val="18"/>
          <w:szCs w:val="18"/>
          <w:lang w:val="en-NZ"/>
        </w:rPr>
        <w:t xml:space="preserve"> distribution.</w:t>
      </w:r>
      <w:r>
        <w:rPr>
          <w:sz w:val="18"/>
          <w:szCs w:val="18"/>
          <w:lang w:val="en-NZ"/>
        </w:rPr>
        <w:t xml:space="preserve"> In 2010 the pensioner spike is just above the 50% of median line.  </w:t>
      </w:r>
    </w:p>
    <w:p w:rsidR="007B3E55" w:rsidRPr="003F254A" w:rsidRDefault="007B3E55" w:rsidP="007B3E55">
      <w:pPr>
        <w:tabs>
          <w:tab w:val="left" w:pos="900"/>
        </w:tabs>
        <w:ind w:left="1080" w:right="281" w:hanging="900"/>
        <w:jc w:val="both"/>
        <w:rPr>
          <w:sz w:val="18"/>
          <w:szCs w:val="18"/>
          <w:lang w:val="en-NZ"/>
        </w:rPr>
      </w:pPr>
      <w:r>
        <w:rPr>
          <w:sz w:val="18"/>
          <w:szCs w:val="18"/>
          <w:lang w:val="en-NZ"/>
        </w:rPr>
        <w:tab/>
        <w:t>3</w:t>
      </w:r>
      <w:r>
        <w:rPr>
          <w:sz w:val="18"/>
          <w:szCs w:val="18"/>
          <w:lang w:val="en-NZ"/>
        </w:rPr>
        <w:tab/>
        <w:t xml:space="preserve">The </w:t>
      </w:r>
      <w:smartTag w:uri="urn:schemas-microsoft-com:office:smarttags" w:element="stockticker">
        <w:r>
          <w:rPr>
            <w:sz w:val="18"/>
            <w:szCs w:val="18"/>
            <w:lang w:val="en-NZ"/>
          </w:rPr>
          <w:t>AHC</w:t>
        </w:r>
      </w:smartTag>
      <w:r>
        <w:rPr>
          <w:sz w:val="18"/>
          <w:szCs w:val="18"/>
          <w:lang w:val="en-NZ"/>
        </w:rPr>
        <w:t xml:space="preserve"> low-income thresholds (‘poverty lines’) are set at the 50% and 60% </w:t>
      </w:r>
      <w:smartTag w:uri="urn:schemas-microsoft-com:office:smarttags" w:element="stockticker">
        <w:r>
          <w:rPr>
            <w:sz w:val="18"/>
            <w:szCs w:val="18"/>
            <w:lang w:val="en-NZ"/>
          </w:rPr>
          <w:t>BHC</w:t>
        </w:r>
      </w:smartTag>
      <w:r>
        <w:rPr>
          <w:sz w:val="18"/>
          <w:szCs w:val="18"/>
          <w:lang w:val="en-NZ"/>
        </w:rPr>
        <w:t xml:space="preserve"> thresholds, less 25% to allow for housing costs.  See Appendix 6.</w:t>
      </w:r>
      <w:r>
        <w:rPr>
          <w:sz w:val="18"/>
          <w:szCs w:val="18"/>
          <w:lang w:val="en-NZ"/>
        </w:rPr>
        <w:tab/>
      </w:r>
    </w:p>
    <w:p w:rsidR="007B3E55" w:rsidRPr="001F42D8" w:rsidRDefault="007B3E55" w:rsidP="007B3E55">
      <w:pPr>
        <w:pStyle w:val="Heading2"/>
        <w:rPr>
          <w:sz w:val="24"/>
        </w:rPr>
      </w:pPr>
      <w:r>
        <w:rPr>
          <w:szCs w:val="22"/>
        </w:rPr>
        <w:br w:type="page"/>
      </w:r>
      <w:r w:rsidRPr="001F42D8">
        <w:rPr>
          <w:sz w:val="24"/>
        </w:rPr>
        <w:lastRenderedPageBreak/>
        <w:t xml:space="preserve">Income distribution for </w:t>
      </w:r>
      <w:r>
        <w:rPr>
          <w:sz w:val="24"/>
        </w:rPr>
        <w:t>sole-parent and two-parent families, HES 2010</w:t>
      </w:r>
    </w:p>
    <w:p w:rsidR="007B3E55" w:rsidRPr="001F42D8" w:rsidRDefault="007B3E55" w:rsidP="007B3E55">
      <w:pPr>
        <w:rPr>
          <w:rFonts w:cs="Arial"/>
          <w:sz w:val="20"/>
          <w:szCs w:val="22"/>
          <w:lang w:val="en-NZ"/>
        </w:rPr>
      </w:pPr>
    </w:p>
    <w:p w:rsidR="007B3E55" w:rsidRDefault="007B3E55" w:rsidP="007B3E55">
      <w:pPr>
        <w:pStyle w:val="Heading2"/>
        <w:jc w:val="both"/>
        <w:rPr>
          <w:b w:val="0"/>
          <w:sz w:val="20"/>
          <w:szCs w:val="22"/>
        </w:rPr>
      </w:pPr>
      <w:r>
        <w:rPr>
          <w:sz w:val="20"/>
          <w:szCs w:val="22"/>
        </w:rPr>
        <w:t>Figure</w:t>
      </w:r>
      <w:r w:rsidRPr="001F42D8">
        <w:rPr>
          <w:sz w:val="20"/>
          <w:szCs w:val="22"/>
        </w:rPr>
        <w:t xml:space="preserve"> B.</w:t>
      </w:r>
      <w:r>
        <w:rPr>
          <w:sz w:val="20"/>
          <w:szCs w:val="22"/>
        </w:rPr>
        <w:t>3</w:t>
      </w:r>
      <w:r w:rsidRPr="001F42D8">
        <w:rPr>
          <w:sz w:val="20"/>
          <w:szCs w:val="22"/>
        </w:rPr>
        <w:t xml:space="preserve"> </w:t>
      </w:r>
      <w:r w:rsidRPr="00061D62">
        <w:rPr>
          <w:b w:val="0"/>
          <w:sz w:val="20"/>
          <w:szCs w:val="22"/>
        </w:rPr>
        <w:t>shows</w:t>
      </w:r>
      <w:r>
        <w:rPr>
          <w:b w:val="0"/>
          <w:sz w:val="20"/>
          <w:szCs w:val="22"/>
        </w:rPr>
        <w:t xml:space="preserve"> the distribution of family incomes for sole parent and two parent families.  In 2011, around 90% of sole-parent families had incomes below the median household income for all households, with or without children.</w:t>
      </w:r>
      <w:r>
        <w:rPr>
          <w:rStyle w:val="FootnoteReference"/>
          <w:b w:val="0"/>
          <w:sz w:val="20"/>
          <w:szCs w:val="22"/>
        </w:rPr>
        <w:footnoteReference w:id="28"/>
      </w:r>
      <w:r>
        <w:rPr>
          <w:b w:val="0"/>
          <w:sz w:val="20"/>
          <w:szCs w:val="22"/>
        </w:rPr>
        <w:t xml:space="preserve">  For two-parent families the proportion was 55%.</w:t>
      </w:r>
    </w:p>
    <w:p w:rsidR="007B3E55" w:rsidRDefault="007B3E55" w:rsidP="007B3E55">
      <w:pPr>
        <w:jc w:val="both"/>
        <w:rPr>
          <w:lang w:val="en-NZ"/>
        </w:rPr>
      </w:pPr>
    </w:p>
    <w:p w:rsidR="007B3E55" w:rsidRDefault="007B3E55" w:rsidP="007B3E55">
      <w:pPr>
        <w:jc w:val="both"/>
        <w:rPr>
          <w:sz w:val="20"/>
          <w:lang w:val="en-NZ"/>
        </w:rPr>
      </w:pPr>
      <w:r w:rsidRPr="009F1383">
        <w:rPr>
          <w:sz w:val="20"/>
          <w:lang w:val="en-NZ"/>
        </w:rPr>
        <w:t xml:space="preserve">The relatively </w:t>
      </w:r>
      <w:r>
        <w:rPr>
          <w:sz w:val="20"/>
          <w:lang w:val="en-NZ"/>
        </w:rPr>
        <w:t xml:space="preserve">low </w:t>
      </w:r>
      <w:r w:rsidRPr="009F1383">
        <w:rPr>
          <w:sz w:val="20"/>
          <w:lang w:val="en-NZ"/>
        </w:rPr>
        <w:t>incomes of sole-parent families r</w:t>
      </w:r>
      <w:r>
        <w:rPr>
          <w:sz w:val="20"/>
          <w:lang w:val="en-NZ"/>
        </w:rPr>
        <w:t>eflects in the main two factors: (a) there is only one potential earner in a sole parent family, and (b) the low full</w:t>
      </w:r>
      <w:r w:rsidRPr="009F1383">
        <w:rPr>
          <w:sz w:val="20"/>
          <w:lang w:val="en-NZ"/>
        </w:rPr>
        <w:t xml:space="preserve">-time employment rate for sole parents (around 35% in 2009).  </w:t>
      </w:r>
      <w:r>
        <w:rPr>
          <w:sz w:val="20"/>
          <w:lang w:val="en-NZ"/>
        </w:rPr>
        <w:t xml:space="preserve">In June 2009, </w:t>
      </w:r>
      <w:r w:rsidRPr="009F1383">
        <w:rPr>
          <w:sz w:val="20"/>
          <w:lang w:val="en-NZ"/>
        </w:rPr>
        <w:t>73% of w</w:t>
      </w:r>
      <w:r>
        <w:rPr>
          <w:sz w:val="20"/>
          <w:lang w:val="en-NZ"/>
        </w:rPr>
        <w:t>orking-age sole parents were receiving a main benefit.</w:t>
      </w:r>
      <w:r w:rsidRPr="009F1383">
        <w:rPr>
          <w:sz w:val="20"/>
          <w:lang w:val="en-NZ"/>
        </w:rPr>
        <w:t xml:space="preserve"> </w:t>
      </w:r>
      <w:r>
        <w:rPr>
          <w:sz w:val="20"/>
          <w:lang w:val="en-NZ"/>
        </w:rPr>
        <w:t xml:space="preserve">Only </w:t>
      </w:r>
      <w:r w:rsidRPr="009F1383">
        <w:rPr>
          <w:sz w:val="20"/>
          <w:lang w:val="en-NZ"/>
        </w:rPr>
        <w:t xml:space="preserve">15% of these sole parents </w:t>
      </w:r>
      <w:r>
        <w:rPr>
          <w:sz w:val="20"/>
          <w:lang w:val="en-NZ"/>
        </w:rPr>
        <w:t>had declared earn</w:t>
      </w:r>
      <w:r w:rsidRPr="009F1383">
        <w:rPr>
          <w:sz w:val="20"/>
          <w:lang w:val="en-NZ"/>
        </w:rPr>
        <w:t>ing</w:t>
      </w:r>
      <w:r>
        <w:rPr>
          <w:sz w:val="20"/>
          <w:lang w:val="en-NZ"/>
        </w:rPr>
        <w:t>s</w:t>
      </w:r>
      <w:r w:rsidRPr="009F1383">
        <w:rPr>
          <w:sz w:val="20"/>
          <w:lang w:val="en-NZ"/>
        </w:rPr>
        <w:t>.</w:t>
      </w:r>
      <w:r>
        <w:rPr>
          <w:sz w:val="20"/>
          <w:lang w:val="en-NZ"/>
        </w:rPr>
        <w:t xml:space="preserve">  Sole-parent beneficiary families are clustered in the lower part of the income distribution.</w:t>
      </w:r>
    </w:p>
    <w:p w:rsidR="007B3E55" w:rsidRPr="001F42D8" w:rsidRDefault="007B3E55" w:rsidP="007B3E55">
      <w:pPr>
        <w:jc w:val="both"/>
        <w:rPr>
          <w:rFonts w:cs="Arial"/>
          <w:sz w:val="20"/>
          <w:szCs w:val="22"/>
          <w:lang w:val="en-NZ"/>
        </w:rPr>
      </w:pPr>
    </w:p>
    <w:p w:rsidR="007B3E55" w:rsidRPr="001F42D8" w:rsidRDefault="007B3E55" w:rsidP="007B3E55">
      <w:pPr>
        <w:jc w:val="center"/>
        <w:rPr>
          <w:rFonts w:cs="Arial"/>
          <w:b/>
          <w:sz w:val="18"/>
          <w:lang w:val="en-NZ"/>
        </w:rPr>
      </w:pPr>
      <w:r>
        <w:rPr>
          <w:rFonts w:cs="Arial"/>
          <w:b/>
          <w:sz w:val="18"/>
          <w:lang w:val="en-NZ"/>
        </w:rPr>
        <w:t>Figure B.3</w:t>
      </w:r>
    </w:p>
    <w:p w:rsidR="007B3E55" w:rsidRDefault="007B3E55" w:rsidP="007B3E55">
      <w:pPr>
        <w:jc w:val="center"/>
        <w:rPr>
          <w:rFonts w:cs="Arial"/>
          <w:b/>
          <w:szCs w:val="22"/>
          <w:lang w:val="en-NZ"/>
        </w:rPr>
      </w:pPr>
      <w:r>
        <w:rPr>
          <w:rFonts w:cs="Arial"/>
          <w:b/>
          <w:sz w:val="18"/>
          <w:lang w:val="en-NZ"/>
        </w:rPr>
        <w:t>Distribution of sole parent and two parent family income, HES 2010</w:t>
      </w:r>
    </w:p>
    <w:p w:rsidR="007B3E55" w:rsidRPr="008B1455" w:rsidRDefault="00EC0BE0" w:rsidP="007B3E55">
      <w:pPr>
        <w:jc w:val="center"/>
      </w:pPr>
      <w:r>
        <w:rPr>
          <w:noProof/>
          <w:lang w:val="en-US"/>
        </w:rPr>
        <w:drawing>
          <wp:inline distT="0" distB="0" distL="0" distR="0">
            <wp:extent cx="4362450"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362450" cy="2695575"/>
                    </a:xfrm>
                    <a:prstGeom prst="rect">
                      <a:avLst/>
                    </a:prstGeom>
                    <a:noFill/>
                    <a:ln w="9525">
                      <a:noFill/>
                      <a:miter lim="800000"/>
                      <a:headEnd/>
                      <a:tailEnd/>
                    </a:ln>
                  </pic:spPr>
                </pic:pic>
              </a:graphicData>
            </a:graphic>
          </wp:inline>
        </w:drawing>
      </w:r>
    </w:p>
    <w:p w:rsidR="007B3E55" w:rsidRDefault="007B3E55" w:rsidP="007B3E55">
      <w:pPr>
        <w:jc w:val="center"/>
      </w:pPr>
    </w:p>
    <w:p w:rsidR="007B3E55" w:rsidRDefault="007B3E55" w:rsidP="007B3E55">
      <w:pPr>
        <w:tabs>
          <w:tab w:val="left" w:pos="1440"/>
        </w:tabs>
        <w:spacing w:after="60"/>
        <w:ind w:left="1612" w:right="547" w:hanging="806"/>
        <w:jc w:val="both"/>
        <w:rPr>
          <w:sz w:val="18"/>
          <w:szCs w:val="18"/>
          <w:lang w:val="en-NZ"/>
        </w:rPr>
      </w:pPr>
      <w:r w:rsidRPr="003F254A">
        <w:rPr>
          <w:sz w:val="18"/>
          <w:szCs w:val="18"/>
          <w:lang w:val="en-NZ"/>
        </w:rPr>
        <w:t>Note</w:t>
      </w:r>
      <w:r>
        <w:rPr>
          <w:sz w:val="18"/>
          <w:szCs w:val="18"/>
          <w:lang w:val="en-NZ"/>
        </w:rPr>
        <w:t>s</w:t>
      </w:r>
      <w:r w:rsidRPr="003F254A">
        <w:rPr>
          <w:sz w:val="18"/>
          <w:szCs w:val="18"/>
          <w:lang w:val="en-NZ"/>
        </w:rPr>
        <w:t xml:space="preserve">:  </w:t>
      </w:r>
      <w:r>
        <w:rPr>
          <w:sz w:val="18"/>
          <w:szCs w:val="18"/>
          <w:lang w:val="en-NZ"/>
        </w:rPr>
        <w:tab/>
        <w:t>1</w:t>
      </w:r>
      <w:r>
        <w:rPr>
          <w:sz w:val="18"/>
          <w:szCs w:val="18"/>
          <w:lang w:val="en-NZ"/>
        </w:rPr>
        <w:tab/>
        <w:t>Individuals</w:t>
      </w:r>
      <w:r w:rsidRPr="003F254A">
        <w:rPr>
          <w:sz w:val="18"/>
          <w:szCs w:val="18"/>
          <w:lang w:val="en-NZ"/>
        </w:rPr>
        <w:t xml:space="preserve"> are grou</w:t>
      </w:r>
      <w:r>
        <w:rPr>
          <w:sz w:val="18"/>
          <w:szCs w:val="18"/>
          <w:lang w:val="en-NZ"/>
        </w:rPr>
        <w:t xml:space="preserve">ped by their family incomes in multiples of $3000 </w:t>
      </w:r>
      <w:r w:rsidRPr="003F254A">
        <w:rPr>
          <w:sz w:val="18"/>
          <w:szCs w:val="18"/>
          <w:lang w:val="en-NZ"/>
        </w:rPr>
        <w:t>pa ($</w:t>
      </w:r>
      <w:r>
        <w:rPr>
          <w:sz w:val="18"/>
          <w:szCs w:val="18"/>
          <w:lang w:val="en-NZ"/>
        </w:rPr>
        <w:t>6</w:t>
      </w:r>
      <w:r w:rsidRPr="003F254A">
        <w:rPr>
          <w:sz w:val="18"/>
          <w:szCs w:val="18"/>
          <w:lang w:val="en-NZ"/>
        </w:rPr>
        <w:t>0</w:t>
      </w:r>
      <w:r>
        <w:rPr>
          <w:sz w:val="18"/>
          <w:szCs w:val="18"/>
          <w:lang w:val="en-NZ"/>
        </w:rPr>
        <w:t xml:space="preserve"> </w:t>
      </w:r>
      <w:r w:rsidRPr="003F254A">
        <w:rPr>
          <w:sz w:val="18"/>
          <w:szCs w:val="18"/>
          <w:lang w:val="en-NZ"/>
        </w:rPr>
        <w:t>pw)</w:t>
      </w:r>
      <w:r>
        <w:rPr>
          <w:sz w:val="18"/>
          <w:szCs w:val="18"/>
          <w:lang w:val="en-NZ"/>
        </w:rPr>
        <w:t>.</w:t>
      </w:r>
    </w:p>
    <w:p w:rsidR="007B3E55" w:rsidRDefault="007B3E55" w:rsidP="007B3E55">
      <w:pPr>
        <w:tabs>
          <w:tab w:val="left" w:pos="1440"/>
        </w:tabs>
        <w:spacing w:after="60"/>
        <w:ind w:left="1612" w:right="547" w:hanging="806"/>
        <w:jc w:val="both"/>
        <w:rPr>
          <w:sz w:val="18"/>
          <w:szCs w:val="18"/>
          <w:lang w:val="en-NZ"/>
        </w:rPr>
      </w:pPr>
      <w:r>
        <w:rPr>
          <w:sz w:val="18"/>
          <w:szCs w:val="18"/>
          <w:lang w:val="en-NZ"/>
        </w:rPr>
        <w:tab/>
        <w:t>2</w:t>
      </w:r>
      <w:r>
        <w:rPr>
          <w:sz w:val="18"/>
          <w:szCs w:val="18"/>
          <w:lang w:val="en-NZ"/>
        </w:rPr>
        <w:tab/>
        <w:t>‘Family’ here means ‘Economic Family Unit’.</w:t>
      </w:r>
    </w:p>
    <w:p w:rsidR="007B3E55" w:rsidRDefault="007B3E55" w:rsidP="007B3E55">
      <w:pPr>
        <w:tabs>
          <w:tab w:val="left" w:pos="1440"/>
        </w:tabs>
        <w:ind w:left="1620" w:right="551" w:hanging="810"/>
        <w:jc w:val="both"/>
        <w:rPr>
          <w:sz w:val="18"/>
          <w:szCs w:val="18"/>
          <w:lang w:val="en-NZ"/>
        </w:rPr>
      </w:pPr>
      <w:r>
        <w:rPr>
          <w:sz w:val="18"/>
          <w:szCs w:val="18"/>
          <w:lang w:val="en-NZ"/>
        </w:rPr>
        <w:tab/>
        <w:t>3</w:t>
      </w:r>
      <w:r>
        <w:rPr>
          <w:sz w:val="18"/>
          <w:szCs w:val="18"/>
          <w:lang w:val="en-NZ"/>
        </w:rPr>
        <w:tab/>
        <w:t xml:space="preserve">Treasury’s Taxwell weights are used as they give a better population estimate of the number of beneficiary families.  </w:t>
      </w:r>
    </w:p>
    <w:p w:rsidR="007B3E55" w:rsidRPr="00941DDB" w:rsidRDefault="007B3E55" w:rsidP="007B3E55">
      <w:pPr>
        <w:tabs>
          <w:tab w:val="left" w:pos="1440"/>
        </w:tabs>
        <w:ind w:left="1620" w:right="551" w:hanging="810"/>
        <w:jc w:val="both"/>
        <w:rPr>
          <w:rFonts w:cs="Arial"/>
          <w:b/>
          <w:sz w:val="20"/>
          <w:lang w:val="en-NZ"/>
        </w:rPr>
      </w:pPr>
      <w:r>
        <w:rPr>
          <w:sz w:val="18"/>
          <w:szCs w:val="18"/>
          <w:lang w:val="en-NZ"/>
        </w:rPr>
        <w:tab/>
      </w:r>
    </w:p>
    <w:p w:rsidR="007B3E55" w:rsidRDefault="007B3E55" w:rsidP="007B3E55">
      <w:pPr>
        <w:jc w:val="both"/>
        <w:rPr>
          <w:rFonts w:cs="Arial"/>
          <w:sz w:val="20"/>
        </w:rPr>
      </w:pPr>
      <w:r w:rsidRPr="00941DDB">
        <w:rPr>
          <w:rFonts w:cs="Arial"/>
          <w:sz w:val="20"/>
        </w:rPr>
        <w:t xml:space="preserve">Although New Zealand does not have an official income poverty measure, it is clear from Figure </w:t>
      </w:r>
      <w:r>
        <w:rPr>
          <w:rFonts w:cs="Arial"/>
          <w:sz w:val="20"/>
        </w:rPr>
        <w:t>B.3</w:t>
      </w:r>
      <w:r w:rsidRPr="00941DDB">
        <w:rPr>
          <w:rFonts w:cs="Arial"/>
          <w:sz w:val="20"/>
        </w:rPr>
        <w:t xml:space="preserve"> that whatever measure is used, the proportion of those in sole parent families with incomes below the selected threshold (</w:t>
      </w:r>
      <w:r>
        <w:rPr>
          <w:rFonts w:cs="Arial"/>
          <w:sz w:val="20"/>
        </w:rPr>
        <w:t xml:space="preserve">ie  </w:t>
      </w:r>
      <w:r w:rsidRPr="00941DDB">
        <w:rPr>
          <w:rFonts w:cs="Arial"/>
          <w:sz w:val="20"/>
        </w:rPr>
        <w:t>the income poverty rate</w:t>
      </w:r>
      <w:r>
        <w:rPr>
          <w:rFonts w:cs="Arial"/>
          <w:sz w:val="20"/>
        </w:rPr>
        <w:t xml:space="preserve"> for sole parent families</w:t>
      </w:r>
      <w:r w:rsidRPr="00941DDB">
        <w:rPr>
          <w:rFonts w:cs="Arial"/>
          <w:sz w:val="20"/>
        </w:rPr>
        <w:t>) will be high in itself, and also higher than for those in two parent families.</w:t>
      </w:r>
    </w:p>
    <w:p w:rsidR="007B3E55" w:rsidRDefault="007B3E55" w:rsidP="007B3E55">
      <w:pPr>
        <w:jc w:val="both"/>
        <w:rPr>
          <w:rFonts w:cs="Arial"/>
          <w:sz w:val="20"/>
        </w:rPr>
      </w:pPr>
    </w:p>
    <w:p w:rsidR="007B3E55" w:rsidRDefault="007B3E55" w:rsidP="007B3E55">
      <w:pPr>
        <w:jc w:val="both"/>
        <w:rPr>
          <w:rFonts w:cs="Arial"/>
          <w:sz w:val="20"/>
        </w:rPr>
      </w:pPr>
    </w:p>
    <w:p w:rsidR="007B3E55" w:rsidRPr="00941DDB" w:rsidRDefault="007B3E55" w:rsidP="007B3E55">
      <w:pPr>
        <w:jc w:val="both"/>
        <w:rPr>
          <w:rFonts w:cs="Arial"/>
          <w:sz w:val="20"/>
        </w:rPr>
      </w:pPr>
      <w:r w:rsidRPr="00941DDB">
        <w:rPr>
          <w:rFonts w:cs="Arial"/>
          <w:sz w:val="20"/>
        </w:rPr>
        <w:t xml:space="preserve">   </w:t>
      </w:r>
    </w:p>
    <w:p w:rsidR="007B3E55" w:rsidRPr="001F42D8" w:rsidRDefault="007B3E55" w:rsidP="007B3E55">
      <w:pPr>
        <w:rPr>
          <w:rFonts w:cs="Arial"/>
          <w:b/>
          <w:sz w:val="24"/>
          <w:szCs w:val="28"/>
          <w:lang w:val="en-NZ"/>
        </w:rPr>
      </w:pPr>
      <w:r>
        <w:rPr>
          <w:rFonts w:cs="Arial"/>
          <w:b/>
          <w:sz w:val="24"/>
          <w:szCs w:val="28"/>
          <w:lang w:val="en-NZ"/>
        </w:rPr>
        <w:br w:type="page"/>
      </w:r>
      <w:r w:rsidRPr="001F42D8">
        <w:rPr>
          <w:rFonts w:cs="Arial"/>
          <w:b/>
          <w:sz w:val="24"/>
          <w:szCs w:val="28"/>
          <w:lang w:val="en-NZ"/>
        </w:rPr>
        <w:lastRenderedPageBreak/>
        <w:t>Where does your household fit?</w:t>
      </w:r>
    </w:p>
    <w:p w:rsidR="007B3E55" w:rsidRPr="001F42D8" w:rsidRDefault="007B3E55"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Many people do not have an accurate idea as to where they (and their household) fit in the income distribution.</w:t>
      </w:r>
      <w:r w:rsidRPr="001F42D8">
        <w:rPr>
          <w:rStyle w:val="FootnoteReference"/>
          <w:rFonts w:cs="Arial"/>
          <w:sz w:val="20"/>
          <w:szCs w:val="22"/>
          <w:lang w:val="en-NZ"/>
        </w:rPr>
        <w:footnoteReference w:id="29"/>
      </w:r>
      <w:r w:rsidRPr="001F42D8">
        <w:rPr>
          <w:rFonts w:cs="Arial"/>
          <w:sz w:val="20"/>
          <w:szCs w:val="22"/>
          <w:lang w:val="en-NZ"/>
        </w:rPr>
        <w:t xml:space="preserve">  </w:t>
      </w:r>
      <w:r w:rsidRPr="001F42D8">
        <w:rPr>
          <w:rFonts w:cs="Arial"/>
          <w:b/>
          <w:sz w:val="20"/>
          <w:szCs w:val="22"/>
          <w:lang w:val="en-NZ"/>
        </w:rPr>
        <w:t xml:space="preserve">Table B.4 </w:t>
      </w:r>
      <w:r w:rsidRPr="001F42D8">
        <w:rPr>
          <w:rFonts w:cs="Arial"/>
          <w:sz w:val="20"/>
          <w:szCs w:val="22"/>
          <w:lang w:val="en-NZ"/>
        </w:rPr>
        <w:t>gives the annual (unequivalised) disposable income levels (</w:t>
      </w:r>
      <w:smartTag w:uri="urn:schemas-microsoft-com:office:smarttags" w:element="stockticker">
        <w:r w:rsidRPr="001F42D8">
          <w:rPr>
            <w:rFonts w:cs="Arial"/>
            <w:sz w:val="20"/>
            <w:szCs w:val="22"/>
            <w:lang w:val="en-NZ"/>
          </w:rPr>
          <w:t>BHC</w:t>
        </w:r>
      </w:smartTag>
      <w:r w:rsidRPr="001F42D8">
        <w:rPr>
          <w:rFonts w:cs="Arial"/>
          <w:sz w:val="20"/>
          <w:szCs w:val="22"/>
          <w:lang w:val="en-NZ"/>
        </w:rPr>
        <w:t>) of some different household types in each (equivalised) income decile.  From this table, many people will be able to locate where they and their households fit on the income distribution.  To calculate decile ranges for other household types, the equivalence ratios listed in Table A.1 can be used.</w:t>
      </w:r>
      <w:r w:rsidRPr="001F42D8">
        <w:rPr>
          <w:rStyle w:val="FootnoteReference"/>
          <w:rFonts w:cs="Arial"/>
          <w:sz w:val="20"/>
          <w:szCs w:val="22"/>
          <w:lang w:val="en-NZ"/>
        </w:rPr>
        <w:footnoteReference w:id="30"/>
      </w:r>
    </w:p>
    <w:p w:rsidR="007B3E55" w:rsidRPr="001F42D8" w:rsidRDefault="007B3E55" w:rsidP="007B3E55">
      <w:pPr>
        <w:jc w:val="both"/>
        <w:rPr>
          <w:rFonts w:cs="Arial"/>
          <w:sz w:val="20"/>
          <w:szCs w:val="22"/>
          <w:lang w:val="en-NZ"/>
        </w:rPr>
      </w:pPr>
    </w:p>
    <w:p w:rsidR="007B3E55" w:rsidRPr="001F42D8" w:rsidRDefault="007B3E55" w:rsidP="007B3E55">
      <w:pPr>
        <w:jc w:val="both"/>
        <w:rPr>
          <w:sz w:val="20"/>
          <w:lang w:val="en-NZ"/>
        </w:rPr>
      </w:pPr>
      <w:r w:rsidRPr="001F42D8">
        <w:rPr>
          <w:sz w:val="20"/>
          <w:lang w:val="en-NZ"/>
        </w:rPr>
        <w:t xml:space="preserve">To use this table, select the column heading that best describes your household or family situation.  Go down the column until you find your household’s disposable income range (ie annual </w:t>
      </w:r>
      <w:r w:rsidRPr="001F42D8">
        <w:rPr>
          <w:sz w:val="20"/>
          <w:u w:val="single"/>
          <w:lang w:val="en-NZ"/>
        </w:rPr>
        <w:t>after-tax</w:t>
      </w:r>
      <w:r w:rsidRPr="001F42D8">
        <w:rPr>
          <w:sz w:val="20"/>
          <w:lang w:val="en-NZ"/>
        </w:rPr>
        <w:t xml:space="preserve"> income, including all social assistance from the state). The row gives the equivalised income decile for your household income.  For example, a household comprising a couple with two children with a disposable income of $55,</w:t>
      </w:r>
      <w:r>
        <w:rPr>
          <w:sz w:val="20"/>
          <w:lang w:val="en-NZ"/>
        </w:rPr>
        <w:t>6</w:t>
      </w:r>
      <w:r w:rsidRPr="001F42D8">
        <w:rPr>
          <w:sz w:val="20"/>
          <w:lang w:val="en-NZ"/>
        </w:rPr>
        <w:t xml:space="preserve">00 pa is in decile </w:t>
      </w:r>
      <w:r>
        <w:rPr>
          <w:sz w:val="20"/>
          <w:lang w:val="en-NZ"/>
        </w:rPr>
        <w:t>4</w:t>
      </w:r>
      <w:r w:rsidRPr="001F42D8">
        <w:rPr>
          <w:sz w:val="20"/>
          <w:lang w:val="en-NZ"/>
        </w:rPr>
        <w:t>.</w:t>
      </w:r>
      <w:r w:rsidRPr="001F42D8">
        <w:rPr>
          <w:rStyle w:val="FootnoteReference"/>
          <w:sz w:val="20"/>
          <w:lang w:val="en-NZ"/>
        </w:rPr>
        <w:footnoteReference w:id="31"/>
      </w:r>
    </w:p>
    <w:p w:rsidR="007B3E55" w:rsidRPr="001F42D8" w:rsidRDefault="007B3E55" w:rsidP="007B3E55">
      <w:pPr>
        <w:pStyle w:val="FootnoteText"/>
        <w:tabs>
          <w:tab w:val="left" w:pos="180"/>
        </w:tabs>
        <w:spacing w:after="60"/>
        <w:ind w:left="180" w:hanging="187"/>
        <w:jc w:val="center"/>
        <w:rPr>
          <w:rFonts w:cs="Arial"/>
          <w:b/>
          <w:sz w:val="20"/>
          <w:szCs w:val="22"/>
        </w:rPr>
      </w:pPr>
    </w:p>
    <w:p w:rsidR="007B3E55" w:rsidRPr="001F42D8" w:rsidRDefault="007B3E55" w:rsidP="007B3E55">
      <w:pPr>
        <w:pStyle w:val="FootnoteText"/>
        <w:tabs>
          <w:tab w:val="left" w:pos="180"/>
        </w:tabs>
        <w:ind w:left="187" w:hanging="187"/>
        <w:jc w:val="center"/>
        <w:rPr>
          <w:rFonts w:cs="Arial"/>
          <w:b/>
          <w:sz w:val="18"/>
        </w:rPr>
      </w:pPr>
      <w:r w:rsidRPr="001F42D8">
        <w:rPr>
          <w:rFonts w:cs="Arial"/>
          <w:b/>
          <w:sz w:val="18"/>
        </w:rPr>
        <w:t>Table B.4</w:t>
      </w:r>
    </w:p>
    <w:p w:rsidR="007B3E55" w:rsidRPr="001F42D8" w:rsidRDefault="007B3E55" w:rsidP="007B3E55">
      <w:pPr>
        <w:pStyle w:val="Heading2"/>
        <w:jc w:val="center"/>
        <w:rPr>
          <w:sz w:val="18"/>
          <w:szCs w:val="20"/>
        </w:rPr>
      </w:pPr>
      <w:bookmarkStart w:id="17" w:name="_Toc115142443"/>
      <w:r w:rsidRPr="001F42D8">
        <w:rPr>
          <w:sz w:val="18"/>
          <w:szCs w:val="20"/>
        </w:rPr>
        <w:t>Where does your household fit in the overall household income distribution (</w:t>
      </w:r>
      <w:smartTag w:uri="urn:schemas-microsoft-com:office:smarttags" w:element="stockticker">
        <w:r w:rsidRPr="001F42D8">
          <w:rPr>
            <w:sz w:val="18"/>
            <w:szCs w:val="20"/>
          </w:rPr>
          <w:t>BHC</w:t>
        </w:r>
      </w:smartTag>
      <w:r w:rsidRPr="001F42D8">
        <w:rPr>
          <w:sz w:val="18"/>
          <w:szCs w:val="20"/>
        </w:rPr>
        <w:t>)?</w:t>
      </w:r>
      <w:bookmarkEnd w:id="17"/>
    </w:p>
    <w:p w:rsidR="007B3E55" w:rsidRPr="001F42D8" w:rsidRDefault="007B3E55" w:rsidP="007B3E55">
      <w:pPr>
        <w:spacing w:after="120"/>
        <w:jc w:val="center"/>
        <w:rPr>
          <w:b/>
          <w:sz w:val="18"/>
        </w:rPr>
      </w:pPr>
      <w:r w:rsidRPr="001F42D8">
        <w:rPr>
          <w:b/>
          <w:sz w:val="18"/>
        </w:rPr>
        <w:t>HES 20</w:t>
      </w:r>
      <w:r>
        <w:rPr>
          <w:b/>
          <w:sz w:val="18"/>
        </w:rPr>
        <w:t>11</w:t>
      </w:r>
    </w:p>
    <w:tbl>
      <w:tblPr>
        <w:tblStyle w:val="TableGrid"/>
        <w:tblW w:w="8996" w:type="dxa"/>
        <w:jc w:val="center"/>
        <w:tblCellMar>
          <w:left w:w="158" w:type="dxa"/>
          <w:right w:w="115" w:type="dxa"/>
        </w:tblCellMar>
        <w:tblLook w:val="01E0"/>
      </w:tblPr>
      <w:tblGrid>
        <w:gridCol w:w="1028"/>
        <w:gridCol w:w="1227"/>
        <w:gridCol w:w="1293"/>
        <w:gridCol w:w="1260"/>
        <w:gridCol w:w="1420"/>
        <w:gridCol w:w="1402"/>
        <w:gridCol w:w="1366"/>
      </w:tblGrid>
      <w:tr w:rsidR="007B3E55">
        <w:trPr>
          <w:trHeight w:hRule="exact" w:val="739"/>
          <w:jc w:val="center"/>
        </w:trPr>
        <w:tc>
          <w:tcPr>
            <w:tcW w:w="1028" w:type="dxa"/>
            <w:tcBorders>
              <w:top w:val="single" w:sz="4" w:space="0" w:color="auto"/>
              <w:bottom w:val="single" w:sz="4" w:space="0" w:color="auto"/>
              <w:right w:val="single" w:sz="4" w:space="0" w:color="auto"/>
            </w:tcBorders>
            <w:tcMar>
              <w:left w:w="58" w:type="dxa"/>
              <w:right w:w="58" w:type="dxa"/>
            </w:tcMar>
            <w:vAlign w:val="center"/>
          </w:tcPr>
          <w:p w:rsidR="007B3E55" w:rsidRPr="00660F32" w:rsidRDefault="007B3E55" w:rsidP="00614C04">
            <w:pPr>
              <w:pStyle w:val="Heading2"/>
              <w:jc w:val="center"/>
              <w:rPr>
                <w:sz w:val="16"/>
                <w:szCs w:val="16"/>
              </w:rPr>
            </w:pPr>
            <w:r w:rsidRPr="00660F32">
              <w:rPr>
                <w:sz w:val="16"/>
                <w:szCs w:val="16"/>
              </w:rPr>
              <w:t>Equivalised income decile</w:t>
            </w:r>
          </w:p>
        </w:tc>
        <w:tc>
          <w:tcPr>
            <w:tcW w:w="1227" w:type="dxa"/>
            <w:tcBorders>
              <w:top w:val="single" w:sz="4" w:space="0" w:color="auto"/>
              <w:left w:val="single" w:sz="4" w:space="0" w:color="auto"/>
              <w:bottom w:val="single" w:sz="4" w:space="0" w:color="auto"/>
              <w:right w:val="single" w:sz="4" w:space="0" w:color="auto"/>
            </w:tcBorders>
            <w:tcMar>
              <w:left w:w="14" w:type="dxa"/>
              <w:right w:w="14" w:type="dxa"/>
            </w:tcMar>
            <w:vAlign w:val="center"/>
          </w:tcPr>
          <w:p w:rsidR="007B3E55" w:rsidRPr="00660F32" w:rsidRDefault="007B3E55" w:rsidP="00614C04">
            <w:pPr>
              <w:pStyle w:val="Heading2"/>
              <w:ind w:left="-12" w:right="-14"/>
              <w:jc w:val="center"/>
              <w:rPr>
                <w:sz w:val="16"/>
                <w:szCs w:val="16"/>
              </w:rPr>
            </w:pPr>
            <w:bookmarkStart w:id="18" w:name="_Toc115142444"/>
            <w:r w:rsidRPr="00660F32">
              <w:rPr>
                <w:sz w:val="16"/>
                <w:szCs w:val="16"/>
              </w:rPr>
              <w:t>One person,</w:t>
            </w:r>
            <w:bookmarkEnd w:id="18"/>
          </w:p>
          <w:p w:rsidR="007B3E55" w:rsidRPr="00660F32" w:rsidRDefault="007B3E55" w:rsidP="00614C04">
            <w:pPr>
              <w:pStyle w:val="Heading2"/>
              <w:ind w:left="-12" w:right="-14"/>
              <w:jc w:val="center"/>
              <w:rPr>
                <w:sz w:val="16"/>
                <w:szCs w:val="16"/>
              </w:rPr>
            </w:pPr>
            <w:bookmarkStart w:id="19" w:name="_Toc115142445"/>
            <w:r w:rsidRPr="00660F32">
              <w:rPr>
                <w:sz w:val="16"/>
                <w:szCs w:val="16"/>
              </w:rPr>
              <w:t>no children</w:t>
            </w:r>
            <w:bookmarkEnd w:id="19"/>
          </w:p>
          <w:p w:rsidR="007B3E55" w:rsidRPr="00660F32" w:rsidRDefault="007B3E55" w:rsidP="00614C04">
            <w:pPr>
              <w:ind w:left="-12" w:right="-14"/>
              <w:jc w:val="center"/>
              <w:rPr>
                <w:rFonts w:cs="Arial"/>
                <w:b/>
                <w:sz w:val="16"/>
                <w:szCs w:val="16"/>
                <w:lang w:val="en-NZ"/>
              </w:rPr>
            </w:pPr>
            <w:r w:rsidRPr="00660F32">
              <w:rPr>
                <w:rFonts w:cs="Arial"/>
                <w:b/>
                <w:sz w:val="16"/>
                <w:szCs w:val="16"/>
                <w:lang w:val="en-NZ"/>
              </w:rPr>
              <w:t>(reference HH)</w:t>
            </w:r>
          </w:p>
        </w:tc>
        <w:tc>
          <w:tcPr>
            <w:tcW w:w="1293" w:type="dxa"/>
            <w:tcBorders>
              <w:top w:val="single" w:sz="4" w:space="0" w:color="auto"/>
              <w:left w:val="single" w:sz="4" w:space="0" w:color="auto"/>
              <w:bottom w:val="single" w:sz="4" w:space="0" w:color="auto"/>
              <w:right w:val="single" w:sz="4" w:space="0" w:color="auto"/>
            </w:tcBorders>
            <w:vAlign w:val="center"/>
          </w:tcPr>
          <w:p w:rsidR="007B3E55" w:rsidRPr="00660F32" w:rsidRDefault="007B3E55" w:rsidP="00614C04">
            <w:pPr>
              <w:pStyle w:val="Heading2"/>
              <w:ind w:left="-12" w:right="-14"/>
              <w:jc w:val="center"/>
              <w:rPr>
                <w:sz w:val="16"/>
                <w:szCs w:val="16"/>
              </w:rPr>
            </w:pPr>
            <w:bookmarkStart w:id="20" w:name="_Toc115142446"/>
            <w:r w:rsidRPr="00660F32">
              <w:rPr>
                <w:sz w:val="16"/>
                <w:szCs w:val="16"/>
              </w:rPr>
              <w:t>Sole parent, one chil</w:t>
            </w:r>
            <w:bookmarkEnd w:id="20"/>
            <w:r w:rsidRPr="00660F32">
              <w:rPr>
                <w:sz w:val="16"/>
                <w:szCs w:val="16"/>
              </w:rPr>
              <w:t>d</w:t>
            </w:r>
          </w:p>
        </w:tc>
        <w:tc>
          <w:tcPr>
            <w:tcW w:w="1260" w:type="dxa"/>
            <w:tcBorders>
              <w:top w:val="single" w:sz="4" w:space="0" w:color="auto"/>
              <w:left w:val="single" w:sz="4" w:space="0" w:color="auto"/>
              <w:bottom w:val="single" w:sz="4" w:space="0" w:color="auto"/>
              <w:right w:val="single" w:sz="4" w:space="0" w:color="auto"/>
            </w:tcBorders>
            <w:vAlign w:val="center"/>
          </w:tcPr>
          <w:p w:rsidR="007B3E55" w:rsidRPr="00660F32" w:rsidRDefault="007B3E55" w:rsidP="00614C04">
            <w:pPr>
              <w:pStyle w:val="Heading2"/>
              <w:ind w:left="-12" w:right="-14"/>
              <w:jc w:val="center"/>
              <w:rPr>
                <w:sz w:val="16"/>
                <w:szCs w:val="16"/>
              </w:rPr>
            </w:pPr>
            <w:bookmarkStart w:id="21" w:name="_Toc115142447"/>
            <w:r w:rsidRPr="00660F32">
              <w:rPr>
                <w:sz w:val="16"/>
                <w:szCs w:val="16"/>
              </w:rPr>
              <w:t>Couple</w:t>
            </w:r>
            <w:bookmarkEnd w:id="21"/>
            <w:r w:rsidRPr="00660F32">
              <w:rPr>
                <w:sz w:val="16"/>
                <w:szCs w:val="16"/>
              </w:rPr>
              <w:t xml:space="preserve"> or 2 adults sharing</w:t>
            </w:r>
          </w:p>
        </w:tc>
        <w:tc>
          <w:tcPr>
            <w:tcW w:w="1420" w:type="dxa"/>
            <w:tcBorders>
              <w:top w:val="single" w:sz="4" w:space="0" w:color="auto"/>
              <w:left w:val="single" w:sz="4" w:space="0" w:color="auto"/>
              <w:bottom w:val="single" w:sz="4" w:space="0" w:color="auto"/>
              <w:right w:val="single" w:sz="4" w:space="0" w:color="auto"/>
            </w:tcBorders>
            <w:vAlign w:val="center"/>
          </w:tcPr>
          <w:p w:rsidR="007B3E55" w:rsidRPr="00660F32" w:rsidRDefault="007B3E55" w:rsidP="00614C04">
            <w:pPr>
              <w:pStyle w:val="Heading2"/>
              <w:ind w:left="-12" w:right="-14"/>
              <w:jc w:val="center"/>
              <w:rPr>
                <w:sz w:val="16"/>
                <w:szCs w:val="16"/>
              </w:rPr>
            </w:pPr>
            <w:r w:rsidRPr="00660F32">
              <w:rPr>
                <w:sz w:val="16"/>
                <w:szCs w:val="16"/>
              </w:rPr>
              <w:t>Couple,</w:t>
            </w:r>
          </w:p>
          <w:p w:rsidR="007B3E55" w:rsidRPr="00660F32" w:rsidRDefault="007B3E55" w:rsidP="00614C04">
            <w:pPr>
              <w:pStyle w:val="Heading2"/>
              <w:ind w:left="-12" w:right="-14"/>
              <w:jc w:val="center"/>
              <w:rPr>
                <w:sz w:val="16"/>
                <w:szCs w:val="16"/>
              </w:rPr>
            </w:pPr>
            <w:r w:rsidRPr="00660F32">
              <w:rPr>
                <w:sz w:val="16"/>
                <w:szCs w:val="16"/>
              </w:rPr>
              <w:t xml:space="preserve"> one child</w:t>
            </w:r>
          </w:p>
        </w:tc>
        <w:tc>
          <w:tcPr>
            <w:tcW w:w="1402" w:type="dxa"/>
            <w:tcBorders>
              <w:top w:val="single" w:sz="4" w:space="0" w:color="auto"/>
              <w:left w:val="single" w:sz="4" w:space="0" w:color="auto"/>
              <w:bottom w:val="single" w:sz="4" w:space="0" w:color="auto"/>
            </w:tcBorders>
            <w:tcMar>
              <w:left w:w="14" w:type="dxa"/>
              <w:right w:w="14" w:type="dxa"/>
            </w:tcMar>
            <w:vAlign w:val="center"/>
          </w:tcPr>
          <w:p w:rsidR="007B3E55" w:rsidRPr="00660F32" w:rsidRDefault="007B3E55" w:rsidP="00614C04">
            <w:pPr>
              <w:pStyle w:val="Heading2"/>
              <w:ind w:left="-12" w:right="-14"/>
              <w:jc w:val="center"/>
              <w:rPr>
                <w:sz w:val="16"/>
                <w:szCs w:val="16"/>
              </w:rPr>
            </w:pPr>
            <w:bookmarkStart w:id="22" w:name="_Toc115142449"/>
            <w:r w:rsidRPr="00660F32">
              <w:rPr>
                <w:sz w:val="16"/>
                <w:szCs w:val="16"/>
              </w:rPr>
              <w:t>Couple,</w:t>
            </w:r>
          </w:p>
          <w:p w:rsidR="007B3E55" w:rsidRPr="00660F32" w:rsidRDefault="007B3E55" w:rsidP="00614C04">
            <w:pPr>
              <w:pStyle w:val="Heading2"/>
              <w:ind w:left="-12" w:right="-14"/>
              <w:jc w:val="center"/>
              <w:rPr>
                <w:sz w:val="16"/>
                <w:szCs w:val="16"/>
              </w:rPr>
            </w:pPr>
            <w:r w:rsidRPr="00660F32">
              <w:rPr>
                <w:sz w:val="16"/>
                <w:szCs w:val="16"/>
              </w:rPr>
              <w:t xml:space="preserve"> two children</w:t>
            </w:r>
            <w:bookmarkEnd w:id="22"/>
          </w:p>
        </w:tc>
        <w:tc>
          <w:tcPr>
            <w:tcW w:w="1366" w:type="dxa"/>
            <w:tcBorders>
              <w:top w:val="single" w:sz="4" w:space="0" w:color="auto"/>
              <w:left w:val="single" w:sz="4" w:space="0" w:color="auto"/>
              <w:bottom w:val="single" w:sz="4" w:space="0" w:color="auto"/>
            </w:tcBorders>
            <w:tcMar>
              <w:left w:w="29" w:type="dxa"/>
              <w:right w:w="29" w:type="dxa"/>
            </w:tcMar>
            <w:vAlign w:val="center"/>
          </w:tcPr>
          <w:p w:rsidR="007B3E55" w:rsidRPr="00660F32" w:rsidRDefault="007B3E55" w:rsidP="00614C04">
            <w:pPr>
              <w:pStyle w:val="Heading2"/>
              <w:ind w:left="-12" w:right="-14"/>
              <w:jc w:val="center"/>
              <w:rPr>
                <w:sz w:val="16"/>
                <w:szCs w:val="16"/>
              </w:rPr>
            </w:pPr>
            <w:r w:rsidRPr="00660F32">
              <w:rPr>
                <w:sz w:val="16"/>
                <w:szCs w:val="16"/>
              </w:rPr>
              <w:t>Couple,</w:t>
            </w:r>
          </w:p>
          <w:p w:rsidR="007B3E55" w:rsidRPr="00660F32" w:rsidRDefault="007B3E55" w:rsidP="00614C04">
            <w:pPr>
              <w:pStyle w:val="Heading2"/>
              <w:ind w:left="-12" w:right="-14"/>
              <w:jc w:val="center"/>
              <w:rPr>
                <w:sz w:val="16"/>
                <w:szCs w:val="16"/>
              </w:rPr>
            </w:pPr>
            <w:r w:rsidRPr="00660F32">
              <w:rPr>
                <w:sz w:val="16"/>
                <w:szCs w:val="16"/>
              </w:rPr>
              <w:t xml:space="preserve"> three children</w:t>
            </w:r>
          </w:p>
        </w:tc>
      </w:tr>
      <w:tr w:rsidR="007B3E55">
        <w:trPr>
          <w:trHeight w:hRule="exact" w:val="432"/>
          <w:jc w:val="center"/>
        </w:trPr>
        <w:tc>
          <w:tcPr>
            <w:tcW w:w="1028" w:type="dxa"/>
            <w:tcBorders>
              <w:top w:val="single" w:sz="4" w:space="0" w:color="auto"/>
            </w:tcBorders>
            <w:tcMar>
              <w:left w:w="130" w:type="dxa"/>
              <w:right w:w="58" w:type="dxa"/>
            </w:tcMar>
            <w:vAlign w:val="center"/>
          </w:tcPr>
          <w:p w:rsidR="007B3E55" w:rsidRPr="00660F32" w:rsidRDefault="007B3E55" w:rsidP="00614C04">
            <w:pPr>
              <w:pStyle w:val="Heading2"/>
              <w:rPr>
                <w:sz w:val="16"/>
                <w:szCs w:val="16"/>
              </w:rPr>
            </w:pPr>
            <w:bookmarkStart w:id="23" w:name="_Toc115142450"/>
            <w:r w:rsidRPr="00660F32">
              <w:rPr>
                <w:sz w:val="16"/>
                <w:szCs w:val="16"/>
              </w:rPr>
              <w:t>Bottom decile</w:t>
            </w:r>
            <w:bookmarkEnd w:id="23"/>
          </w:p>
        </w:tc>
        <w:tc>
          <w:tcPr>
            <w:tcW w:w="1227" w:type="dxa"/>
            <w:tcBorders>
              <w:top w:val="single" w:sz="4" w:space="0" w:color="auto"/>
            </w:tcBorders>
            <w:vAlign w:val="center"/>
          </w:tcPr>
          <w:p w:rsidR="007B3E55" w:rsidRPr="007544AC" w:rsidRDefault="007B3E55" w:rsidP="00614C04">
            <w:pPr>
              <w:pStyle w:val="Heading2"/>
              <w:ind w:left="-156" w:right="-152"/>
              <w:jc w:val="center"/>
              <w:rPr>
                <w:b w:val="0"/>
                <w:sz w:val="16"/>
                <w:szCs w:val="16"/>
              </w:rPr>
            </w:pPr>
            <w:bookmarkStart w:id="24" w:name="_Toc115142451"/>
            <w:r w:rsidRPr="007544AC">
              <w:rPr>
                <w:b w:val="0"/>
                <w:sz w:val="16"/>
                <w:szCs w:val="16"/>
              </w:rPr>
              <w:t>&lt; $</w:t>
            </w:r>
            <w:bookmarkEnd w:id="24"/>
            <w:r w:rsidRPr="007544AC">
              <w:rPr>
                <w:b w:val="0"/>
                <w:sz w:val="16"/>
                <w:szCs w:val="16"/>
              </w:rPr>
              <w:t>1</w:t>
            </w:r>
            <w:r>
              <w:rPr>
                <w:b w:val="0"/>
                <w:sz w:val="16"/>
                <w:szCs w:val="16"/>
              </w:rPr>
              <w:t>6</w:t>
            </w:r>
            <w:r w:rsidRPr="007544AC">
              <w:rPr>
                <w:b w:val="0"/>
                <w:sz w:val="16"/>
                <w:szCs w:val="16"/>
              </w:rPr>
              <w:t>,</w:t>
            </w:r>
            <w:r>
              <w:rPr>
                <w:b w:val="0"/>
                <w:sz w:val="16"/>
                <w:szCs w:val="16"/>
              </w:rPr>
              <w:t>6</w:t>
            </w:r>
            <w:r w:rsidRPr="007544AC">
              <w:rPr>
                <w:b w:val="0"/>
                <w:sz w:val="16"/>
                <w:szCs w:val="16"/>
              </w:rPr>
              <w:t>00</w:t>
            </w:r>
          </w:p>
        </w:tc>
        <w:tc>
          <w:tcPr>
            <w:tcW w:w="1293" w:type="dxa"/>
            <w:tcBorders>
              <w:top w:val="single" w:sz="4" w:space="0" w:color="auto"/>
            </w:tcBorders>
            <w:vAlign w:val="center"/>
          </w:tcPr>
          <w:p w:rsidR="007B3E55" w:rsidRPr="007544AC" w:rsidRDefault="007B3E55" w:rsidP="00614C04">
            <w:pPr>
              <w:pStyle w:val="Heading2"/>
              <w:ind w:left="-156" w:right="-152"/>
              <w:jc w:val="center"/>
              <w:rPr>
                <w:b w:val="0"/>
                <w:sz w:val="16"/>
                <w:szCs w:val="16"/>
              </w:rPr>
            </w:pPr>
            <w:bookmarkStart w:id="25" w:name="_Toc115142452"/>
            <w:r w:rsidRPr="007544AC">
              <w:rPr>
                <w:b w:val="0"/>
                <w:sz w:val="16"/>
                <w:szCs w:val="16"/>
              </w:rPr>
              <w:t>&lt; $</w:t>
            </w:r>
            <w:bookmarkEnd w:id="25"/>
            <w:r>
              <w:rPr>
                <w:b w:val="0"/>
                <w:sz w:val="16"/>
                <w:szCs w:val="16"/>
              </w:rPr>
              <w:t>23,300</w:t>
            </w:r>
          </w:p>
        </w:tc>
        <w:tc>
          <w:tcPr>
            <w:tcW w:w="1260" w:type="dxa"/>
            <w:tcBorders>
              <w:top w:val="single" w:sz="4" w:space="0" w:color="auto"/>
            </w:tcBorders>
            <w:vAlign w:val="center"/>
          </w:tcPr>
          <w:p w:rsidR="007B3E55" w:rsidRPr="007544AC" w:rsidRDefault="007B3E55" w:rsidP="00614C04">
            <w:pPr>
              <w:pStyle w:val="Heading2"/>
              <w:ind w:left="-156" w:right="-152"/>
              <w:jc w:val="center"/>
              <w:rPr>
                <w:b w:val="0"/>
                <w:sz w:val="16"/>
                <w:szCs w:val="16"/>
              </w:rPr>
            </w:pPr>
            <w:bookmarkStart w:id="26" w:name="_Toc115142453"/>
            <w:r w:rsidRPr="007544AC">
              <w:rPr>
                <w:b w:val="0"/>
                <w:sz w:val="16"/>
                <w:szCs w:val="16"/>
              </w:rPr>
              <w:t>&lt; $</w:t>
            </w:r>
            <w:bookmarkEnd w:id="26"/>
            <w:r>
              <w:rPr>
                <w:b w:val="0"/>
                <w:sz w:val="16"/>
                <w:szCs w:val="16"/>
              </w:rPr>
              <w:t>25,600</w:t>
            </w:r>
          </w:p>
        </w:tc>
        <w:tc>
          <w:tcPr>
            <w:tcW w:w="1420" w:type="dxa"/>
            <w:tcBorders>
              <w:top w:val="single" w:sz="4" w:space="0" w:color="auto"/>
            </w:tcBorders>
            <w:vAlign w:val="center"/>
          </w:tcPr>
          <w:p w:rsidR="007B3E55" w:rsidRPr="007544AC" w:rsidRDefault="007B3E55" w:rsidP="00614C04">
            <w:pPr>
              <w:jc w:val="center"/>
              <w:rPr>
                <w:sz w:val="16"/>
                <w:lang w:val="en-NZ"/>
              </w:rPr>
            </w:pPr>
            <w:r w:rsidRPr="007544AC">
              <w:rPr>
                <w:sz w:val="16"/>
                <w:szCs w:val="16"/>
              </w:rPr>
              <w:t>&lt; $</w:t>
            </w:r>
            <w:r>
              <w:rPr>
                <w:sz w:val="16"/>
                <w:szCs w:val="16"/>
              </w:rPr>
              <w:t>31,000</w:t>
            </w:r>
          </w:p>
        </w:tc>
        <w:tc>
          <w:tcPr>
            <w:tcW w:w="1402" w:type="dxa"/>
            <w:tcBorders>
              <w:top w:val="single" w:sz="4" w:space="0" w:color="auto"/>
            </w:tcBorders>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27" w:name="_Toc115142454"/>
            <w:r w:rsidRPr="007544AC">
              <w:rPr>
                <w:b w:val="0"/>
                <w:sz w:val="16"/>
                <w:szCs w:val="16"/>
              </w:rPr>
              <w:t>&lt; $</w:t>
            </w:r>
            <w:bookmarkEnd w:id="27"/>
            <w:r>
              <w:rPr>
                <w:b w:val="0"/>
                <w:sz w:val="16"/>
                <w:szCs w:val="16"/>
              </w:rPr>
              <w:t>36,100</w:t>
            </w:r>
          </w:p>
        </w:tc>
        <w:tc>
          <w:tcPr>
            <w:tcW w:w="1366" w:type="dxa"/>
            <w:tcBorders>
              <w:top w:val="single" w:sz="4" w:space="0" w:color="auto"/>
            </w:tcBorders>
            <w:vAlign w:val="center"/>
          </w:tcPr>
          <w:p w:rsidR="007B3E55" w:rsidRPr="007544AC" w:rsidRDefault="007B3E55" w:rsidP="00614C04">
            <w:pPr>
              <w:pStyle w:val="Heading2"/>
              <w:ind w:left="-156" w:right="-152"/>
              <w:jc w:val="center"/>
              <w:rPr>
                <w:b w:val="0"/>
                <w:sz w:val="16"/>
                <w:szCs w:val="16"/>
              </w:rPr>
            </w:pPr>
            <w:r w:rsidRPr="007544AC">
              <w:rPr>
                <w:b w:val="0"/>
                <w:sz w:val="16"/>
                <w:szCs w:val="16"/>
              </w:rPr>
              <w:t>&lt; $</w:t>
            </w:r>
            <w:r>
              <w:rPr>
                <w:b w:val="0"/>
                <w:sz w:val="16"/>
                <w:szCs w:val="16"/>
              </w:rPr>
              <w:t>40,400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28" w:name="_Toc115142455"/>
            <w:r w:rsidRPr="00660F32">
              <w:rPr>
                <w:sz w:val="16"/>
                <w:szCs w:val="16"/>
              </w:rPr>
              <w:t>Decile 2</w:t>
            </w:r>
            <w:bookmarkEnd w:id="28"/>
          </w:p>
        </w:tc>
        <w:tc>
          <w:tcPr>
            <w:tcW w:w="1227" w:type="dxa"/>
            <w:vAlign w:val="center"/>
          </w:tcPr>
          <w:p w:rsidR="007B3E55" w:rsidRPr="007544AC" w:rsidRDefault="007B3E55" w:rsidP="00614C04">
            <w:pPr>
              <w:pStyle w:val="Heading2"/>
              <w:ind w:left="-156" w:right="-152"/>
              <w:jc w:val="center"/>
              <w:rPr>
                <w:b w:val="0"/>
                <w:sz w:val="16"/>
                <w:szCs w:val="16"/>
              </w:rPr>
            </w:pPr>
            <w:bookmarkStart w:id="29" w:name="_Toc115142456"/>
            <w:r>
              <w:rPr>
                <w:b w:val="0"/>
                <w:sz w:val="16"/>
                <w:szCs w:val="16"/>
              </w:rPr>
              <w:t>16,600</w:t>
            </w:r>
            <w:r w:rsidRPr="007544AC">
              <w:rPr>
                <w:b w:val="0"/>
                <w:sz w:val="16"/>
                <w:szCs w:val="16"/>
              </w:rPr>
              <w:t xml:space="preserve"> </w:t>
            </w:r>
            <w:r>
              <w:rPr>
                <w:b w:val="0"/>
                <w:sz w:val="16"/>
                <w:szCs w:val="16"/>
              </w:rPr>
              <w:t>-</w:t>
            </w:r>
            <w:r w:rsidRPr="007544AC">
              <w:rPr>
                <w:b w:val="0"/>
                <w:sz w:val="16"/>
                <w:szCs w:val="16"/>
              </w:rPr>
              <w:t xml:space="preserve"> </w:t>
            </w:r>
            <w:bookmarkEnd w:id="29"/>
            <w:r>
              <w:rPr>
                <w:b w:val="0"/>
                <w:sz w:val="16"/>
                <w:szCs w:val="16"/>
              </w:rPr>
              <w:t>19,900</w:t>
            </w:r>
          </w:p>
        </w:tc>
        <w:tc>
          <w:tcPr>
            <w:tcW w:w="1293" w:type="dxa"/>
            <w:vAlign w:val="center"/>
          </w:tcPr>
          <w:p w:rsidR="007B3E55" w:rsidRPr="007544AC" w:rsidRDefault="007B3E55" w:rsidP="00614C04">
            <w:pPr>
              <w:pStyle w:val="Heading2"/>
              <w:ind w:left="-156" w:right="-152"/>
              <w:jc w:val="center"/>
              <w:rPr>
                <w:b w:val="0"/>
                <w:sz w:val="16"/>
                <w:szCs w:val="16"/>
              </w:rPr>
            </w:pPr>
            <w:bookmarkStart w:id="30" w:name="_Toc115142457"/>
            <w:r>
              <w:rPr>
                <w:b w:val="0"/>
                <w:sz w:val="16"/>
                <w:szCs w:val="16"/>
              </w:rPr>
              <w:t>23,300</w:t>
            </w:r>
            <w:r w:rsidRPr="007544AC">
              <w:rPr>
                <w:b w:val="0"/>
                <w:sz w:val="16"/>
                <w:szCs w:val="16"/>
              </w:rPr>
              <w:t xml:space="preserve"> </w:t>
            </w:r>
            <w:r>
              <w:rPr>
                <w:b w:val="0"/>
                <w:sz w:val="16"/>
                <w:szCs w:val="16"/>
              </w:rPr>
              <w:t>-</w:t>
            </w:r>
            <w:r w:rsidRPr="007544AC">
              <w:rPr>
                <w:b w:val="0"/>
                <w:sz w:val="16"/>
                <w:szCs w:val="16"/>
              </w:rPr>
              <w:t xml:space="preserve"> </w:t>
            </w:r>
            <w:bookmarkEnd w:id="30"/>
            <w:r>
              <w:rPr>
                <w:b w:val="0"/>
                <w:sz w:val="16"/>
                <w:szCs w:val="16"/>
              </w:rPr>
              <w:t>27,900</w:t>
            </w:r>
          </w:p>
        </w:tc>
        <w:tc>
          <w:tcPr>
            <w:tcW w:w="1260" w:type="dxa"/>
            <w:vAlign w:val="center"/>
          </w:tcPr>
          <w:p w:rsidR="007B3E55" w:rsidRPr="007544AC" w:rsidRDefault="007B3E55" w:rsidP="00614C04">
            <w:pPr>
              <w:pStyle w:val="Heading2"/>
              <w:ind w:left="-156" w:right="-152"/>
              <w:jc w:val="center"/>
              <w:rPr>
                <w:b w:val="0"/>
                <w:sz w:val="16"/>
                <w:szCs w:val="16"/>
              </w:rPr>
            </w:pPr>
            <w:bookmarkStart w:id="31" w:name="_Toc115142458"/>
            <w:r>
              <w:rPr>
                <w:b w:val="0"/>
                <w:sz w:val="16"/>
                <w:szCs w:val="16"/>
              </w:rPr>
              <w:t>25,600</w:t>
            </w:r>
            <w:r w:rsidRPr="007544AC">
              <w:rPr>
                <w:b w:val="0"/>
                <w:sz w:val="16"/>
                <w:szCs w:val="16"/>
              </w:rPr>
              <w:t xml:space="preserve"> </w:t>
            </w:r>
            <w:r>
              <w:rPr>
                <w:b w:val="0"/>
                <w:sz w:val="16"/>
                <w:szCs w:val="16"/>
              </w:rPr>
              <w:t>-</w:t>
            </w:r>
            <w:r w:rsidRPr="007544AC">
              <w:rPr>
                <w:b w:val="0"/>
                <w:sz w:val="16"/>
                <w:szCs w:val="16"/>
              </w:rPr>
              <w:t xml:space="preserve"> </w:t>
            </w:r>
            <w:bookmarkEnd w:id="31"/>
            <w:r>
              <w:rPr>
                <w:b w:val="0"/>
                <w:sz w:val="16"/>
                <w:szCs w:val="16"/>
              </w:rPr>
              <w:t>30</w:t>
            </w:r>
            <w:r w:rsidRPr="007544AC">
              <w:rPr>
                <w:b w:val="0"/>
                <w:sz w:val="16"/>
                <w:szCs w:val="16"/>
              </w:rPr>
              <w:t>,700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31,000</w:t>
            </w:r>
            <w:r w:rsidRPr="007544AC">
              <w:rPr>
                <w:b w:val="0"/>
                <w:sz w:val="16"/>
                <w:szCs w:val="16"/>
              </w:rPr>
              <w:t xml:space="preserve"> </w:t>
            </w:r>
            <w:r>
              <w:rPr>
                <w:b w:val="0"/>
                <w:sz w:val="16"/>
                <w:szCs w:val="16"/>
              </w:rPr>
              <w:t>- 37,100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32" w:name="_Toc115142459"/>
            <w:r>
              <w:rPr>
                <w:b w:val="0"/>
                <w:sz w:val="16"/>
                <w:szCs w:val="16"/>
              </w:rPr>
              <w:t>36,100 -</w:t>
            </w:r>
            <w:r w:rsidRPr="007544AC">
              <w:rPr>
                <w:b w:val="0"/>
                <w:sz w:val="16"/>
                <w:szCs w:val="16"/>
              </w:rPr>
              <w:t xml:space="preserve"> </w:t>
            </w:r>
            <w:bookmarkEnd w:id="32"/>
            <w:r>
              <w:rPr>
                <w:b w:val="0"/>
                <w:sz w:val="16"/>
                <w:szCs w:val="16"/>
              </w:rPr>
              <w:t>43,200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40,400</w:t>
            </w:r>
            <w:r w:rsidRPr="007544AC">
              <w:rPr>
                <w:b w:val="0"/>
                <w:sz w:val="16"/>
                <w:szCs w:val="16"/>
              </w:rPr>
              <w:t xml:space="preserve"> </w:t>
            </w:r>
            <w:r>
              <w:rPr>
                <w:b w:val="0"/>
                <w:sz w:val="16"/>
                <w:szCs w:val="16"/>
              </w:rPr>
              <w:t>- 48,400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33" w:name="_Toc115142460"/>
            <w:r w:rsidRPr="00660F32">
              <w:rPr>
                <w:sz w:val="16"/>
                <w:szCs w:val="16"/>
              </w:rPr>
              <w:t>Decile 3</w:t>
            </w:r>
            <w:bookmarkEnd w:id="33"/>
          </w:p>
        </w:tc>
        <w:tc>
          <w:tcPr>
            <w:tcW w:w="1227" w:type="dxa"/>
            <w:vAlign w:val="center"/>
          </w:tcPr>
          <w:p w:rsidR="007B3E55" w:rsidRPr="007544AC" w:rsidRDefault="007B3E55" w:rsidP="00614C04">
            <w:pPr>
              <w:pStyle w:val="Heading2"/>
              <w:ind w:left="-156" w:right="-152"/>
              <w:jc w:val="center"/>
              <w:rPr>
                <w:b w:val="0"/>
                <w:sz w:val="16"/>
                <w:szCs w:val="16"/>
              </w:rPr>
            </w:pPr>
            <w:bookmarkStart w:id="34" w:name="_Toc115142461"/>
            <w:r>
              <w:rPr>
                <w:b w:val="0"/>
                <w:sz w:val="16"/>
                <w:szCs w:val="16"/>
              </w:rPr>
              <w:t>19,900</w:t>
            </w:r>
            <w:r w:rsidRPr="007544AC">
              <w:rPr>
                <w:b w:val="0"/>
                <w:sz w:val="16"/>
                <w:szCs w:val="16"/>
              </w:rPr>
              <w:t xml:space="preserve"> </w:t>
            </w:r>
            <w:r>
              <w:rPr>
                <w:b w:val="0"/>
                <w:sz w:val="16"/>
                <w:szCs w:val="16"/>
              </w:rPr>
              <w:t>-</w:t>
            </w:r>
            <w:r w:rsidRPr="007544AC">
              <w:rPr>
                <w:b w:val="0"/>
                <w:sz w:val="16"/>
                <w:szCs w:val="16"/>
              </w:rPr>
              <w:t xml:space="preserve"> </w:t>
            </w:r>
            <w:bookmarkEnd w:id="34"/>
            <w:r>
              <w:rPr>
                <w:b w:val="0"/>
                <w:sz w:val="16"/>
                <w:szCs w:val="16"/>
              </w:rPr>
              <w:t>23,800</w:t>
            </w:r>
          </w:p>
        </w:tc>
        <w:tc>
          <w:tcPr>
            <w:tcW w:w="1293" w:type="dxa"/>
            <w:vAlign w:val="center"/>
          </w:tcPr>
          <w:p w:rsidR="007B3E55" w:rsidRPr="007544AC" w:rsidRDefault="007B3E55" w:rsidP="00614C04">
            <w:pPr>
              <w:pStyle w:val="Heading2"/>
              <w:ind w:left="-156" w:right="-152"/>
              <w:jc w:val="center"/>
              <w:rPr>
                <w:b w:val="0"/>
                <w:sz w:val="16"/>
                <w:szCs w:val="16"/>
              </w:rPr>
            </w:pPr>
            <w:bookmarkStart w:id="35" w:name="_Toc115142462"/>
            <w:r>
              <w:rPr>
                <w:b w:val="0"/>
                <w:sz w:val="16"/>
                <w:szCs w:val="16"/>
              </w:rPr>
              <w:t>27,900</w:t>
            </w:r>
            <w:r w:rsidRPr="007544AC">
              <w:rPr>
                <w:b w:val="0"/>
                <w:sz w:val="16"/>
                <w:szCs w:val="16"/>
              </w:rPr>
              <w:t xml:space="preserve"> </w:t>
            </w:r>
            <w:r>
              <w:rPr>
                <w:b w:val="0"/>
                <w:sz w:val="16"/>
                <w:szCs w:val="16"/>
              </w:rPr>
              <w:t>-</w:t>
            </w:r>
            <w:r w:rsidRPr="007544AC">
              <w:rPr>
                <w:b w:val="0"/>
                <w:sz w:val="16"/>
                <w:szCs w:val="16"/>
              </w:rPr>
              <w:t xml:space="preserve"> </w:t>
            </w:r>
            <w:bookmarkEnd w:id="35"/>
            <w:r>
              <w:rPr>
                <w:b w:val="0"/>
                <w:sz w:val="16"/>
                <w:szCs w:val="16"/>
              </w:rPr>
              <w:t>33,300</w:t>
            </w:r>
          </w:p>
        </w:tc>
        <w:tc>
          <w:tcPr>
            <w:tcW w:w="1260" w:type="dxa"/>
            <w:vAlign w:val="center"/>
          </w:tcPr>
          <w:p w:rsidR="007B3E55" w:rsidRPr="007544AC" w:rsidRDefault="007B3E55" w:rsidP="00614C04">
            <w:pPr>
              <w:pStyle w:val="Heading2"/>
              <w:ind w:left="-156" w:right="-152"/>
              <w:jc w:val="center"/>
              <w:rPr>
                <w:b w:val="0"/>
                <w:sz w:val="16"/>
                <w:szCs w:val="16"/>
              </w:rPr>
            </w:pPr>
            <w:bookmarkStart w:id="36" w:name="_Toc115142463"/>
            <w:r>
              <w:rPr>
                <w:b w:val="0"/>
                <w:sz w:val="16"/>
                <w:szCs w:val="16"/>
              </w:rPr>
              <w:t>30</w:t>
            </w:r>
            <w:r w:rsidRPr="007544AC">
              <w:rPr>
                <w:b w:val="0"/>
                <w:sz w:val="16"/>
                <w:szCs w:val="16"/>
              </w:rPr>
              <w:t xml:space="preserve">,700 </w:t>
            </w:r>
            <w:r>
              <w:rPr>
                <w:b w:val="0"/>
                <w:sz w:val="16"/>
                <w:szCs w:val="16"/>
              </w:rPr>
              <w:t>-</w:t>
            </w:r>
            <w:r w:rsidRPr="007544AC">
              <w:rPr>
                <w:b w:val="0"/>
                <w:sz w:val="16"/>
                <w:szCs w:val="16"/>
              </w:rPr>
              <w:t xml:space="preserve"> </w:t>
            </w:r>
            <w:bookmarkEnd w:id="36"/>
            <w:r>
              <w:rPr>
                <w:b w:val="0"/>
                <w:sz w:val="16"/>
                <w:szCs w:val="16"/>
              </w:rPr>
              <w:t>36,600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37,100</w:t>
            </w:r>
            <w:r w:rsidRPr="007544AC">
              <w:rPr>
                <w:b w:val="0"/>
                <w:sz w:val="16"/>
                <w:szCs w:val="16"/>
              </w:rPr>
              <w:t xml:space="preserve"> </w:t>
            </w:r>
            <w:r>
              <w:rPr>
                <w:b w:val="0"/>
                <w:sz w:val="16"/>
                <w:szCs w:val="16"/>
              </w:rPr>
              <w:t>-</w:t>
            </w:r>
            <w:r w:rsidRPr="007544AC">
              <w:rPr>
                <w:b w:val="0"/>
                <w:sz w:val="16"/>
                <w:szCs w:val="16"/>
              </w:rPr>
              <w:t xml:space="preserve"> 4</w:t>
            </w:r>
            <w:r>
              <w:rPr>
                <w:b w:val="0"/>
                <w:sz w:val="16"/>
                <w:szCs w:val="16"/>
              </w:rPr>
              <w:t>4</w:t>
            </w:r>
            <w:r w:rsidRPr="007544AC">
              <w:rPr>
                <w:b w:val="0"/>
                <w:sz w:val="16"/>
                <w:szCs w:val="16"/>
              </w:rPr>
              <w:t>,200</w:t>
            </w:r>
          </w:p>
        </w:tc>
        <w:tc>
          <w:tcPr>
            <w:tcW w:w="1402" w:type="dxa"/>
            <w:tcBorders>
              <w:bottom w:val="single" w:sz="4" w:space="0" w:color="auto"/>
            </w:tcBorders>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37" w:name="_Toc115142464"/>
            <w:r>
              <w:rPr>
                <w:b w:val="0"/>
                <w:sz w:val="16"/>
                <w:szCs w:val="16"/>
              </w:rPr>
              <w:t>43,200</w:t>
            </w:r>
            <w:r w:rsidRPr="007544AC">
              <w:rPr>
                <w:b w:val="0"/>
                <w:sz w:val="16"/>
                <w:szCs w:val="16"/>
              </w:rPr>
              <w:t xml:space="preserve"> </w:t>
            </w:r>
            <w:r>
              <w:rPr>
                <w:b w:val="0"/>
                <w:sz w:val="16"/>
                <w:szCs w:val="16"/>
              </w:rPr>
              <w:t>-</w:t>
            </w:r>
            <w:r w:rsidRPr="007544AC">
              <w:rPr>
                <w:b w:val="0"/>
                <w:sz w:val="16"/>
                <w:szCs w:val="16"/>
              </w:rPr>
              <w:t xml:space="preserve"> </w:t>
            </w:r>
            <w:bookmarkEnd w:id="37"/>
            <w:r>
              <w:rPr>
                <w:b w:val="0"/>
                <w:sz w:val="16"/>
                <w:szCs w:val="16"/>
              </w:rPr>
              <w:t>51,500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48,400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57,700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38" w:name="_Toc115142465"/>
            <w:r w:rsidRPr="00660F32">
              <w:rPr>
                <w:sz w:val="16"/>
                <w:szCs w:val="16"/>
              </w:rPr>
              <w:t>Decile 4</w:t>
            </w:r>
            <w:bookmarkEnd w:id="38"/>
          </w:p>
        </w:tc>
        <w:tc>
          <w:tcPr>
            <w:tcW w:w="1227" w:type="dxa"/>
            <w:vAlign w:val="center"/>
          </w:tcPr>
          <w:p w:rsidR="007B3E55" w:rsidRPr="007544AC" w:rsidRDefault="007B3E55" w:rsidP="00614C04">
            <w:pPr>
              <w:pStyle w:val="Heading2"/>
              <w:ind w:left="-156" w:right="-152"/>
              <w:jc w:val="center"/>
              <w:rPr>
                <w:b w:val="0"/>
                <w:sz w:val="16"/>
                <w:szCs w:val="16"/>
              </w:rPr>
            </w:pPr>
            <w:bookmarkStart w:id="39" w:name="_Toc115142466"/>
            <w:r>
              <w:rPr>
                <w:b w:val="0"/>
                <w:sz w:val="16"/>
                <w:szCs w:val="16"/>
              </w:rPr>
              <w:t xml:space="preserve">23,800 - </w:t>
            </w:r>
            <w:bookmarkEnd w:id="39"/>
            <w:r>
              <w:rPr>
                <w:b w:val="0"/>
                <w:sz w:val="16"/>
                <w:szCs w:val="16"/>
              </w:rPr>
              <w:t>27,900</w:t>
            </w:r>
          </w:p>
        </w:tc>
        <w:tc>
          <w:tcPr>
            <w:tcW w:w="1293" w:type="dxa"/>
            <w:vAlign w:val="center"/>
          </w:tcPr>
          <w:p w:rsidR="007B3E55" w:rsidRPr="007544AC" w:rsidRDefault="007B3E55" w:rsidP="00614C04">
            <w:pPr>
              <w:pStyle w:val="Heading2"/>
              <w:ind w:left="-156" w:right="-152"/>
              <w:jc w:val="center"/>
              <w:rPr>
                <w:b w:val="0"/>
                <w:sz w:val="16"/>
                <w:szCs w:val="16"/>
              </w:rPr>
            </w:pPr>
            <w:bookmarkStart w:id="40" w:name="_Toc115142467"/>
            <w:r>
              <w:rPr>
                <w:b w:val="0"/>
                <w:sz w:val="16"/>
                <w:szCs w:val="16"/>
              </w:rPr>
              <w:t>33,300</w:t>
            </w:r>
            <w:r w:rsidRPr="007544AC">
              <w:rPr>
                <w:b w:val="0"/>
                <w:sz w:val="16"/>
                <w:szCs w:val="16"/>
              </w:rPr>
              <w:t xml:space="preserve"> </w:t>
            </w:r>
            <w:r>
              <w:rPr>
                <w:b w:val="0"/>
                <w:sz w:val="16"/>
                <w:szCs w:val="16"/>
              </w:rPr>
              <w:t>-</w:t>
            </w:r>
            <w:r w:rsidRPr="007544AC">
              <w:rPr>
                <w:b w:val="0"/>
                <w:sz w:val="16"/>
                <w:szCs w:val="16"/>
              </w:rPr>
              <w:t xml:space="preserve"> </w:t>
            </w:r>
            <w:bookmarkEnd w:id="40"/>
            <w:r>
              <w:rPr>
                <w:b w:val="0"/>
                <w:sz w:val="16"/>
                <w:szCs w:val="16"/>
              </w:rPr>
              <w:t>39,1</w:t>
            </w:r>
            <w:r w:rsidRPr="007544AC">
              <w:rPr>
                <w:b w:val="0"/>
                <w:sz w:val="16"/>
                <w:szCs w:val="16"/>
              </w:rPr>
              <w:t>00</w:t>
            </w:r>
          </w:p>
        </w:tc>
        <w:tc>
          <w:tcPr>
            <w:tcW w:w="1260" w:type="dxa"/>
            <w:vAlign w:val="center"/>
          </w:tcPr>
          <w:p w:rsidR="007B3E55" w:rsidRPr="007544AC" w:rsidRDefault="007B3E55" w:rsidP="00614C04">
            <w:pPr>
              <w:pStyle w:val="Heading2"/>
              <w:ind w:left="-156" w:right="-152"/>
              <w:jc w:val="center"/>
              <w:rPr>
                <w:b w:val="0"/>
                <w:sz w:val="16"/>
                <w:szCs w:val="16"/>
              </w:rPr>
            </w:pPr>
            <w:bookmarkStart w:id="41" w:name="_Toc115142468"/>
            <w:r>
              <w:rPr>
                <w:b w:val="0"/>
                <w:sz w:val="16"/>
                <w:szCs w:val="16"/>
              </w:rPr>
              <w:t>36,600</w:t>
            </w:r>
            <w:r w:rsidRPr="007544AC">
              <w:rPr>
                <w:b w:val="0"/>
                <w:sz w:val="16"/>
                <w:szCs w:val="16"/>
              </w:rPr>
              <w:t xml:space="preserve"> </w:t>
            </w:r>
            <w:r>
              <w:rPr>
                <w:b w:val="0"/>
                <w:sz w:val="16"/>
                <w:szCs w:val="16"/>
              </w:rPr>
              <w:t>-</w:t>
            </w:r>
            <w:r w:rsidRPr="007544AC">
              <w:rPr>
                <w:b w:val="0"/>
                <w:sz w:val="16"/>
                <w:szCs w:val="16"/>
              </w:rPr>
              <w:t xml:space="preserve"> </w:t>
            </w:r>
            <w:bookmarkEnd w:id="41"/>
            <w:r>
              <w:rPr>
                <w:b w:val="0"/>
                <w:sz w:val="16"/>
                <w:szCs w:val="16"/>
              </w:rPr>
              <w:t>43,000</w:t>
            </w:r>
          </w:p>
        </w:tc>
        <w:tc>
          <w:tcPr>
            <w:tcW w:w="1420" w:type="dxa"/>
            <w:vAlign w:val="center"/>
          </w:tcPr>
          <w:p w:rsidR="007B3E55" w:rsidRPr="007544AC" w:rsidRDefault="007B3E55" w:rsidP="00614C04">
            <w:pPr>
              <w:pStyle w:val="Heading2"/>
              <w:ind w:left="-156" w:right="-152"/>
              <w:jc w:val="center"/>
              <w:rPr>
                <w:b w:val="0"/>
                <w:sz w:val="16"/>
                <w:szCs w:val="16"/>
              </w:rPr>
            </w:pPr>
            <w:r w:rsidRPr="007544AC">
              <w:rPr>
                <w:b w:val="0"/>
                <w:sz w:val="16"/>
                <w:szCs w:val="16"/>
              </w:rPr>
              <w:t>4</w:t>
            </w:r>
            <w:r>
              <w:rPr>
                <w:b w:val="0"/>
                <w:sz w:val="16"/>
                <w:szCs w:val="16"/>
              </w:rPr>
              <w:t>4</w:t>
            </w:r>
            <w:r w:rsidRPr="007544AC">
              <w:rPr>
                <w:b w:val="0"/>
                <w:sz w:val="16"/>
                <w:szCs w:val="16"/>
              </w:rPr>
              <w:t xml:space="preserve">,200 </w:t>
            </w:r>
            <w:r>
              <w:rPr>
                <w:b w:val="0"/>
                <w:sz w:val="16"/>
                <w:szCs w:val="16"/>
              </w:rPr>
              <w:t>-</w:t>
            </w:r>
            <w:r w:rsidRPr="007544AC">
              <w:rPr>
                <w:b w:val="0"/>
                <w:sz w:val="16"/>
                <w:szCs w:val="16"/>
              </w:rPr>
              <w:t xml:space="preserve"> </w:t>
            </w:r>
            <w:r>
              <w:rPr>
                <w:b w:val="0"/>
                <w:sz w:val="16"/>
                <w:szCs w:val="16"/>
              </w:rPr>
              <w:t>51,900</w:t>
            </w:r>
          </w:p>
        </w:tc>
        <w:tc>
          <w:tcPr>
            <w:tcW w:w="1402" w:type="dxa"/>
            <w:shd w:val="clear" w:color="auto" w:fill="C0C0C0"/>
            <w:tcMar>
              <w:left w:w="0" w:type="dxa"/>
              <w:right w:w="0" w:type="dxa"/>
            </w:tcMar>
            <w:vAlign w:val="center"/>
          </w:tcPr>
          <w:p w:rsidR="007B3E55" w:rsidRPr="007544AC" w:rsidRDefault="007B3E55" w:rsidP="00614C04">
            <w:pPr>
              <w:pStyle w:val="Heading2"/>
              <w:ind w:left="-156" w:right="-152"/>
              <w:jc w:val="center"/>
              <w:rPr>
                <w:sz w:val="16"/>
                <w:szCs w:val="16"/>
              </w:rPr>
            </w:pPr>
            <w:bookmarkStart w:id="42" w:name="_Toc115142469"/>
            <w:r>
              <w:rPr>
                <w:sz w:val="16"/>
                <w:szCs w:val="16"/>
              </w:rPr>
              <w:t>51,500</w:t>
            </w:r>
            <w:r w:rsidRPr="007544AC">
              <w:rPr>
                <w:sz w:val="16"/>
                <w:szCs w:val="16"/>
              </w:rPr>
              <w:t xml:space="preserve"> </w:t>
            </w:r>
            <w:r>
              <w:rPr>
                <w:sz w:val="16"/>
                <w:szCs w:val="16"/>
              </w:rPr>
              <w:t>-</w:t>
            </w:r>
            <w:r w:rsidRPr="007544AC">
              <w:rPr>
                <w:sz w:val="16"/>
                <w:szCs w:val="16"/>
              </w:rPr>
              <w:t xml:space="preserve"> </w:t>
            </w:r>
            <w:bookmarkEnd w:id="42"/>
            <w:r>
              <w:rPr>
                <w:sz w:val="16"/>
                <w:szCs w:val="16"/>
              </w:rPr>
              <w:t>60,600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57,700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67,800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43" w:name="_Toc115142470"/>
            <w:r w:rsidRPr="00660F32">
              <w:rPr>
                <w:sz w:val="16"/>
                <w:szCs w:val="16"/>
              </w:rPr>
              <w:t>Decile 5</w:t>
            </w:r>
            <w:bookmarkEnd w:id="43"/>
          </w:p>
        </w:tc>
        <w:tc>
          <w:tcPr>
            <w:tcW w:w="1227" w:type="dxa"/>
            <w:vAlign w:val="center"/>
          </w:tcPr>
          <w:p w:rsidR="007B3E55" w:rsidRPr="007544AC" w:rsidRDefault="007B3E55" w:rsidP="00614C04">
            <w:pPr>
              <w:pStyle w:val="Heading2"/>
              <w:ind w:left="-156" w:right="-152"/>
              <w:jc w:val="center"/>
              <w:rPr>
                <w:b w:val="0"/>
                <w:sz w:val="16"/>
                <w:szCs w:val="16"/>
              </w:rPr>
            </w:pPr>
            <w:bookmarkStart w:id="44" w:name="_Toc115142471"/>
            <w:r>
              <w:rPr>
                <w:b w:val="0"/>
                <w:sz w:val="16"/>
                <w:szCs w:val="16"/>
              </w:rPr>
              <w:t>27,900</w:t>
            </w:r>
            <w:r w:rsidRPr="007544AC">
              <w:rPr>
                <w:b w:val="0"/>
                <w:sz w:val="16"/>
                <w:szCs w:val="16"/>
              </w:rPr>
              <w:t xml:space="preserve"> </w:t>
            </w:r>
            <w:r>
              <w:rPr>
                <w:b w:val="0"/>
                <w:sz w:val="16"/>
                <w:szCs w:val="16"/>
              </w:rPr>
              <w:t>-</w:t>
            </w:r>
            <w:r w:rsidRPr="007544AC">
              <w:rPr>
                <w:b w:val="0"/>
                <w:sz w:val="16"/>
                <w:szCs w:val="16"/>
              </w:rPr>
              <w:t xml:space="preserve"> </w:t>
            </w:r>
            <w:bookmarkEnd w:id="44"/>
            <w:r>
              <w:rPr>
                <w:b w:val="0"/>
                <w:sz w:val="16"/>
                <w:szCs w:val="16"/>
              </w:rPr>
              <w:t>31,900</w:t>
            </w:r>
          </w:p>
        </w:tc>
        <w:tc>
          <w:tcPr>
            <w:tcW w:w="1293" w:type="dxa"/>
            <w:vAlign w:val="center"/>
          </w:tcPr>
          <w:p w:rsidR="007B3E55" w:rsidRPr="007544AC" w:rsidRDefault="007B3E55" w:rsidP="00614C04">
            <w:pPr>
              <w:pStyle w:val="Heading2"/>
              <w:ind w:left="-156" w:right="-152"/>
              <w:jc w:val="center"/>
              <w:rPr>
                <w:b w:val="0"/>
                <w:sz w:val="16"/>
                <w:szCs w:val="16"/>
              </w:rPr>
            </w:pPr>
            <w:bookmarkStart w:id="45" w:name="_Toc115142472"/>
            <w:r>
              <w:rPr>
                <w:b w:val="0"/>
                <w:sz w:val="16"/>
                <w:szCs w:val="16"/>
              </w:rPr>
              <w:t>39,1</w:t>
            </w:r>
            <w:r w:rsidRPr="007544AC">
              <w:rPr>
                <w:b w:val="0"/>
                <w:sz w:val="16"/>
                <w:szCs w:val="16"/>
              </w:rPr>
              <w:t xml:space="preserve">00 </w:t>
            </w:r>
            <w:r>
              <w:rPr>
                <w:b w:val="0"/>
                <w:sz w:val="16"/>
                <w:szCs w:val="16"/>
              </w:rPr>
              <w:t>-</w:t>
            </w:r>
            <w:r w:rsidRPr="007544AC">
              <w:rPr>
                <w:b w:val="0"/>
                <w:sz w:val="16"/>
                <w:szCs w:val="16"/>
              </w:rPr>
              <w:t xml:space="preserve"> </w:t>
            </w:r>
            <w:bookmarkEnd w:id="45"/>
            <w:r>
              <w:rPr>
                <w:b w:val="0"/>
                <w:sz w:val="16"/>
                <w:szCs w:val="16"/>
              </w:rPr>
              <w:t>44,6</w:t>
            </w:r>
            <w:r w:rsidRPr="007544AC">
              <w:rPr>
                <w:b w:val="0"/>
                <w:sz w:val="16"/>
                <w:szCs w:val="16"/>
              </w:rPr>
              <w:t>00</w:t>
            </w:r>
          </w:p>
        </w:tc>
        <w:tc>
          <w:tcPr>
            <w:tcW w:w="1260" w:type="dxa"/>
            <w:vAlign w:val="center"/>
          </w:tcPr>
          <w:p w:rsidR="007B3E55" w:rsidRPr="007544AC" w:rsidRDefault="007B3E55" w:rsidP="00614C04">
            <w:pPr>
              <w:pStyle w:val="Heading2"/>
              <w:ind w:left="-156" w:right="-152"/>
              <w:jc w:val="center"/>
              <w:rPr>
                <w:b w:val="0"/>
                <w:sz w:val="16"/>
                <w:szCs w:val="16"/>
              </w:rPr>
            </w:pPr>
            <w:bookmarkStart w:id="46" w:name="_Toc115142473"/>
            <w:r>
              <w:rPr>
                <w:b w:val="0"/>
                <w:sz w:val="16"/>
                <w:szCs w:val="16"/>
              </w:rPr>
              <w:t>43,000</w:t>
            </w:r>
            <w:r w:rsidRPr="007544AC">
              <w:rPr>
                <w:b w:val="0"/>
                <w:sz w:val="16"/>
                <w:szCs w:val="16"/>
              </w:rPr>
              <w:t xml:space="preserve"> </w:t>
            </w:r>
            <w:r>
              <w:rPr>
                <w:b w:val="0"/>
                <w:sz w:val="16"/>
                <w:szCs w:val="16"/>
              </w:rPr>
              <w:t>-</w:t>
            </w:r>
            <w:r w:rsidRPr="007544AC">
              <w:rPr>
                <w:b w:val="0"/>
                <w:sz w:val="16"/>
                <w:szCs w:val="16"/>
              </w:rPr>
              <w:t xml:space="preserve"> </w:t>
            </w:r>
            <w:bookmarkEnd w:id="46"/>
            <w:r>
              <w:rPr>
                <w:b w:val="0"/>
                <w:sz w:val="16"/>
                <w:szCs w:val="16"/>
              </w:rPr>
              <w:t>49,100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51,900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59,300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47" w:name="_Toc115142474"/>
            <w:r>
              <w:rPr>
                <w:b w:val="0"/>
                <w:sz w:val="16"/>
                <w:szCs w:val="16"/>
              </w:rPr>
              <w:t>60,600</w:t>
            </w:r>
            <w:r w:rsidRPr="007544AC">
              <w:rPr>
                <w:b w:val="0"/>
                <w:sz w:val="16"/>
                <w:szCs w:val="16"/>
              </w:rPr>
              <w:t xml:space="preserve"> </w:t>
            </w:r>
            <w:r>
              <w:rPr>
                <w:b w:val="0"/>
                <w:sz w:val="16"/>
                <w:szCs w:val="16"/>
              </w:rPr>
              <w:t>-</w:t>
            </w:r>
            <w:r w:rsidRPr="007544AC">
              <w:rPr>
                <w:b w:val="0"/>
                <w:sz w:val="16"/>
                <w:szCs w:val="16"/>
              </w:rPr>
              <w:t xml:space="preserve"> </w:t>
            </w:r>
            <w:bookmarkEnd w:id="47"/>
            <w:r>
              <w:rPr>
                <w:b w:val="0"/>
                <w:sz w:val="16"/>
                <w:szCs w:val="16"/>
              </w:rPr>
              <w:t>69,200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67,800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77,400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48" w:name="_Toc115142475"/>
            <w:r w:rsidRPr="00660F32">
              <w:rPr>
                <w:sz w:val="16"/>
                <w:szCs w:val="16"/>
              </w:rPr>
              <w:t>Decile 6</w:t>
            </w:r>
            <w:bookmarkEnd w:id="48"/>
          </w:p>
        </w:tc>
        <w:tc>
          <w:tcPr>
            <w:tcW w:w="1227" w:type="dxa"/>
            <w:vAlign w:val="center"/>
          </w:tcPr>
          <w:p w:rsidR="007B3E55" w:rsidRPr="007544AC" w:rsidRDefault="007B3E55" w:rsidP="00614C04">
            <w:pPr>
              <w:pStyle w:val="Heading2"/>
              <w:ind w:left="-156" w:right="-152"/>
              <w:jc w:val="center"/>
              <w:rPr>
                <w:b w:val="0"/>
                <w:sz w:val="16"/>
                <w:szCs w:val="16"/>
              </w:rPr>
            </w:pPr>
            <w:bookmarkStart w:id="49" w:name="_Toc115142476"/>
            <w:r>
              <w:rPr>
                <w:b w:val="0"/>
                <w:sz w:val="16"/>
                <w:szCs w:val="16"/>
              </w:rPr>
              <w:t>31,900</w:t>
            </w:r>
            <w:r w:rsidRPr="007544AC">
              <w:rPr>
                <w:b w:val="0"/>
                <w:sz w:val="16"/>
                <w:szCs w:val="16"/>
              </w:rPr>
              <w:t xml:space="preserve"> </w:t>
            </w:r>
            <w:r>
              <w:rPr>
                <w:b w:val="0"/>
                <w:sz w:val="16"/>
                <w:szCs w:val="16"/>
              </w:rPr>
              <w:t>-</w:t>
            </w:r>
            <w:r w:rsidRPr="007544AC">
              <w:rPr>
                <w:b w:val="0"/>
                <w:sz w:val="16"/>
                <w:szCs w:val="16"/>
              </w:rPr>
              <w:t xml:space="preserve"> </w:t>
            </w:r>
            <w:bookmarkEnd w:id="49"/>
            <w:r>
              <w:rPr>
                <w:b w:val="0"/>
                <w:sz w:val="16"/>
                <w:szCs w:val="16"/>
              </w:rPr>
              <w:t>36,700</w:t>
            </w:r>
          </w:p>
        </w:tc>
        <w:tc>
          <w:tcPr>
            <w:tcW w:w="1293" w:type="dxa"/>
            <w:vAlign w:val="center"/>
          </w:tcPr>
          <w:p w:rsidR="007B3E55" w:rsidRPr="007544AC" w:rsidRDefault="007B3E55" w:rsidP="00614C04">
            <w:pPr>
              <w:pStyle w:val="Heading2"/>
              <w:ind w:left="-156" w:right="-152"/>
              <w:jc w:val="center"/>
              <w:rPr>
                <w:b w:val="0"/>
                <w:sz w:val="16"/>
                <w:szCs w:val="16"/>
              </w:rPr>
            </w:pPr>
            <w:bookmarkStart w:id="50" w:name="_Toc115142477"/>
            <w:r>
              <w:rPr>
                <w:b w:val="0"/>
                <w:sz w:val="16"/>
                <w:szCs w:val="16"/>
              </w:rPr>
              <w:t>44,6</w:t>
            </w:r>
            <w:r w:rsidRPr="007544AC">
              <w:rPr>
                <w:b w:val="0"/>
                <w:sz w:val="16"/>
                <w:szCs w:val="16"/>
              </w:rPr>
              <w:t xml:space="preserve">00 </w:t>
            </w:r>
            <w:r>
              <w:rPr>
                <w:b w:val="0"/>
                <w:sz w:val="16"/>
                <w:szCs w:val="16"/>
              </w:rPr>
              <w:t>-</w:t>
            </w:r>
            <w:r w:rsidRPr="007544AC">
              <w:rPr>
                <w:b w:val="0"/>
                <w:sz w:val="16"/>
                <w:szCs w:val="16"/>
              </w:rPr>
              <w:t xml:space="preserve"> </w:t>
            </w:r>
            <w:bookmarkEnd w:id="50"/>
            <w:r>
              <w:rPr>
                <w:b w:val="0"/>
                <w:sz w:val="16"/>
                <w:szCs w:val="16"/>
              </w:rPr>
              <w:t>51,400</w:t>
            </w:r>
          </w:p>
        </w:tc>
        <w:tc>
          <w:tcPr>
            <w:tcW w:w="1260" w:type="dxa"/>
            <w:vAlign w:val="center"/>
          </w:tcPr>
          <w:p w:rsidR="007B3E55" w:rsidRPr="007544AC" w:rsidRDefault="007B3E55" w:rsidP="00614C04">
            <w:pPr>
              <w:pStyle w:val="Heading2"/>
              <w:ind w:left="-156" w:right="-152"/>
              <w:jc w:val="center"/>
              <w:rPr>
                <w:b w:val="0"/>
                <w:sz w:val="16"/>
                <w:szCs w:val="16"/>
              </w:rPr>
            </w:pPr>
            <w:bookmarkStart w:id="51" w:name="_Toc115142478"/>
            <w:r>
              <w:rPr>
                <w:b w:val="0"/>
                <w:sz w:val="16"/>
                <w:szCs w:val="16"/>
              </w:rPr>
              <w:t>49,100</w:t>
            </w:r>
            <w:r w:rsidRPr="007544AC">
              <w:rPr>
                <w:b w:val="0"/>
                <w:sz w:val="16"/>
                <w:szCs w:val="16"/>
              </w:rPr>
              <w:t xml:space="preserve"> </w:t>
            </w:r>
            <w:r>
              <w:rPr>
                <w:b w:val="0"/>
                <w:sz w:val="16"/>
                <w:szCs w:val="16"/>
              </w:rPr>
              <w:t>-</w:t>
            </w:r>
            <w:r w:rsidRPr="007544AC">
              <w:rPr>
                <w:b w:val="0"/>
                <w:sz w:val="16"/>
                <w:szCs w:val="16"/>
              </w:rPr>
              <w:t xml:space="preserve"> </w:t>
            </w:r>
            <w:bookmarkEnd w:id="51"/>
            <w:r>
              <w:rPr>
                <w:b w:val="0"/>
                <w:sz w:val="16"/>
                <w:szCs w:val="16"/>
              </w:rPr>
              <w:t>56,500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59,300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68,200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52" w:name="_Toc115142479"/>
            <w:r>
              <w:rPr>
                <w:b w:val="0"/>
                <w:sz w:val="16"/>
                <w:szCs w:val="16"/>
              </w:rPr>
              <w:t>69,200</w:t>
            </w:r>
            <w:r w:rsidRPr="007544AC">
              <w:rPr>
                <w:b w:val="0"/>
                <w:sz w:val="16"/>
                <w:szCs w:val="16"/>
              </w:rPr>
              <w:t xml:space="preserve"> </w:t>
            </w:r>
            <w:r>
              <w:rPr>
                <w:b w:val="0"/>
                <w:sz w:val="16"/>
                <w:szCs w:val="16"/>
              </w:rPr>
              <w:t>-</w:t>
            </w:r>
            <w:r w:rsidRPr="007544AC">
              <w:rPr>
                <w:b w:val="0"/>
                <w:sz w:val="16"/>
                <w:szCs w:val="16"/>
              </w:rPr>
              <w:t xml:space="preserve"> </w:t>
            </w:r>
            <w:bookmarkEnd w:id="52"/>
            <w:r>
              <w:rPr>
                <w:b w:val="0"/>
                <w:sz w:val="16"/>
                <w:szCs w:val="16"/>
              </w:rPr>
              <w:t>79,600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77,400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89,100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53" w:name="_Toc115142480"/>
            <w:r w:rsidRPr="00660F32">
              <w:rPr>
                <w:sz w:val="16"/>
                <w:szCs w:val="16"/>
              </w:rPr>
              <w:t>Decile 7</w:t>
            </w:r>
            <w:bookmarkEnd w:id="53"/>
          </w:p>
        </w:tc>
        <w:tc>
          <w:tcPr>
            <w:tcW w:w="1227" w:type="dxa"/>
            <w:vAlign w:val="center"/>
          </w:tcPr>
          <w:p w:rsidR="007B3E55" w:rsidRPr="007544AC" w:rsidRDefault="007B3E55" w:rsidP="00614C04">
            <w:pPr>
              <w:pStyle w:val="Heading2"/>
              <w:ind w:left="-156" w:right="-152"/>
              <w:jc w:val="center"/>
              <w:rPr>
                <w:b w:val="0"/>
                <w:sz w:val="16"/>
                <w:szCs w:val="16"/>
              </w:rPr>
            </w:pPr>
            <w:bookmarkStart w:id="54" w:name="_Toc115142481"/>
            <w:r>
              <w:rPr>
                <w:b w:val="0"/>
                <w:sz w:val="16"/>
                <w:szCs w:val="16"/>
              </w:rPr>
              <w:t>36,700</w:t>
            </w:r>
            <w:r w:rsidRPr="007544AC">
              <w:rPr>
                <w:b w:val="0"/>
                <w:sz w:val="16"/>
                <w:szCs w:val="16"/>
              </w:rPr>
              <w:t xml:space="preserve"> </w:t>
            </w:r>
            <w:r>
              <w:rPr>
                <w:b w:val="0"/>
                <w:sz w:val="16"/>
                <w:szCs w:val="16"/>
              </w:rPr>
              <w:t>-</w:t>
            </w:r>
            <w:r w:rsidRPr="007544AC">
              <w:rPr>
                <w:b w:val="0"/>
                <w:sz w:val="16"/>
                <w:szCs w:val="16"/>
              </w:rPr>
              <w:t xml:space="preserve"> </w:t>
            </w:r>
            <w:bookmarkEnd w:id="54"/>
            <w:r w:rsidRPr="007544AC">
              <w:rPr>
                <w:b w:val="0"/>
                <w:sz w:val="16"/>
                <w:szCs w:val="16"/>
              </w:rPr>
              <w:t>4</w:t>
            </w:r>
            <w:r>
              <w:rPr>
                <w:b w:val="0"/>
                <w:sz w:val="16"/>
                <w:szCs w:val="16"/>
              </w:rPr>
              <w:t>3</w:t>
            </w:r>
            <w:r w:rsidRPr="007544AC">
              <w:rPr>
                <w:b w:val="0"/>
                <w:sz w:val="16"/>
                <w:szCs w:val="16"/>
              </w:rPr>
              <w:t>,500</w:t>
            </w:r>
          </w:p>
        </w:tc>
        <w:tc>
          <w:tcPr>
            <w:tcW w:w="1293" w:type="dxa"/>
            <w:vAlign w:val="center"/>
          </w:tcPr>
          <w:p w:rsidR="007B3E55" w:rsidRPr="007544AC" w:rsidRDefault="007B3E55" w:rsidP="00614C04">
            <w:pPr>
              <w:pStyle w:val="Heading2"/>
              <w:ind w:left="-156" w:right="-152"/>
              <w:jc w:val="center"/>
              <w:rPr>
                <w:b w:val="0"/>
                <w:sz w:val="16"/>
                <w:szCs w:val="16"/>
              </w:rPr>
            </w:pPr>
            <w:bookmarkStart w:id="55" w:name="_Toc115142482"/>
            <w:r>
              <w:rPr>
                <w:b w:val="0"/>
                <w:sz w:val="16"/>
                <w:szCs w:val="16"/>
              </w:rPr>
              <w:t>51,400</w:t>
            </w:r>
            <w:r w:rsidRPr="007544AC">
              <w:rPr>
                <w:b w:val="0"/>
                <w:sz w:val="16"/>
                <w:szCs w:val="16"/>
              </w:rPr>
              <w:t xml:space="preserve"> </w:t>
            </w:r>
            <w:r>
              <w:rPr>
                <w:b w:val="0"/>
                <w:sz w:val="16"/>
                <w:szCs w:val="16"/>
              </w:rPr>
              <w:t>-</w:t>
            </w:r>
            <w:r w:rsidRPr="007544AC">
              <w:rPr>
                <w:b w:val="0"/>
                <w:sz w:val="16"/>
                <w:szCs w:val="16"/>
              </w:rPr>
              <w:t xml:space="preserve"> </w:t>
            </w:r>
            <w:bookmarkEnd w:id="55"/>
            <w:r>
              <w:rPr>
                <w:b w:val="0"/>
                <w:sz w:val="16"/>
                <w:szCs w:val="16"/>
              </w:rPr>
              <w:t>60,900</w:t>
            </w:r>
          </w:p>
        </w:tc>
        <w:tc>
          <w:tcPr>
            <w:tcW w:w="1260" w:type="dxa"/>
            <w:vAlign w:val="center"/>
          </w:tcPr>
          <w:p w:rsidR="007B3E55" w:rsidRPr="007544AC" w:rsidRDefault="007B3E55" w:rsidP="00614C04">
            <w:pPr>
              <w:pStyle w:val="Heading2"/>
              <w:ind w:left="-156" w:right="-152"/>
              <w:jc w:val="center"/>
              <w:rPr>
                <w:b w:val="0"/>
                <w:sz w:val="16"/>
                <w:szCs w:val="16"/>
              </w:rPr>
            </w:pPr>
            <w:bookmarkStart w:id="56" w:name="_Toc115142483"/>
            <w:r>
              <w:rPr>
                <w:b w:val="0"/>
                <w:sz w:val="16"/>
                <w:szCs w:val="16"/>
              </w:rPr>
              <w:t>56,500</w:t>
            </w:r>
            <w:r w:rsidRPr="007544AC">
              <w:rPr>
                <w:b w:val="0"/>
                <w:sz w:val="16"/>
                <w:szCs w:val="16"/>
              </w:rPr>
              <w:t xml:space="preserve"> </w:t>
            </w:r>
            <w:r>
              <w:rPr>
                <w:b w:val="0"/>
                <w:sz w:val="16"/>
                <w:szCs w:val="16"/>
              </w:rPr>
              <w:t>-</w:t>
            </w:r>
            <w:r w:rsidRPr="007544AC">
              <w:rPr>
                <w:b w:val="0"/>
                <w:sz w:val="16"/>
                <w:szCs w:val="16"/>
              </w:rPr>
              <w:t xml:space="preserve"> </w:t>
            </w:r>
            <w:bookmarkEnd w:id="56"/>
            <w:r>
              <w:rPr>
                <w:b w:val="0"/>
                <w:sz w:val="16"/>
                <w:szCs w:val="16"/>
              </w:rPr>
              <w:t>67,000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68,200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81,000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57" w:name="_Toc115142484"/>
            <w:r>
              <w:rPr>
                <w:b w:val="0"/>
                <w:sz w:val="16"/>
                <w:szCs w:val="16"/>
              </w:rPr>
              <w:t>79,600 -</w:t>
            </w:r>
            <w:r w:rsidRPr="007544AC">
              <w:rPr>
                <w:b w:val="0"/>
                <w:sz w:val="16"/>
                <w:szCs w:val="16"/>
              </w:rPr>
              <w:t xml:space="preserve"> </w:t>
            </w:r>
            <w:bookmarkEnd w:id="57"/>
            <w:r>
              <w:rPr>
                <w:b w:val="0"/>
                <w:sz w:val="16"/>
                <w:szCs w:val="16"/>
              </w:rPr>
              <w:t>94,500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89,100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105,800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58" w:name="_Toc115142485"/>
            <w:r w:rsidRPr="00660F32">
              <w:rPr>
                <w:sz w:val="16"/>
                <w:szCs w:val="16"/>
              </w:rPr>
              <w:t>Decile 8</w:t>
            </w:r>
            <w:bookmarkEnd w:id="58"/>
          </w:p>
        </w:tc>
        <w:tc>
          <w:tcPr>
            <w:tcW w:w="1227" w:type="dxa"/>
            <w:vAlign w:val="center"/>
          </w:tcPr>
          <w:p w:rsidR="007B3E55" w:rsidRPr="007544AC" w:rsidRDefault="007B3E55" w:rsidP="00614C04">
            <w:pPr>
              <w:pStyle w:val="Heading2"/>
              <w:ind w:left="-156" w:right="-152"/>
              <w:jc w:val="center"/>
              <w:rPr>
                <w:b w:val="0"/>
                <w:sz w:val="16"/>
                <w:szCs w:val="16"/>
              </w:rPr>
            </w:pPr>
            <w:bookmarkStart w:id="59" w:name="_Toc115142486"/>
            <w:r w:rsidRPr="007544AC">
              <w:rPr>
                <w:b w:val="0"/>
                <w:sz w:val="16"/>
                <w:szCs w:val="16"/>
              </w:rPr>
              <w:t>4</w:t>
            </w:r>
            <w:r>
              <w:rPr>
                <w:b w:val="0"/>
                <w:sz w:val="16"/>
                <w:szCs w:val="16"/>
              </w:rPr>
              <w:t>3</w:t>
            </w:r>
            <w:r w:rsidRPr="007544AC">
              <w:rPr>
                <w:b w:val="0"/>
                <w:sz w:val="16"/>
                <w:szCs w:val="16"/>
              </w:rPr>
              <w:t xml:space="preserve">,500 </w:t>
            </w:r>
            <w:r>
              <w:rPr>
                <w:b w:val="0"/>
                <w:sz w:val="16"/>
                <w:szCs w:val="16"/>
              </w:rPr>
              <w:t>-</w:t>
            </w:r>
            <w:r w:rsidRPr="007544AC">
              <w:rPr>
                <w:b w:val="0"/>
                <w:sz w:val="16"/>
                <w:szCs w:val="16"/>
              </w:rPr>
              <w:t xml:space="preserve"> </w:t>
            </w:r>
            <w:bookmarkEnd w:id="59"/>
            <w:r>
              <w:rPr>
                <w:b w:val="0"/>
                <w:sz w:val="16"/>
                <w:szCs w:val="16"/>
              </w:rPr>
              <w:t>51,400</w:t>
            </w:r>
          </w:p>
        </w:tc>
        <w:tc>
          <w:tcPr>
            <w:tcW w:w="1293" w:type="dxa"/>
            <w:vAlign w:val="center"/>
          </w:tcPr>
          <w:p w:rsidR="007B3E55" w:rsidRPr="007544AC" w:rsidRDefault="007B3E55" w:rsidP="00614C04">
            <w:pPr>
              <w:pStyle w:val="Heading2"/>
              <w:ind w:left="-156" w:right="-152"/>
              <w:jc w:val="center"/>
              <w:rPr>
                <w:b w:val="0"/>
                <w:sz w:val="16"/>
                <w:szCs w:val="16"/>
              </w:rPr>
            </w:pPr>
            <w:bookmarkStart w:id="60" w:name="_Toc115142487"/>
            <w:r>
              <w:rPr>
                <w:b w:val="0"/>
                <w:sz w:val="16"/>
                <w:szCs w:val="16"/>
              </w:rPr>
              <w:t>60,900</w:t>
            </w:r>
            <w:r w:rsidRPr="007544AC">
              <w:rPr>
                <w:b w:val="0"/>
                <w:sz w:val="16"/>
                <w:szCs w:val="16"/>
              </w:rPr>
              <w:t xml:space="preserve"> </w:t>
            </w:r>
            <w:r>
              <w:rPr>
                <w:b w:val="0"/>
                <w:sz w:val="16"/>
                <w:szCs w:val="16"/>
              </w:rPr>
              <w:t>-</w:t>
            </w:r>
            <w:r w:rsidRPr="007544AC">
              <w:rPr>
                <w:b w:val="0"/>
                <w:sz w:val="16"/>
                <w:szCs w:val="16"/>
              </w:rPr>
              <w:t xml:space="preserve"> </w:t>
            </w:r>
            <w:bookmarkEnd w:id="60"/>
            <w:r>
              <w:rPr>
                <w:b w:val="0"/>
                <w:sz w:val="16"/>
                <w:szCs w:val="16"/>
              </w:rPr>
              <w:t>72,000</w:t>
            </w:r>
          </w:p>
        </w:tc>
        <w:tc>
          <w:tcPr>
            <w:tcW w:w="1260" w:type="dxa"/>
            <w:vAlign w:val="center"/>
          </w:tcPr>
          <w:p w:rsidR="007B3E55" w:rsidRPr="007544AC" w:rsidRDefault="007B3E55" w:rsidP="00614C04">
            <w:pPr>
              <w:pStyle w:val="Heading2"/>
              <w:ind w:left="-156" w:right="-152"/>
              <w:jc w:val="center"/>
              <w:rPr>
                <w:b w:val="0"/>
                <w:sz w:val="16"/>
                <w:szCs w:val="16"/>
              </w:rPr>
            </w:pPr>
            <w:bookmarkStart w:id="61" w:name="_Toc115142488"/>
            <w:r>
              <w:rPr>
                <w:b w:val="0"/>
                <w:sz w:val="16"/>
                <w:szCs w:val="16"/>
              </w:rPr>
              <w:t>67,000</w:t>
            </w:r>
            <w:r w:rsidRPr="007544AC">
              <w:rPr>
                <w:b w:val="0"/>
                <w:sz w:val="16"/>
                <w:szCs w:val="16"/>
              </w:rPr>
              <w:t xml:space="preserve"> </w:t>
            </w:r>
            <w:r>
              <w:rPr>
                <w:b w:val="0"/>
                <w:sz w:val="16"/>
                <w:szCs w:val="16"/>
              </w:rPr>
              <w:t>-</w:t>
            </w:r>
            <w:r w:rsidRPr="007544AC">
              <w:rPr>
                <w:b w:val="0"/>
                <w:sz w:val="16"/>
                <w:szCs w:val="16"/>
              </w:rPr>
              <w:t xml:space="preserve"> </w:t>
            </w:r>
            <w:bookmarkEnd w:id="61"/>
            <w:r>
              <w:rPr>
                <w:b w:val="0"/>
                <w:sz w:val="16"/>
                <w:szCs w:val="16"/>
              </w:rPr>
              <w:t>79,200</w:t>
            </w:r>
          </w:p>
        </w:tc>
        <w:tc>
          <w:tcPr>
            <w:tcW w:w="1420" w:type="dxa"/>
            <w:vAlign w:val="center"/>
          </w:tcPr>
          <w:p w:rsidR="007B3E55" w:rsidRPr="007544AC" w:rsidRDefault="007B3E55" w:rsidP="00614C04">
            <w:pPr>
              <w:pStyle w:val="Heading2"/>
              <w:ind w:left="-156" w:right="-152"/>
              <w:jc w:val="center"/>
              <w:rPr>
                <w:b w:val="0"/>
                <w:sz w:val="16"/>
                <w:szCs w:val="16"/>
              </w:rPr>
            </w:pPr>
            <w:r>
              <w:rPr>
                <w:b w:val="0"/>
                <w:sz w:val="16"/>
                <w:szCs w:val="16"/>
              </w:rPr>
              <w:t>81,000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95,600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62" w:name="_Toc115142489"/>
            <w:r>
              <w:rPr>
                <w:b w:val="0"/>
                <w:sz w:val="16"/>
                <w:szCs w:val="16"/>
              </w:rPr>
              <w:t>94,500</w:t>
            </w:r>
            <w:r w:rsidRPr="007544AC">
              <w:rPr>
                <w:b w:val="0"/>
                <w:sz w:val="16"/>
                <w:szCs w:val="16"/>
              </w:rPr>
              <w:t xml:space="preserve"> </w:t>
            </w:r>
            <w:r>
              <w:rPr>
                <w:b w:val="0"/>
                <w:sz w:val="16"/>
                <w:szCs w:val="16"/>
              </w:rPr>
              <w:t>-</w:t>
            </w:r>
            <w:r w:rsidRPr="007544AC">
              <w:rPr>
                <w:b w:val="0"/>
                <w:sz w:val="16"/>
                <w:szCs w:val="16"/>
              </w:rPr>
              <w:t xml:space="preserve"> </w:t>
            </w:r>
            <w:bookmarkEnd w:id="62"/>
            <w:r>
              <w:rPr>
                <w:b w:val="0"/>
                <w:sz w:val="16"/>
                <w:szCs w:val="16"/>
              </w:rPr>
              <w:t>111,600</w:t>
            </w:r>
          </w:p>
        </w:tc>
        <w:tc>
          <w:tcPr>
            <w:tcW w:w="1366" w:type="dxa"/>
            <w:vAlign w:val="center"/>
          </w:tcPr>
          <w:p w:rsidR="007B3E55" w:rsidRPr="007544AC" w:rsidRDefault="007B3E55" w:rsidP="00614C04">
            <w:pPr>
              <w:pStyle w:val="Heading2"/>
              <w:ind w:left="-156" w:right="-152"/>
              <w:jc w:val="center"/>
              <w:rPr>
                <w:b w:val="0"/>
                <w:sz w:val="16"/>
                <w:szCs w:val="16"/>
              </w:rPr>
            </w:pPr>
            <w:r>
              <w:rPr>
                <w:b w:val="0"/>
                <w:sz w:val="16"/>
                <w:szCs w:val="16"/>
              </w:rPr>
              <w:t>105,800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124,900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63" w:name="_Toc115142490"/>
            <w:r w:rsidRPr="00660F32">
              <w:rPr>
                <w:sz w:val="16"/>
                <w:szCs w:val="16"/>
              </w:rPr>
              <w:t>Decile 9</w:t>
            </w:r>
            <w:bookmarkEnd w:id="63"/>
          </w:p>
        </w:tc>
        <w:tc>
          <w:tcPr>
            <w:tcW w:w="1227" w:type="dxa"/>
            <w:vAlign w:val="center"/>
          </w:tcPr>
          <w:p w:rsidR="007B3E55" w:rsidRPr="007544AC" w:rsidRDefault="007B3E55" w:rsidP="00614C04">
            <w:pPr>
              <w:pStyle w:val="Heading2"/>
              <w:ind w:left="-156" w:right="-152"/>
              <w:jc w:val="center"/>
              <w:rPr>
                <w:b w:val="0"/>
                <w:sz w:val="16"/>
                <w:szCs w:val="16"/>
              </w:rPr>
            </w:pPr>
            <w:bookmarkStart w:id="64" w:name="_Toc115142491"/>
            <w:r>
              <w:rPr>
                <w:b w:val="0"/>
                <w:sz w:val="16"/>
                <w:szCs w:val="16"/>
              </w:rPr>
              <w:t>51,400</w:t>
            </w:r>
            <w:r w:rsidRPr="007544AC">
              <w:rPr>
                <w:b w:val="0"/>
                <w:sz w:val="16"/>
                <w:szCs w:val="16"/>
              </w:rPr>
              <w:t xml:space="preserve"> </w:t>
            </w:r>
            <w:r>
              <w:rPr>
                <w:b w:val="0"/>
                <w:sz w:val="16"/>
                <w:szCs w:val="16"/>
              </w:rPr>
              <w:t>-</w:t>
            </w:r>
            <w:r w:rsidRPr="007544AC">
              <w:rPr>
                <w:b w:val="0"/>
                <w:sz w:val="16"/>
                <w:szCs w:val="16"/>
              </w:rPr>
              <w:t xml:space="preserve"> </w:t>
            </w:r>
            <w:bookmarkEnd w:id="64"/>
            <w:r>
              <w:rPr>
                <w:b w:val="0"/>
                <w:sz w:val="16"/>
                <w:szCs w:val="16"/>
              </w:rPr>
              <w:t>66,000</w:t>
            </w:r>
          </w:p>
        </w:tc>
        <w:tc>
          <w:tcPr>
            <w:tcW w:w="1293" w:type="dxa"/>
            <w:vAlign w:val="center"/>
          </w:tcPr>
          <w:p w:rsidR="007B3E55" w:rsidRPr="007544AC" w:rsidRDefault="007B3E55" w:rsidP="00614C04">
            <w:pPr>
              <w:pStyle w:val="Heading2"/>
              <w:ind w:left="-156" w:right="-152"/>
              <w:jc w:val="center"/>
              <w:rPr>
                <w:b w:val="0"/>
                <w:sz w:val="16"/>
                <w:szCs w:val="16"/>
              </w:rPr>
            </w:pPr>
            <w:bookmarkStart w:id="65" w:name="_Toc115142492"/>
            <w:r>
              <w:rPr>
                <w:b w:val="0"/>
                <w:sz w:val="16"/>
                <w:szCs w:val="16"/>
              </w:rPr>
              <w:t>72,000 -</w:t>
            </w:r>
            <w:r w:rsidRPr="007544AC">
              <w:rPr>
                <w:b w:val="0"/>
                <w:sz w:val="16"/>
                <w:szCs w:val="16"/>
              </w:rPr>
              <w:t xml:space="preserve"> </w:t>
            </w:r>
            <w:bookmarkEnd w:id="65"/>
            <w:r>
              <w:rPr>
                <w:b w:val="0"/>
                <w:sz w:val="16"/>
                <w:szCs w:val="16"/>
              </w:rPr>
              <w:t>92,400</w:t>
            </w:r>
          </w:p>
        </w:tc>
        <w:tc>
          <w:tcPr>
            <w:tcW w:w="1260" w:type="dxa"/>
            <w:vAlign w:val="center"/>
          </w:tcPr>
          <w:p w:rsidR="007B3E55" w:rsidRPr="007544AC" w:rsidRDefault="007B3E55" w:rsidP="00614C04">
            <w:pPr>
              <w:pStyle w:val="Heading2"/>
              <w:ind w:left="-156" w:right="-152"/>
              <w:jc w:val="center"/>
              <w:rPr>
                <w:b w:val="0"/>
                <w:sz w:val="16"/>
                <w:szCs w:val="16"/>
              </w:rPr>
            </w:pPr>
            <w:bookmarkStart w:id="66" w:name="_Toc115142493"/>
            <w:r>
              <w:rPr>
                <w:b w:val="0"/>
                <w:sz w:val="16"/>
                <w:szCs w:val="16"/>
              </w:rPr>
              <w:t>79,200</w:t>
            </w:r>
            <w:r w:rsidRPr="007544AC">
              <w:rPr>
                <w:b w:val="0"/>
                <w:sz w:val="16"/>
                <w:szCs w:val="16"/>
              </w:rPr>
              <w:t xml:space="preserve"> </w:t>
            </w:r>
            <w:r>
              <w:rPr>
                <w:b w:val="0"/>
                <w:sz w:val="16"/>
                <w:szCs w:val="16"/>
              </w:rPr>
              <w:t>-</w:t>
            </w:r>
            <w:r w:rsidRPr="007544AC">
              <w:rPr>
                <w:b w:val="0"/>
                <w:sz w:val="16"/>
                <w:szCs w:val="16"/>
              </w:rPr>
              <w:t xml:space="preserve"> </w:t>
            </w:r>
            <w:bookmarkEnd w:id="66"/>
            <w:r>
              <w:rPr>
                <w:b w:val="0"/>
                <w:sz w:val="16"/>
                <w:szCs w:val="16"/>
              </w:rPr>
              <w:t>101,600</w:t>
            </w:r>
          </w:p>
        </w:tc>
        <w:tc>
          <w:tcPr>
            <w:tcW w:w="1420" w:type="dxa"/>
            <w:tcMar>
              <w:left w:w="173" w:type="dxa"/>
              <w:right w:w="173" w:type="dxa"/>
            </w:tcMar>
            <w:vAlign w:val="center"/>
          </w:tcPr>
          <w:p w:rsidR="007B3E55" w:rsidRPr="007544AC" w:rsidRDefault="007B3E55" w:rsidP="00614C04">
            <w:pPr>
              <w:pStyle w:val="Heading2"/>
              <w:ind w:left="-156" w:right="-152"/>
              <w:jc w:val="center"/>
              <w:rPr>
                <w:b w:val="0"/>
                <w:sz w:val="16"/>
                <w:szCs w:val="16"/>
              </w:rPr>
            </w:pPr>
            <w:r>
              <w:rPr>
                <w:b w:val="0"/>
                <w:sz w:val="16"/>
                <w:szCs w:val="16"/>
              </w:rPr>
              <w:t>95,600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122,800</w:t>
            </w:r>
          </w:p>
        </w:tc>
        <w:tc>
          <w:tcPr>
            <w:tcW w:w="1402" w:type="dxa"/>
            <w:tcMar>
              <w:left w:w="173" w:type="dxa"/>
              <w:right w:w="173" w:type="dxa"/>
            </w:tcMar>
            <w:vAlign w:val="center"/>
          </w:tcPr>
          <w:p w:rsidR="007B3E55" w:rsidRPr="007544AC" w:rsidRDefault="007B3E55" w:rsidP="00614C04">
            <w:pPr>
              <w:pStyle w:val="Heading2"/>
              <w:ind w:left="-156" w:right="-152"/>
              <w:jc w:val="center"/>
              <w:rPr>
                <w:b w:val="0"/>
                <w:sz w:val="16"/>
                <w:szCs w:val="16"/>
              </w:rPr>
            </w:pPr>
            <w:bookmarkStart w:id="67" w:name="_Toc115142494"/>
            <w:r>
              <w:rPr>
                <w:b w:val="0"/>
                <w:sz w:val="16"/>
                <w:szCs w:val="16"/>
              </w:rPr>
              <w:t>111,600</w:t>
            </w:r>
            <w:r w:rsidRPr="007544AC">
              <w:rPr>
                <w:b w:val="0"/>
                <w:sz w:val="16"/>
                <w:szCs w:val="16"/>
              </w:rPr>
              <w:t xml:space="preserve"> </w:t>
            </w:r>
            <w:r>
              <w:rPr>
                <w:b w:val="0"/>
                <w:sz w:val="16"/>
                <w:szCs w:val="16"/>
              </w:rPr>
              <w:t>-</w:t>
            </w:r>
            <w:r w:rsidRPr="007544AC">
              <w:rPr>
                <w:b w:val="0"/>
                <w:sz w:val="16"/>
                <w:szCs w:val="16"/>
              </w:rPr>
              <w:t xml:space="preserve"> </w:t>
            </w:r>
            <w:bookmarkEnd w:id="67"/>
            <w:r>
              <w:rPr>
                <w:b w:val="0"/>
                <w:sz w:val="16"/>
                <w:szCs w:val="16"/>
              </w:rPr>
              <w:t>143,200</w:t>
            </w:r>
          </w:p>
        </w:tc>
        <w:tc>
          <w:tcPr>
            <w:tcW w:w="1366" w:type="dxa"/>
            <w:tcMar>
              <w:left w:w="173" w:type="dxa"/>
              <w:right w:w="173" w:type="dxa"/>
            </w:tcMar>
            <w:vAlign w:val="center"/>
          </w:tcPr>
          <w:p w:rsidR="007B3E55" w:rsidRPr="007544AC" w:rsidRDefault="007B3E55" w:rsidP="00614C04">
            <w:pPr>
              <w:pStyle w:val="Heading2"/>
              <w:ind w:left="-156" w:right="-152"/>
              <w:jc w:val="center"/>
              <w:rPr>
                <w:b w:val="0"/>
                <w:sz w:val="16"/>
                <w:szCs w:val="16"/>
              </w:rPr>
            </w:pPr>
            <w:r>
              <w:rPr>
                <w:b w:val="0"/>
                <w:sz w:val="16"/>
                <w:szCs w:val="16"/>
              </w:rPr>
              <w:t>124,900</w:t>
            </w:r>
            <w:r w:rsidRPr="007544AC">
              <w:rPr>
                <w:b w:val="0"/>
                <w:sz w:val="16"/>
                <w:szCs w:val="16"/>
              </w:rPr>
              <w:t xml:space="preserve"> </w:t>
            </w:r>
            <w:r>
              <w:rPr>
                <w:b w:val="0"/>
                <w:sz w:val="16"/>
                <w:szCs w:val="16"/>
              </w:rPr>
              <w:t>-</w:t>
            </w:r>
            <w:r w:rsidRPr="007544AC">
              <w:rPr>
                <w:b w:val="0"/>
                <w:sz w:val="16"/>
                <w:szCs w:val="16"/>
              </w:rPr>
              <w:t xml:space="preserve"> </w:t>
            </w:r>
            <w:r>
              <w:rPr>
                <w:b w:val="0"/>
                <w:sz w:val="16"/>
                <w:szCs w:val="16"/>
              </w:rPr>
              <w:t>160,400</w:t>
            </w:r>
          </w:p>
        </w:tc>
      </w:tr>
      <w:tr w:rsidR="007B3E55">
        <w:trPr>
          <w:trHeight w:hRule="exact" w:val="432"/>
          <w:jc w:val="center"/>
        </w:trPr>
        <w:tc>
          <w:tcPr>
            <w:tcW w:w="1028" w:type="dxa"/>
            <w:tcMar>
              <w:left w:w="130" w:type="dxa"/>
            </w:tcMar>
            <w:vAlign w:val="center"/>
          </w:tcPr>
          <w:p w:rsidR="007B3E55" w:rsidRPr="00660F32" w:rsidRDefault="007B3E55" w:rsidP="00614C04">
            <w:pPr>
              <w:pStyle w:val="Heading2"/>
              <w:rPr>
                <w:sz w:val="16"/>
                <w:szCs w:val="16"/>
              </w:rPr>
            </w:pPr>
            <w:bookmarkStart w:id="68" w:name="_Toc115142495"/>
            <w:r w:rsidRPr="00660F32">
              <w:rPr>
                <w:sz w:val="16"/>
                <w:szCs w:val="16"/>
              </w:rPr>
              <w:t>Top decile</w:t>
            </w:r>
            <w:bookmarkEnd w:id="68"/>
          </w:p>
        </w:tc>
        <w:tc>
          <w:tcPr>
            <w:tcW w:w="1227" w:type="dxa"/>
            <w:vAlign w:val="center"/>
          </w:tcPr>
          <w:p w:rsidR="007B3E55" w:rsidRPr="007544AC" w:rsidRDefault="007B3E55" w:rsidP="00614C04">
            <w:pPr>
              <w:pStyle w:val="Heading2"/>
              <w:ind w:left="-156" w:right="-152"/>
              <w:jc w:val="center"/>
              <w:rPr>
                <w:b w:val="0"/>
                <w:sz w:val="16"/>
                <w:szCs w:val="16"/>
              </w:rPr>
            </w:pPr>
            <w:bookmarkStart w:id="69" w:name="_Toc115142496"/>
            <w:r w:rsidRPr="007544AC">
              <w:rPr>
                <w:b w:val="0"/>
                <w:sz w:val="16"/>
                <w:szCs w:val="16"/>
              </w:rPr>
              <w:t>&gt; $</w:t>
            </w:r>
            <w:bookmarkEnd w:id="69"/>
            <w:r>
              <w:rPr>
                <w:b w:val="0"/>
                <w:sz w:val="16"/>
                <w:szCs w:val="16"/>
              </w:rPr>
              <w:t>66,000</w:t>
            </w:r>
          </w:p>
        </w:tc>
        <w:tc>
          <w:tcPr>
            <w:tcW w:w="1293" w:type="dxa"/>
            <w:vAlign w:val="center"/>
          </w:tcPr>
          <w:p w:rsidR="007B3E55" w:rsidRPr="007544AC" w:rsidRDefault="007B3E55" w:rsidP="00614C04">
            <w:pPr>
              <w:pStyle w:val="Heading2"/>
              <w:ind w:left="-156" w:right="-152"/>
              <w:jc w:val="center"/>
              <w:rPr>
                <w:b w:val="0"/>
                <w:sz w:val="16"/>
                <w:szCs w:val="16"/>
              </w:rPr>
            </w:pPr>
            <w:bookmarkStart w:id="70" w:name="_Toc115142497"/>
            <w:r w:rsidRPr="007544AC">
              <w:rPr>
                <w:b w:val="0"/>
                <w:sz w:val="16"/>
                <w:szCs w:val="16"/>
              </w:rPr>
              <w:t>&gt; $</w:t>
            </w:r>
            <w:bookmarkEnd w:id="70"/>
            <w:r>
              <w:rPr>
                <w:b w:val="0"/>
                <w:sz w:val="16"/>
                <w:szCs w:val="16"/>
              </w:rPr>
              <w:t>92,400</w:t>
            </w:r>
          </w:p>
        </w:tc>
        <w:tc>
          <w:tcPr>
            <w:tcW w:w="1260" w:type="dxa"/>
            <w:vAlign w:val="center"/>
          </w:tcPr>
          <w:p w:rsidR="007B3E55" w:rsidRPr="007544AC" w:rsidRDefault="007B3E55" w:rsidP="00614C04">
            <w:pPr>
              <w:pStyle w:val="Heading2"/>
              <w:ind w:left="-156" w:right="-152"/>
              <w:jc w:val="center"/>
              <w:rPr>
                <w:b w:val="0"/>
                <w:sz w:val="16"/>
                <w:szCs w:val="16"/>
              </w:rPr>
            </w:pPr>
            <w:bookmarkStart w:id="71" w:name="_Toc115142498"/>
            <w:r w:rsidRPr="007544AC">
              <w:rPr>
                <w:b w:val="0"/>
                <w:sz w:val="16"/>
                <w:szCs w:val="16"/>
              </w:rPr>
              <w:t>&gt; $</w:t>
            </w:r>
            <w:bookmarkEnd w:id="71"/>
            <w:r>
              <w:rPr>
                <w:b w:val="0"/>
                <w:sz w:val="16"/>
                <w:szCs w:val="16"/>
              </w:rPr>
              <w:t>101,600</w:t>
            </w:r>
          </w:p>
        </w:tc>
        <w:tc>
          <w:tcPr>
            <w:tcW w:w="1420" w:type="dxa"/>
            <w:vAlign w:val="center"/>
          </w:tcPr>
          <w:p w:rsidR="007B3E55" w:rsidRPr="007544AC" w:rsidRDefault="007B3E55" w:rsidP="00614C04">
            <w:pPr>
              <w:pStyle w:val="Heading2"/>
              <w:ind w:left="-156" w:right="-152"/>
              <w:jc w:val="center"/>
              <w:rPr>
                <w:b w:val="0"/>
                <w:sz w:val="16"/>
                <w:szCs w:val="16"/>
              </w:rPr>
            </w:pPr>
            <w:r w:rsidRPr="007544AC">
              <w:rPr>
                <w:b w:val="0"/>
                <w:sz w:val="16"/>
                <w:szCs w:val="16"/>
              </w:rPr>
              <w:t>&gt; $</w:t>
            </w:r>
            <w:r>
              <w:rPr>
                <w:b w:val="0"/>
                <w:sz w:val="16"/>
                <w:szCs w:val="16"/>
              </w:rPr>
              <w:t>122,800</w:t>
            </w:r>
          </w:p>
        </w:tc>
        <w:tc>
          <w:tcPr>
            <w:tcW w:w="1402" w:type="dxa"/>
            <w:tcMar>
              <w:left w:w="0" w:type="dxa"/>
              <w:right w:w="0" w:type="dxa"/>
            </w:tcMar>
            <w:vAlign w:val="center"/>
          </w:tcPr>
          <w:p w:rsidR="007B3E55" w:rsidRPr="007544AC" w:rsidRDefault="007B3E55" w:rsidP="00614C04">
            <w:pPr>
              <w:pStyle w:val="Heading2"/>
              <w:ind w:left="-156" w:right="-152"/>
              <w:jc w:val="center"/>
              <w:rPr>
                <w:b w:val="0"/>
                <w:sz w:val="16"/>
                <w:szCs w:val="16"/>
              </w:rPr>
            </w:pPr>
            <w:bookmarkStart w:id="72" w:name="_Toc115142499"/>
            <w:r w:rsidRPr="007544AC">
              <w:rPr>
                <w:b w:val="0"/>
                <w:sz w:val="16"/>
                <w:szCs w:val="16"/>
              </w:rPr>
              <w:t>&gt; $</w:t>
            </w:r>
            <w:bookmarkEnd w:id="72"/>
            <w:r>
              <w:rPr>
                <w:b w:val="0"/>
                <w:sz w:val="16"/>
                <w:szCs w:val="16"/>
              </w:rPr>
              <w:t>143,200</w:t>
            </w:r>
          </w:p>
        </w:tc>
        <w:tc>
          <w:tcPr>
            <w:tcW w:w="1366" w:type="dxa"/>
            <w:vAlign w:val="center"/>
          </w:tcPr>
          <w:p w:rsidR="007B3E55" w:rsidRPr="007544AC" w:rsidRDefault="007B3E55" w:rsidP="00614C04">
            <w:pPr>
              <w:pStyle w:val="Heading2"/>
              <w:ind w:left="-156" w:right="-152"/>
              <w:jc w:val="center"/>
              <w:rPr>
                <w:b w:val="0"/>
                <w:sz w:val="16"/>
                <w:szCs w:val="16"/>
              </w:rPr>
            </w:pPr>
            <w:r w:rsidRPr="007544AC">
              <w:rPr>
                <w:b w:val="0"/>
                <w:sz w:val="16"/>
                <w:szCs w:val="16"/>
              </w:rPr>
              <w:t>&gt; $</w:t>
            </w:r>
            <w:r>
              <w:rPr>
                <w:b w:val="0"/>
                <w:sz w:val="16"/>
                <w:szCs w:val="16"/>
              </w:rPr>
              <w:t>160,400</w:t>
            </w:r>
          </w:p>
        </w:tc>
      </w:tr>
    </w:tbl>
    <w:p w:rsidR="007B3E55" w:rsidRPr="002F58A2" w:rsidRDefault="007B3E55" w:rsidP="007B3E55">
      <w:pPr>
        <w:pStyle w:val="Heading2"/>
        <w:spacing w:before="120"/>
        <w:ind w:left="567" w:hanging="561"/>
        <w:jc w:val="both"/>
        <w:rPr>
          <w:b w:val="0"/>
          <w:sz w:val="18"/>
          <w:szCs w:val="18"/>
        </w:rPr>
      </w:pPr>
      <w:r w:rsidRPr="002F58A2">
        <w:rPr>
          <w:b w:val="0"/>
          <w:sz w:val="18"/>
          <w:szCs w:val="18"/>
        </w:rPr>
        <w:t xml:space="preserve">Note: </w:t>
      </w:r>
      <w:r>
        <w:rPr>
          <w:b w:val="0"/>
          <w:sz w:val="18"/>
          <w:szCs w:val="18"/>
        </w:rPr>
        <w:tab/>
      </w:r>
      <w:r w:rsidRPr="002F58A2">
        <w:rPr>
          <w:b w:val="0"/>
          <w:sz w:val="18"/>
          <w:szCs w:val="18"/>
        </w:rPr>
        <w:t>use disposable household income when using this table – that is, household income from all sources after paying personal income tax and after receiving all tax credits (from Working for Families) and other state transfers (eg NZS, AS, main benefits)</w:t>
      </w:r>
    </w:p>
    <w:p w:rsidR="007B3E55" w:rsidRPr="001F42D8" w:rsidRDefault="007B3E55" w:rsidP="007B3E55">
      <w:pPr>
        <w:pStyle w:val="Heading2"/>
        <w:rPr>
          <w:sz w:val="24"/>
        </w:rPr>
      </w:pPr>
      <w:bookmarkStart w:id="73" w:name="_Toc115142500"/>
      <w:r>
        <w:rPr>
          <w:sz w:val="22"/>
          <w:szCs w:val="22"/>
        </w:rPr>
        <w:br w:type="page"/>
      </w:r>
      <w:r>
        <w:rPr>
          <w:sz w:val="22"/>
          <w:szCs w:val="22"/>
        </w:rPr>
        <w:lastRenderedPageBreak/>
        <w:br w:type="page"/>
      </w:r>
      <w:r w:rsidRPr="001F42D8">
        <w:rPr>
          <w:sz w:val="24"/>
        </w:rPr>
        <w:lastRenderedPageBreak/>
        <w:t>Distribution of individuals across income quintiles by various household and individual characteristics</w:t>
      </w:r>
    </w:p>
    <w:p w:rsidR="007B3E55" w:rsidRPr="001F42D8" w:rsidRDefault="007B3E55" w:rsidP="007B3E55">
      <w:pPr>
        <w:rPr>
          <w:sz w:val="20"/>
          <w:szCs w:val="22"/>
          <w:lang w:val="en-NZ"/>
        </w:rPr>
      </w:pPr>
    </w:p>
    <w:p w:rsidR="007B3E55" w:rsidRPr="001F42D8" w:rsidRDefault="007B3E55" w:rsidP="007B3E55">
      <w:pPr>
        <w:jc w:val="both"/>
        <w:rPr>
          <w:sz w:val="20"/>
          <w:szCs w:val="22"/>
          <w:lang w:val="en-NZ"/>
        </w:rPr>
      </w:pPr>
      <w:r w:rsidRPr="001F42D8">
        <w:rPr>
          <w:sz w:val="20"/>
          <w:szCs w:val="22"/>
          <w:lang w:val="en-NZ"/>
        </w:rPr>
        <w:t xml:space="preserve">When the population is ranked on their household incomes and divided into five equal groups, each group is called a quintile.  A quintile contains 20% of the population.    </w:t>
      </w:r>
    </w:p>
    <w:p w:rsidR="007B3E55" w:rsidRPr="001F42D8" w:rsidRDefault="007B3E55" w:rsidP="007B3E55">
      <w:pPr>
        <w:jc w:val="both"/>
        <w:rPr>
          <w:sz w:val="20"/>
          <w:szCs w:val="22"/>
          <w:lang w:val="en-NZ"/>
        </w:rPr>
      </w:pPr>
    </w:p>
    <w:p w:rsidR="007B3E55" w:rsidRPr="001F42D8" w:rsidRDefault="007B3E55" w:rsidP="007B3E55">
      <w:pPr>
        <w:jc w:val="both"/>
        <w:rPr>
          <w:sz w:val="20"/>
          <w:szCs w:val="22"/>
          <w:lang w:val="en-NZ"/>
        </w:rPr>
      </w:pPr>
      <w:r w:rsidRPr="001F42D8">
        <w:rPr>
          <w:b/>
          <w:sz w:val="20"/>
          <w:szCs w:val="22"/>
          <w:lang w:val="en-NZ"/>
        </w:rPr>
        <w:t>Table B.5</w:t>
      </w:r>
      <w:r w:rsidRPr="001F42D8">
        <w:rPr>
          <w:sz w:val="20"/>
          <w:szCs w:val="22"/>
          <w:lang w:val="en-NZ"/>
        </w:rPr>
        <w:t xml:space="preserve"> shows the position of groups of individuals in the household income distribution (</w:t>
      </w:r>
      <w:smartTag w:uri="urn:schemas-microsoft-com:office:smarttags" w:element="stockticker">
        <w:r w:rsidRPr="001F42D8">
          <w:rPr>
            <w:sz w:val="20"/>
            <w:szCs w:val="22"/>
            <w:lang w:val="en-NZ"/>
          </w:rPr>
          <w:t>BHC</w:t>
        </w:r>
      </w:smartTag>
      <w:r w:rsidRPr="001F42D8">
        <w:rPr>
          <w:sz w:val="20"/>
          <w:szCs w:val="22"/>
          <w:lang w:val="en-NZ"/>
        </w:rPr>
        <w:t xml:space="preserve">) according to various household and individual characteristics.  The proportions sum to 100% </w:t>
      </w:r>
      <w:r w:rsidRPr="001F42D8">
        <w:rPr>
          <w:sz w:val="20"/>
          <w:szCs w:val="22"/>
          <w:u w:val="single"/>
          <w:lang w:val="en-NZ"/>
        </w:rPr>
        <w:t>across</w:t>
      </w:r>
      <w:r w:rsidRPr="001F42D8">
        <w:rPr>
          <w:sz w:val="20"/>
          <w:szCs w:val="22"/>
          <w:lang w:val="en-NZ"/>
        </w:rPr>
        <w:t xml:space="preserve"> the quintiles.  </w:t>
      </w:r>
    </w:p>
    <w:p w:rsidR="007B3E55" w:rsidRPr="001F42D8" w:rsidRDefault="007B3E55" w:rsidP="007B3E55">
      <w:pPr>
        <w:jc w:val="both"/>
        <w:rPr>
          <w:sz w:val="20"/>
          <w:szCs w:val="22"/>
          <w:lang w:val="en-NZ"/>
        </w:rPr>
      </w:pPr>
    </w:p>
    <w:p w:rsidR="007B3E55" w:rsidRPr="001F42D8" w:rsidRDefault="007B3E55" w:rsidP="007B3E55">
      <w:pPr>
        <w:jc w:val="both"/>
        <w:rPr>
          <w:sz w:val="20"/>
          <w:szCs w:val="22"/>
          <w:lang w:val="en-NZ"/>
        </w:rPr>
      </w:pPr>
      <w:r w:rsidRPr="001F42D8">
        <w:rPr>
          <w:sz w:val="20"/>
          <w:szCs w:val="22"/>
          <w:lang w:val="en-NZ"/>
        </w:rPr>
        <w:t>The numbers in each quintile can be obtained by using the information in the right-hand column which gives the number of individuals in the various subgroups.  For example, in the lowest quintile (Q1), there are around 1</w:t>
      </w:r>
      <w:r>
        <w:rPr>
          <w:sz w:val="20"/>
          <w:szCs w:val="22"/>
          <w:lang w:val="en-NZ"/>
        </w:rPr>
        <w:t>63</w:t>
      </w:r>
      <w:r w:rsidRPr="001F42D8">
        <w:rPr>
          <w:sz w:val="20"/>
          <w:szCs w:val="22"/>
          <w:lang w:val="en-NZ"/>
        </w:rPr>
        <w:t>,000 individuals in sole-parent households where there are dependent children (</w:t>
      </w:r>
      <w:r>
        <w:rPr>
          <w:sz w:val="20"/>
          <w:szCs w:val="22"/>
          <w:lang w:val="en-NZ"/>
        </w:rPr>
        <w:t>4</w:t>
      </w:r>
      <w:r w:rsidRPr="001F42D8">
        <w:rPr>
          <w:sz w:val="20"/>
          <w:szCs w:val="22"/>
          <w:lang w:val="en-NZ"/>
        </w:rPr>
        <w:t>7% of 3</w:t>
      </w:r>
      <w:r>
        <w:rPr>
          <w:sz w:val="20"/>
          <w:szCs w:val="22"/>
          <w:lang w:val="en-NZ"/>
        </w:rPr>
        <w:t>47</w:t>
      </w:r>
      <w:r w:rsidRPr="001F42D8">
        <w:rPr>
          <w:sz w:val="20"/>
          <w:szCs w:val="22"/>
          <w:lang w:val="en-NZ"/>
        </w:rPr>
        <w:t xml:space="preserve">,000), and </w:t>
      </w:r>
      <w:r>
        <w:rPr>
          <w:sz w:val="20"/>
          <w:szCs w:val="22"/>
          <w:lang w:val="en-NZ"/>
        </w:rPr>
        <w:t>20</w:t>
      </w:r>
      <w:r w:rsidRPr="001F42D8">
        <w:rPr>
          <w:sz w:val="20"/>
          <w:szCs w:val="22"/>
          <w:lang w:val="en-NZ"/>
        </w:rPr>
        <w:t>0,000 in two-parent households with dependent children (13% of 1,</w:t>
      </w:r>
      <w:r>
        <w:rPr>
          <w:sz w:val="20"/>
          <w:szCs w:val="22"/>
          <w:lang w:val="en-NZ"/>
        </w:rPr>
        <w:t>540</w:t>
      </w:r>
      <w:r w:rsidRPr="001F42D8">
        <w:rPr>
          <w:sz w:val="20"/>
          <w:szCs w:val="22"/>
          <w:lang w:val="en-NZ"/>
        </w:rPr>
        <w:t>,000).</w:t>
      </w:r>
    </w:p>
    <w:p w:rsidR="007B3E55" w:rsidRPr="001F42D8" w:rsidRDefault="007B3E55" w:rsidP="007B3E55">
      <w:pPr>
        <w:jc w:val="both"/>
        <w:rPr>
          <w:sz w:val="20"/>
          <w:szCs w:val="22"/>
          <w:lang w:val="en-NZ"/>
        </w:rPr>
      </w:pPr>
    </w:p>
    <w:p w:rsidR="007B3E55" w:rsidRPr="001F42D8" w:rsidRDefault="007B3E55" w:rsidP="007B3E55">
      <w:pPr>
        <w:jc w:val="both"/>
        <w:rPr>
          <w:sz w:val="20"/>
          <w:szCs w:val="22"/>
          <w:lang w:val="en-NZ"/>
        </w:rPr>
      </w:pPr>
      <w:r w:rsidRPr="001F42D8">
        <w:rPr>
          <w:b/>
          <w:sz w:val="20"/>
          <w:szCs w:val="22"/>
          <w:lang w:val="en-NZ"/>
        </w:rPr>
        <w:t>Table B.6</w:t>
      </w:r>
      <w:r w:rsidRPr="001F42D8">
        <w:rPr>
          <w:sz w:val="20"/>
          <w:szCs w:val="22"/>
          <w:lang w:val="en-NZ"/>
        </w:rPr>
        <w:t xml:space="preserve"> shows the composition of each income quintile (</w:t>
      </w:r>
      <w:smartTag w:uri="urn:schemas-microsoft-com:office:smarttags" w:element="stockticker">
        <w:r w:rsidRPr="001F42D8">
          <w:rPr>
            <w:sz w:val="20"/>
            <w:szCs w:val="22"/>
            <w:lang w:val="en-NZ"/>
          </w:rPr>
          <w:t>BHC</w:t>
        </w:r>
      </w:smartTag>
      <w:r w:rsidRPr="001F42D8">
        <w:rPr>
          <w:sz w:val="20"/>
          <w:szCs w:val="22"/>
          <w:lang w:val="en-NZ"/>
        </w:rPr>
        <w:t xml:space="preserve">) according to various household and individual characteristics.  The proportions sum to 100% </w:t>
      </w:r>
      <w:r w:rsidRPr="001F42D8">
        <w:rPr>
          <w:sz w:val="20"/>
          <w:szCs w:val="22"/>
          <w:u w:val="single"/>
          <w:lang w:val="en-NZ"/>
        </w:rPr>
        <w:t>down</w:t>
      </w:r>
      <w:r w:rsidRPr="001F42D8">
        <w:rPr>
          <w:sz w:val="20"/>
          <w:szCs w:val="22"/>
          <w:lang w:val="en-NZ"/>
        </w:rPr>
        <w:t xml:space="preserve"> the columns for each set of characteristics.</w:t>
      </w:r>
    </w:p>
    <w:p w:rsidR="007B3E55" w:rsidRPr="001F42D8" w:rsidRDefault="007B3E55" w:rsidP="007B3E55">
      <w:pPr>
        <w:rPr>
          <w:sz w:val="20"/>
          <w:szCs w:val="22"/>
          <w:lang w:val="en-NZ"/>
        </w:rPr>
      </w:pPr>
    </w:p>
    <w:p w:rsidR="007B3E55" w:rsidRPr="001F42D8" w:rsidRDefault="007B3E55" w:rsidP="007B3E55">
      <w:pPr>
        <w:rPr>
          <w:sz w:val="20"/>
          <w:szCs w:val="22"/>
          <w:lang w:val="en-NZ"/>
        </w:rPr>
      </w:pPr>
      <w:r w:rsidRPr="001F42D8">
        <w:rPr>
          <w:b/>
          <w:sz w:val="20"/>
          <w:szCs w:val="22"/>
          <w:lang w:val="en-NZ"/>
        </w:rPr>
        <w:t>Tables B.7 and B.8</w:t>
      </w:r>
      <w:r w:rsidRPr="001F42D8">
        <w:rPr>
          <w:sz w:val="20"/>
          <w:szCs w:val="22"/>
          <w:lang w:val="en-NZ"/>
        </w:rPr>
        <w:t xml:space="preserve"> repeat the analysis for </w:t>
      </w:r>
      <w:smartTag w:uri="urn:schemas-microsoft-com:office:smarttags" w:element="stockticker">
        <w:r w:rsidRPr="001F42D8">
          <w:rPr>
            <w:sz w:val="20"/>
            <w:szCs w:val="22"/>
            <w:lang w:val="en-NZ"/>
          </w:rPr>
          <w:t>AHC</w:t>
        </w:r>
      </w:smartTag>
      <w:r w:rsidRPr="001F42D8">
        <w:rPr>
          <w:sz w:val="20"/>
          <w:szCs w:val="22"/>
          <w:lang w:val="en-NZ"/>
        </w:rPr>
        <w:t xml:space="preserve"> incomes.</w:t>
      </w:r>
    </w:p>
    <w:p w:rsidR="007B3E55" w:rsidRDefault="007B3E55" w:rsidP="007B3E55">
      <w:pPr>
        <w:rPr>
          <w:sz w:val="20"/>
          <w:szCs w:val="22"/>
          <w:lang w:val="en-NZ"/>
        </w:rPr>
      </w:pPr>
    </w:p>
    <w:p w:rsidR="007B3E55" w:rsidRDefault="007B3E55" w:rsidP="007B3E55">
      <w:pPr>
        <w:rPr>
          <w:sz w:val="20"/>
          <w:szCs w:val="22"/>
          <w:lang w:val="en-NZ"/>
        </w:rPr>
      </w:pPr>
    </w:p>
    <w:p w:rsidR="007B3E55" w:rsidRDefault="007B3E55" w:rsidP="007B3E55">
      <w:pPr>
        <w:rPr>
          <w:sz w:val="20"/>
          <w:szCs w:val="22"/>
          <w:lang w:val="en-NZ"/>
        </w:rPr>
      </w:pPr>
    </w:p>
    <w:p w:rsidR="007B3E55" w:rsidRDefault="007B3E55" w:rsidP="007B3E55">
      <w:pPr>
        <w:rPr>
          <w:sz w:val="20"/>
          <w:szCs w:val="22"/>
          <w:lang w:val="en-NZ"/>
        </w:rPr>
      </w:pPr>
    </w:p>
    <w:p w:rsidR="007B3E55" w:rsidRPr="001F42D8" w:rsidRDefault="007B3E55" w:rsidP="007B3E55">
      <w:pPr>
        <w:rPr>
          <w:sz w:val="20"/>
          <w:szCs w:val="22"/>
          <w:lang w:val="en-NZ"/>
        </w:rPr>
      </w:pPr>
    </w:p>
    <w:p w:rsidR="007B3E55" w:rsidRDefault="007B3E55" w:rsidP="007B3E55">
      <w:pPr>
        <w:rPr>
          <w:szCs w:val="22"/>
          <w:lang w:val="en-NZ"/>
        </w:rPr>
      </w:pPr>
      <w:r>
        <w:rPr>
          <w:noProof/>
          <w:szCs w:val="22"/>
          <w:lang w:val="en-US"/>
        </w:rPr>
        <w:pict>
          <v:shape id="_x0000_s1197" type="#_x0000_t202" style="position:absolute;margin-left:0;margin-top:7.3pt;width:380.25pt;height:240.75pt;z-index:251646464;mso-position-horizontal:center">
            <v:textbox style="mso-next-textbox:#_x0000_s1197">
              <w:txbxContent>
                <w:p w:rsidR="00DE4A2A" w:rsidRPr="001F42D8" w:rsidRDefault="00DE4A2A" w:rsidP="007B3E55">
                  <w:pPr>
                    <w:jc w:val="center"/>
                    <w:rPr>
                      <w:b/>
                      <w:sz w:val="18"/>
                      <w:lang w:val="en-NZ"/>
                    </w:rPr>
                  </w:pPr>
                  <w:r w:rsidRPr="001F42D8">
                    <w:rPr>
                      <w:b/>
                      <w:sz w:val="18"/>
                      <w:lang w:val="en-NZ"/>
                    </w:rPr>
                    <w:t>Caution</w:t>
                  </w:r>
                </w:p>
                <w:p w:rsidR="00DE4A2A" w:rsidRPr="001F42D8" w:rsidRDefault="00DE4A2A" w:rsidP="007B3E55">
                  <w:pPr>
                    <w:jc w:val="both"/>
                    <w:rPr>
                      <w:sz w:val="18"/>
                      <w:lang w:val="en-NZ"/>
                    </w:rPr>
                  </w:pPr>
                </w:p>
                <w:p w:rsidR="00DE4A2A" w:rsidRPr="001F42D8" w:rsidRDefault="00DE4A2A" w:rsidP="007B3E55">
                  <w:pPr>
                    <w:jc w:val="both"/>
                    <w:rPr>
                      <w:sz w:val="18"/>
                      <w:lang w:val="en-NZ"/>
                    </w:rPr>
                  </w:pPr>
                  <w:r w:rsidRPr="001F42D8">
                    <w:rPr>
                      <w:sz w:val="18"/>
                      <w:lang w:val="en-NZ"/>
                    </w:rPr>
                    <w:t>When using the figures for smaller sub-groups, the proportions in each quintile should be taken as indicative rather than precise.</w:t>
                  </w:r>
                </w:p>
                <w:p w:rsidR="00DE4A2A" w:rsidRPr="001F42D8" w:rsidRDefault="00DE4A2A" w:rsidP="007B3E55">
                  <w:pPr>
                    <w:jc w:val="both"/>
                    <w:rPr>
                      <w:sz w:val="18"/>
                      <w:lang w:val="en-NZ"/>
                    </w:rPr>
                  </w:pPr>
                </w:p>
                <w:p w:rsidR="00DE4A2A" w:rsidRPr="001F42D8" w:rsidRDefault="00DE4A2A" w:rsidP="007B3E55">
                  <w:pPr>
                    <w:jc w:val="both"/>
                    <w:rPr>
                      <w:sz w:val="18"/>
                      <w:lang w:val="en-NZ"/>
                    </w:rPr>
                  </w:pPr>
                  <w:r w:rsidRPr="001F42D8">
                    <w:rPr>
                      <w:sz w:val="18"/>
                      <w:lang w:val="en-NZ"/>
                    </w:rPr>
                    <w:t xml:space="preserve">For example, in Table B.8 those living in one person 65+ households are reported as making up only 4% of the population.   When reading Table B.7 for the distribution of those in this HH type across the quintiles, it is reasonable to conclude that ‘around three quarters are found in the bottom two quintiles’, but to claim that </w:t>
                  </w:r>
                  <w:r>
                    <w:rPr>
                      <w:sz w:val="18"/>
                      <w:lang w:val="en-NZ"/>
                    </w:rPr>
                    <w:t>15,800</w:t>
                  </w:r>
                  <w:r w:rsidRPr="001F42D8">
                    <w:rPr>
                      <w:sz w:val="18"/>
                      <w:lang w:val="en-NZ"/>
                    </w:rPr>
                    <w:t xml:space="preserve"> (</w:t>
                  </w:r>
                  <w:r>
                    <w:rPr>
                      <w:sz w:val="18"/>
                      <w:lang w:val="en-NZ"/>
                    </w:rPr>
                    <w:t>10</w:t>
                  </w:r>
                  <w:r w:rsidRPr="001F42D8">
                    <w:rPr>
                      <w:sz w:val="18"/>
                      <w:lang w:val="en-NZ"/>
                    </w:rPr>
                    <w:t>% of 15</w:t>
                  </w:r>
                  <w:r>
                    <w:rPr>
                      <w:sz w:val="18"/>
                      <w:lang w:val="en-NZ"/>
                    </w:rPr>
                    <w:t>8</w:t>
                  </w:r>
                  <w:r w:rsidRPr="001F42D8">
                    <w:rPr>
                      <w:sz w:val="18"/>
                      <w:lang w:val="en-NZ"/>
                    </w:rPr>
                    <w:t>,000) are in the top quintile is spurious precision.</w:t>
                  </w:r>
                </w:p>
                <w:p w:rsidR="00DE4A2A" w:rsidRPr="001F42D8" w:rsidRDefault="00DE4A2A" w:rsidP="007B3E55">
                  <w:pPr>
                    <w:jc w:val="both"/>
                    <w:rPr>
                      <w:sz w:val="18"/>
                      <w:lang w:val="en-NZ"/>
                    </w:rPr>
                  </w:pPr>
                </w:p>
                <w:p w:rsidR="00DE4A2A" w:rsidRPr="001F42D8" w:rsidRDefault="00DE4A2A" w:rsidP="007B3E55">
                  <w:pPr>
                    <w:jc w:val="both"/>
                    <w:rPr>
                      <w:sz w:val="18"/>
                      <w:lang w:val="en-NZ"/>
                    </w:rPr>
                  </w:pPr>
                  <w:r w:rsidRPr="001F42D8">
                    <w:rPr>
                      <w:sz w:val="18"/>
                      <w:lang w:val="en-NZ"/>
                    </w:rPr>
                    <w:t>Another example is the distribution across the quintiles by ethnicity. With the Pacific group making up only 7% of the population, the same sort of caution applies as for the one person 65+ households noted above.  The ‘Other’ group is larger (1</w:t>
                  </w:r>
                  <w:r>
                    <w:rPr>
                      <w:sz w:val="18"/>
                      <w:lang w:val="en-NZ"/>
                    </w:rPr>
                    <w:t>2</w:t>
                  </w:r>
                  <w:r w:rsidRPr="001F42D8">
                    <w:rPr>
                      <w:sz w:val="18"/>
                      <w:lang w:val="en-NZ"/>
                    </w:rPr>
                    <w:t xml:space="preserve">%) but is very diverse, so results for each quintile can be volatile from year to year.  An example of what it is reasonable to conclude from the analysis in the tables which follow is that household incomes for those of </w:t>
                  </w:r>
                  <w:r>
                    <w:rPr>
                      <w:sz w:val="18"/>
                      <w:lang w:val="en-NZ"/>
                    </w:rPr>
                    <w:t>Maori and Pacific</w:t>
                  </w:r>
                  <w:r w:rsidRPr="001F42D8">
                    <w:rPr>
                      <w:sz w:val="18"/>
                      <w:lang w:val="en-NZ"/>
                    </w:rPr>
                    <w:t xml:space="preserve"> ethnicity </w:t>
                  </w:r>
                  <w:r>
                    <w:rPr>
                      <w:sz w:val="18"/>
                      <w:lang w:val="en-NZ"/>
                    </w:rPr>
                    <w:t>are similarly</w:t>
                  </w:r>
                  <w:r w:rsidRPr="001F42D8">
                    <w:rPr>
                      <w:sz w:val="18"/>
                      <w:lang w:val="en-NZ"/>
                    </w:rPr>
                    <w:t xml:space="preserve"> d</w:t>
                  </w:r>
                  <w:r>
                    <w:rPr>
                      <w:sz w:val="18"/>
                      <w:lang w:val="en-NZ"/>
                    </w:rPr>
                    <w:t>istributed across the quintiles (around half are in the lower two quintiles), and are each quite differently distributed than are household incomes for European/Pakeha (for whom around one third are in the lower two quintiles).</w:t>
                  </w:r>
                </w:p>
                <w:p w:rsidR="00DE4A2A" w:rsidRPr="001F42D8" w:rsidRDefault="00DE4A2A" w:rsidP="007B3E55">
                  <w:pPr>
                    <w:jc w:val="both"/>
                    <w:rPr>
                      <w:sz w:val="18"/>
                      <w:lang w:val="en-NZ"/>
                    </w:rPr>
                  </w:pPr>
                </w:p>
                <w:p w:rsidR="00DE4A2A" w:rsidRPr="001F42D8" w:rsidRDefault="00DE4A2A" w:rsidP="007B3E55">
                  <w:pPr>
                    <w:jc w:val="both"/>
                    <w:rPr>
                      <w:sz w:val="18"/>
                      <w:lang w:val="en-NZ"/>
                    </w:rPr>
                  </w:pPr>
                  <w:r w:rsidRPr="001F42D8">
                    <w:rPr>
                      <w:sz w:val="18"/>
                      <w:lang w:val="en-NZ"/>
                    </w:rPr>
                    <w:t>See further comments in Section A under ‘Reliability of results’.</w:t>
                  </w:r>
                </w:p>
                <w:p w:rsidR="00DE4A2A" w:rsidRDefault="00DE4A2A" w:rsidP="007B3E55">
                  <w:pPr>
                    <w:jc w:val="both"/>
                    <w:rPr>
                      <w:sz w:val="20"/>
                      <w:lang w:val="en-NZ"/>
                    </w:rPr>
                  </w:pPr>
                </w:p>
                <w:p w:rsidR="00DE4A2A" w:rsidRPr="00C37043" w:rsidRDefault="00DE4A2A" w:rsidP="007B3E55">
                  <w:pPr>
                    <w:jc w:val="both"/>
                    <w:rPr>
                      <w:sz w:val="20"/>
                      <w:lang w:val="en-NZ"/>
                    </w:rPr>
                  </w:pPr>
                </w:p>
                <w:p w:rsidR="00DE4A2A" w:rsidRDefault="00DE4A2A" w:rsidP="007B3E55">
                  <w:pPr>
                    <w:jc w:val="both"/>
                    <w:rPr>
                      <w:b/>
                      <w:i/>
                      <w:szCs w:val="22"/>
                      <w:lang w:val="en-NZ"/>
                    </w:rPr>
                  </w:pPr>
                </w:p>
                <w:p w:rsidR="00DE4A2A" w:rsidRPr="00C37043" w:rsidRDefault="00DE4A2A" w:rsidP="007B3E55">
                  <w:pPr>
                    <w:jc w:val="both"/>
                    <w:rPr>
                      <w:lang w:val="en-NZ"/>
                    </w:rPr>
                  </w:pPr>
                </w:p>
              </w:txbxContent>
            </v:textbox>
            <w10:wrap side="left"/>
          </v:shape>
        </w:pict>
      </w:r>
    </w:p>
    <w:p w:rsidR="007B3E55" w:rsidRDefault="007B3E55" w:rsidP="007B3E55">
      <w:pPr>
        <w:rPr>
          <w:szCs w:val="22"/>
          <w:lang w:val="en-NZ"/>
        </w:rPr>
      </w:pPr>
    </w:p>
    <w:p w:rsidR="007B3E55" w:rsidRDefault="007B3E55" w:rsidP="007B3E55">
      <w:pPr>
        <w:rPr>
          <w:szCs w:val="22"/>
          <w:lang w:val="en-NZ"/>
        </w:rPr>
      </w:pPr>
    </w:p>
    <w:p w:rsidR="007B3E55" w:rsidRDefault="007B3E55" w:rsidP="007B3E55">
      <w:pPr>
        <w:rPr>
          <w:szCs w:val="22"/>
          <w:lang w:val="en-NZ"/>
        </w:rPr>
      </w:pPr>
    </w:p>
    <w:p w:rsidR="007B3E55" w:rsidRDefault="007B3E55" w:rsidP="007B3E55">
      <w:pPr>
        <w:rPr>
          <w:szCs w:val="22"/>
          <w:lang w:val="en-NZ"/>
        </w:rPr>
      </w:pPr>
    </w:p>
    <w:p w:rsidR="007B3E55" w:rsidRDefault="007B3E55" w:rsidP="007B3E55">
      <w:pPr>
        <w:rPr>
          <w:szCs w:val="22"/>
          <w:lang w:val="en-NZ"/>
        </w:rPr>
      </w:pPr>
    </w:p>
    <w:p w:rsidR="007B3E55" w:rsidRDefault="007B3E55" w:rsidP="007B3E55">
      <w:pPr>
        <w:rPr>
          <w:b/>
          <w:i/>
          <w:szCs w:val="22"/>
          <w:lang w:val="en-NZ"/>
        </w:rPr>
      </w:pPr>
    </w:p>
    <w:p w:rsidR="007B3E55" w:rsidRDefault="007B3E55" w:rsidP="007B3E55">
      <w:pPr>
        <w:rPr>
          <w:b/>
          <w:i/>
          <w:szCs w:val="22"/>
          <w:lang w:val="en-NZ"/>
        </w:rPr>
      </w:pPr>
    </w:p>
    <w:p w:rsidR="007B3E55" w:rsidRPr="00895E7E" w:rsidRDefault="007B3E55" w:rsidP="007B3E55">
      <w:pPr>
        <w:rPr>
          <w:b/>
          <w:i/>
          <w:szCs w:val="22"/>
          <w:lang w:val="en-NZ"/>
        </w:rPr>
      </w:pPr>
    </w:p>
    <w:p w:rsidR="007B3E55" w:rsidRPr="001F42D8" w:rsidRDefault="007B3E55" w:rsidP="007B3E55">
      <w:pPr>
        <w:jc w:val="center"/>
        <w:rPr>
          <w:b/>
          <w:sz w:val="18"/>
          <w:lang w:val="en-NZ"/>
        </w:rPr>
      </w:pPr>
      <w:r w:rsidRPr="007417DF">
        <w:rPr>
          <w:szCs w:val="22"/>
          <w:lang w:val="en-NZ"/>
        </w:rPr>
        <w:br w:type="page"/>
      </w:r>
      <w:r w:rsidRPr="001F42D8">
        <w:rPr>
          <w:b/>
          <w:sz w:val="18"/>
          <w:lang w:val="en-NZ"/>
        </w:rPr>
        <w:lastRenderedPageBreak/>
        <w:t>Table B.5</w:t>
      </w:r>
    </w:p>
    <w:p w:rsidR="007B3E55" w:rsidRPr="001F42D8" w:rsidRDefault="007B3E55" w:rsidP="007B3E55">
      <w:pPr>
        <w:jc w:val="center"/>
        <w:rPr>
          <w:b/>
          <w:sz w:val="18"/>
          <w:lang w:val="en-NZ"/>
        </w:rPr>
      </w:pPr>
      <w:r w:rsidRPr="001F42D8">
        <w:rPr>
          <w:b/>
          <w:sz w:val="18"/>
          <w:lang w:val="en-NZ"/>
        </w:rPr>
        <w:t>Distribution of individuals across income quintiles (</w:t>
      </w:r>
      <w:smartTag w:uri="urn:schemas-microsoft-com:office:smarttags" w:element="stockticker">
        <w:r w:rsidRPr="001F42D8">
          <w:rPr>
            <w:b/>
            <w:sz w:val="18"/>
            <w:lang w:val="en-NZ"/>
          </w:rPr>
          <w:t>BHC</w:t>
        </w:r>
      </w:smartTag>
      <w:r w:rsidRPr="001F42D8">
        <w:rPr>
          <w:b/>
          <w:sz w:val="18"/>
          <w:lang w:val="en-NZ"/>
        </w:rPr>
        <w:t>)</w:t>
      </w:r>
    </w:p>
    <w:p w:rsidR="007B3E55" w:rsidRPr="001F42D8" w:rsidRDefault="007B3E55" w:rsidP="007B3E55">
      <w:pPr>
        <w:jc w:val="center"/>
        <w:rPr>
          <w:b/>
          <w:sz w:val="18"/>
          <w:lang w:val="en-NZ"/>
        </w:rPr>
      </w:pPr>
      <w:r w:rsidRPr="001F42D8">
        <w:rPr>
          <w:b/>
          <w:sz w:val="18"/>
          <w:lang w:val="en-NZ"/>
        </w:rPr>
        <w:t>by various household and individual characteristics (%)</w:t>
      </w:r>
    </w:p>
    <w:p w:rsidR="007B3E55" w:rsidRPr="001F42D8" w:rsidRDefault="007B3E55" w:rsidP="007B3E55">
      <w:pPr>
        <w:spacing w:before="60" w:after="120"/>
        <w:jc w:val="center"/>
        <w:rPr>
          <w:sz w:val="16"/>
          <w:szCs w:val="18"/>
          <w:lang w:val="en-NZ"/>
        </w:rPr>
      </w:pPr>
      <w:r w:rsidRPr="001F42D8">
        <w:rPr>
          <w:sz w:val="16"/>
          <w:szCs w:val="18"/>
          <w:lang w:val="en-NZ"/>
        </w:rPr>
        <w:t>(sum to 100% across rows)</w:t>
      </w:r>
    </w:p>
    <w:tbl>
      <w:tblPr>
        <w:tblStyle w:val="TableGrid"/>
        <w:tblW w:w="8910" w:type="dxa"/>
        <w:tblInd w:w="198" w:type="dxa"/>
        <w:tblLayout w:type="fixed"/>
        <w:tblLook w:val="01E0"/>
      </w:tblPr>
      <w:tblGrid>
        <w:gridCol w:w="4140"/>
        <w:gridCol w:w="739"/>
        <w:gridCol w:w="739"/>
        <w:gridCol w:w="739"/>
        <w:gridCol w:w="739"/>
        <w:gridCol w:w="740"/>
        <w:gridCol w:w="1074"/>
      </w:tblGrid>
      <w:tr w:rsidR="007B3E55">
        <w:trPr>
          <w:trHeight w:val="350"/>
        </w:trPr>
        <w:tc>
          <w:tcPr>
            <w:tcW w:w="4140" w:type="dxa"/>
            <w:vMerge w:val="restart"/>
            <w:vAlign w:val="center"/>
          </w:tcPr>
          <w:p w:rsidR="007B3E55" w:rsidRPr="00773DCF" w:rsidRDefault="007B3E55" w:rsidP="00614C04">
            <w:pPr>
              <w:jc w:val="center"/>
              <w:rPr>
                <w:b/>
                <w:sz w:val="20"/>
                <w:lang w:val="en-NZ"/>
              </w:rPr>
            </w:pPr>
            <w:r w:rsidRPr="00773DCF">
              <w:rPr>
                <w:b/>
                <w:sz w:val="20"/>
                <w:lang w:val="en-NZ"/>
              </w:rPr>
              <w:t>HES 200</w:t>
            </w:r>
            <w:r>
              <w:rPr>
                <w:b/>
                <w:sz w:val="20"/>
                <w:lang w:val="en-NZ"/>
              </w:rPr>
              <w:t>9</w:t>
            </w:r>
          </w:p>
        </w:tc>
        <w:tc>
          <w:tcPr>
            <w:tcW w:w="3696" w:type="dxa"/>
            <w:gridSpan w:val="5"/>
            <w:tcBorders>
              <w:bottom w:val="nil"/>
            </w:tcBorders>
            <w:vAlign w:val="center"/>
          </w:tcPr>
          <w:p w:rsidR="007B3E55" w:rsidRPr="00531701" w:rsidRDefault="007B3E55" w:rsidP="00614C04">
            <w:pPr>
              <w:jc w:val="center"/>
              <w:rPr>
                <w:b/>
                <w:sz w:val="16"/>
                <w:szCs w:val="16"/>
                <w:lang w:val="en-NZ"/>
              </w:rPr>
            </w:pPr>
            <w:r w:rsidRPr="00531701">
              <w:rPr>
                <w:b/>
                <w:sz w:val="16"/>
                <w:szCs w:val="16"/>
                <w:lang w:val="en-NZ"/>
              </w:rPr>
              <w:t>Equivalised disposable household income</w:t>
            </w:r>
          </w:p>
        </w:tc>
        <w:tc>
          <w:tcPr>
            <w:tcW w:w="1074" w:type="dxa"/>
            <w:vMerge w:val="restart"/>
            <w:vAlign w:val="center"/>
          </w:tcPr>
          <w:p w:rsidR="007B3E55" w:rsidRPr="00531701" w:rsidRDefault="007B3E55" w:rsidP="00614C04">
            <w:pPr>
              <w:jc w:val="center"/>
              <w:rPr>
                <w:b/>
                <w:sz w:val="16"/>
                <w:szCs w:val="16"/>
                <w:lang w:val="en-NZ"/>
              </w:rPr>
            </w:pPr>
            <w:r w:rsidRPr="00531701">
              <w:rPr>
                <w:b/>
                <w:sz w:val="16"/>
                <w:szCs w:val="16"/>
                <w:lang w:val="en-NZ"/>
              </w:rPr>
              <w:t>All individuals (000s)</w:t>
            </w:r>
          </w:p>
        </w:tc>
      </w:tr>
      <w:tr w:rsidR="007B3E55">
        <w:trPr>
          <w:trHeight w:val="377"/>
        </w:trPr>
        <w:tc>
          <w:tcPr>
            <w:tcW w:w="4140" w:type="dxa"/>
            <w:vMerge/>
            <w:tcBorders>
              <w:bottom w:val="single" w:sz="4" w:space="0" w:color="auto"/>
            </w:tcBorders>
            <w:vAlign w:val="center"/>
          </w:tcPr>
          <w:p w:rsidR="007B3E55" w:rsidRPr="00531701" w:rsidRDefault="007B3E55" w:rsidP="00614C04">
            <w:pPr>
              <w:jc w:val="both"/>
              <w:rPr>
                <w:sz w:val="16"/>
                <w:szCs w:val="16"/>
                <w:lang w:val="en-NZ"/>
              </w:rPr>
            </w:pPr>
          </w:p>
        </w:tc>
        <w:tc>
          <w:tcPr>
            <w:tcW w:w="739" w:type="dxa"/>
            <w:tcBorders>
              <w:top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Q1</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Q2</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Q3</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Q4</w:t>
            </w:r>
          </w:p>
        </w:tc>
        <w:tc>
          <w:tcPr>
            <w:tcW w:w="740" w:type="dxa"/>
            <w:tcBorders>
              <w:top w:val="nil"/>
              <w:left w:val="nil"/>
              <w:bottom w:val="single" w:sz="4" w:space="0" w:color="auto"/>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Q5</w:t>
            </w:r>
          </w:p>
        </w:tc>
        <w:tc>
          <w:tcPr>
            <w:tcW w:w="1074" w:type="dxa"/>
            <w:vMerge/>
            <w:tcBorders>
              <w:bottom w:val="single" w:sz="4" w:space="0" w:color="auto"/>
            </w:tcBorders>
            <w:vAlign w:val="center"/>
          </w:tcPr>
          <w:p w:rsidR="007B3E55" w:rsidRPr="00531701" w:rsidRDefault="007B3E55" w:rsidP="00614C04">
            <w:pPr>
              <w:jc w:val="center"/>
              <w:rPr>
                <w:sz w:val="16"/>
                <w:szCs w:val="16"/>
                <w:lang w:val="en-NZ"/>
              </w:rPr>
            </w:pP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 xml:space="preserve">Age </w:t>
            </w:r>
          </w:p>
        </w:tc>
        <w:tc>
          <w:tcPr>
            <w:tcW w:w="739" w:type="dxa"/>
            <w:tcBorders>
              <w:left w:val="single" w:sz="4" w:space="0" w:color="auto"/>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0-17</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1090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18-2</w:t>
            </w:r>
            <w:r>
              <w:rPr>
                <w:rFonts w:cs="Arial"/>
                <w:sz w:val="16"/>
                <w:szCs w:val="16"/>
                <w:lang w:val="en-NZ"/>
              </w:rPr>
              <w:t>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404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25-44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1156</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45</w:t>
            </w:r>
            <w:r w:rsidRPr="003A2455">
              <w:rPr>
                <w:rFonts w:cs="Arial"/>
                <w:sz w:val="16"/>
                <w:szCs w:val="16"/>
                <w:lang w:val="en-NZ"/>
              </w:rPr>
              <w:t>-64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1052</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65</w:t>
            </w:r>
            <w:r>
              <w:rPr>
                <w:rFonts w:cs="Arial"/>
                <w:sz w:val="16"/>
                <w:szCs w:val="16"/>
                <w:lang w:val="en-NZ"/>
              </w:rPr>
              <w:t>+</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511</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tcBorders>
            <w:noWrap/>
            <w:tcMar>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4213</w:t>
            </w: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Household type</w:t>
            </w:r>
          </w:p>
        </w:tc>
        <w:tc>
          <w:tcPr>
            <w:tcW w:w="739" w:type="dxa"/>
            <w:tcBorders>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noWrap/>
            <w:tcMar>
              <w:right w:w="288" w:type="dxa"/>
            </w:tcMar>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158</w:t>
            </w:r>
          </w:p>
        </w:tc>
      </w:tr>
      <w:tr w:rsidR="007B3E55">
        <w:trPr>
          <w:trHeight w:val="252"/>
        </w:trPr>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324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550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SP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347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1540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 family HHs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371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Family</w:t>
            </w:r>
            <w:r w:rsidRPr="003A2455">
              <w:rPr>
                <w:rFonts w:cs="Arial"/>
                <w:sz w:val="16"/>
                <w:szCs w:val="16"/>
                <w:lang w:val="en-NZ"/>
              </w:rPr>
              <w:t xml:space="preserve"> HHs with no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473</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Non-family HHs</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249</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tcBorders>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4213</w:t>
            </w:r>
          </w:p>
        </w:tc>
      </w:tr>
      <w:tr w:rsidR="007B3E55">
        <w:tc>
          <w:tcPr>
            <w:tcW w:w="4140" w:type="dxa"/>
            <w:tcBorders>
              <w:bottom w:val="nil"/>
              <w:right w:val="single" w:sz="4" w:space="0" w:color="auto"/>
            </w:tcBorders>
            <w:shd w:val="clear" w:color="auto" w:fill="auto"/>
            <w:vAlign w:val="center"/>
          </w:tcPr>
          <w:p w:rsidR="007B3E55" w:rsidRPr="00A365FF" w:rsidRDefault="007B3E55" w:rsidP="00614C04">
            <w:pPr>
              <w:spacing w:before="20" w:after="20"/>
              <w:rPr>
                <w:rFonts w:cs="Arial"/>
                <w:b/>
                <w:sz w:val="16"/>
                <w:szCs w:val="16"/>
                <w:lang w:val="en-NZ"/>
              </w:rPr>
            </w:pPr>
            <w:r>
              <w:rPr>
                <w:rFonts w:cs="Arial"/>
                <w:b/>
                <w:sz w:val="16"/>
                <w:szCs w:val="16"/>
                <w:lang w:val="en-NZ"/>
              </w:rPr>
              <w:t xml:space="preserve">Ethnicity </w:t>
            </w:r>
            <w:r w:rsidRPr="00A365FF">
              <w:rPr>
                <w:rFonts w:cs="Arial"/>
                <w:b/>
                <w:sz w:val="16"/>
                <w:szCs w:val="16"/>
                <w:lang w:val="en-NZ"/>
              </w:rPr>
              <w:tab/>
            </w:r>
            <w:r w:rsidRPr="00A365FF">
              <w:rPr>
                <w:rFonts w:cs="Arial"/>
                <w:b/>
                <w:sz w:val="16"/>
                <w:szCs w:val="16"/>
                <w:lang w:val="en-NZ"/>
              </w:rPr>
              <w:tab/>
            </w:r>
          </w:p>
        </w:tc>
        <w:tc>
          <w:tcPr>
            <w:tcW w:w="739" w:type="dxa"/>
            <w:tcBorders>
              <w:left w:val="single" w:sz="4" w:space="0" w:color="auto"/>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rPr>
                <w:rFonts w:cs="Arial"/>
                <w:sz w:val="16"/>
                <w:szCs w:val="16"/>
                <w:lang w:val="en-NZ"/>
              </w:rPr>
            </w:pPr>
          </w:p>
        </w:tc>
        <w:tc>
          <w:tcPr>
            <w:tcW w:w="740" w:type="dxa"/>
            <w:tcBorders>
              <w:left w:val="nil"/>
              <w:bottom w:val="nil"/>
            </w:tcBorders>
            <w:shd w:val="clear" w:color="auto" w:fill="auto"/>
            <w:noWrap/>
            <w:tcMar>
              <w:left w:w="115" w:type="dxa"/>
              <w:right w:w="288" w:type="dxa"/>
            </w:tcMar>
            <w:vAlign w:val="center"/>
          </w:tcPr>
          <w:p w:rsidR="007B3E55" w:rsidRPr="00A365FF" w:rsidRDefault="007B3E55" w:rsidP="00614C04">
            <w:pPr>
              <w:spacing w:before="20" w:after="20"/>
              <w:ind w:right="-89"/>
              <w:rPr>
                <w:rFonts w:cs="Arial"/>
                <w:sz w:val="16"/>
                <w:szCs w:val="16"/>
                <w:lang w:val="en-NZ"/>
              </w:rPr>
            </w:pPr>
          </w:p>
        </w:tc>
        <w:tc>
          <w:tcPr>
            <w:tcW w:w="1074" w:type="dxa"/>
            <w:tcBorders>
              <w:bottom w:val="nil"/>
            </w:tcBorders>
            <w:shd w:val="clear" w:color="auto" w:fill="auto"/>
            <w:noWrap/>
            <w:tcMar>
              <w:left w:w="115" w:type="dxa"/>
              <w:right w:w="288" w:type="dxa"/>
            </w:tcMar>
            <w:vAlign w:val="center"/>
          </w:tcPr>
          <w:p w:rsidR="007B3E55" w:rsidRPr="00A365FF" w:rsidRDefault="007B3E55" w:rsidP="00614C04">
            <w:pPr>
              <w:spacing w:before="20" w:after="20"/>
              <w:ind w:right="38"/>
              <w:rPr>
                <w:rFonts w:cs="Arial"/>
                <w:sz w:val="16"/>
                <w:szCs w:val="16"/>
                <w:lang w:val="en-NZ"/>
              </w:rPr>
            </w:pPr>
          </w:p>
        </w:tc>
      </w:tr>
      <w:tr w:rsidR="007B3E55">
        <w:tc>
          <w:tcPr>
            <w:tcW w:w="4140" w:type="dxa"/>
            <w:tcBorders>
              <w:top w:val="nil"/>
              <w:bottom w:val="nil"/>
              <w:right w:val="single" w:sz="4" w:space="0" w:color="auto"/>
            </w:tcBorders>
            <w:shd w:val="clear" w:color="auto" w:fill="auto"/>
            <w:vAlign w:val="center"/>
          </w:tcPr>
          <w:p w:rsidR="007B3E55" w:rsidRPr="00A365FF" w:rsidRDefault="007B3E55" w:rsidP="00614C04">
            <w:pPr>
              <w:spacing w:before="20" w:after="20"/>
              <w:ind w:left="360"/>
              <w:rPr>
                <w:rFonts w:cs="Arial"/>
                <w:sz w:val="16"/>
                <w:szCs w:val="16"/>
                <w:lang w:val="en-NZ"/>
              </w:rPr>
            </w:pPr>
            <w:r w:rsidRPr="00A365FF">
              <w:rPr>
                <w:rFonts w:cs="Arial"/>
                <w:sz w:val="16"/>
                <w:szCs w:val="16"/>
                <w:lang w:val="en-NZ"/>
              </w:rPr>
              <w:t>European/Pākehā</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22</w:t>
            </w:r>
          </w:p>
        </w:tc>
        <w:tc>
          <w:tcPr>
            <w:tcW w:w="740" w:type="dxa"/>
            <w:tcBorders>
              <w:top w:val="nil"/>
              <w:left w:val="nil"/>
              <w:bottom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25</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sidRPr="00A365FF">
              <w:rPr>
                <w:rFonts w:cs="Arial"/>
                <w:sz w:val="16"/>
                <w:szCs w:val="16"/>
                <w:lang w:val="en-NZ"/>
              </w:rPr>
              <w:t>2</w:t>
            </w:r>
            <w:r>
              <w:rPr>
                <w:rFonts w:cs="Arial"/>
                <w:sz w:val="16"/>
                <w:szCs w:val="16"/>
                <w:lang w:val="en-NZ"/>
              </w:rPr>
              <w:t>811</w:t>
            </w:r>
          </w:p>
        </w:tc>
      </w:tr>
      <w:tr w:rsidR="007B3E55">
        <w:tc>
          <w:tcPr>
            <w:tcW w:w="4140" w:type="dxa"/>
            <w:tcBorders>
              <w:top w:val="nil"/>
              <w:bottom w:val="nil"/>
              <w:right w:val="single" w:sz="4" w:space="0" w:color="auto"/>
            </w:tcBorders>
            <w:shd w:val="clear" w:color="auto" w:fill="auto"/>
            <w:vAlign w:val="center"/>
          </w:tcPr>
          <w:p w:rsidR="007B3E55" w:rsidRPr="00A365FF" w:rsidRDefault="007B3E55" w:rsidP="00614C04">
            <w:pPr>
              <w:spacing w:before="20" w:after="20"/>
              <w:ind w:left="360"/>
              <w:rPr>
                <w:rFonts w:cs="Arial"/>
                <w:sz w:val="16"/>
                <w:szCs w:val="16"/>
                <w:lang w:val="en-NZ"/>
              </w:rPr>
            </w:pPr>
            <w:r w:rsidRPr="00A365FF">
              <w:rPr>
                <w:rFonts w:cs="Arial"/>
                <w:sz w:val="16"/>
                <w:szCs w:val="16"/>
                <w:lang w:val="en-NZ"/>
              </w:rPr>
              <w:t>NZ Māori</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15</w:t>
            </w:r>
          </w:p>
        </w:tc>
        <w:tc>
          <w:tcPr>
            <w:tcW w:w="740" w:type="dxa"/>
            <w:tcBorders>
              <w:top w:val="nil"/>
              <w:left w:val="nil"/>
              <w:bottom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11</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615</w:t>
            </w:r>
          </w:p>
        </w:tc>
      </w:tr>
      <w:tr w:rsidR="007B3E55">
        <w:tc>
          <w:tcPr>
            <w:tcW w:w="4140" w:type="dxa"/>
            <w:tcBorders>
              <w:top w:val="nil"/>
              <w:bottom w:val="nil"/>
              <w:right w:val="single" w:sz="4" w:space="0" w:color="auto"/>
            </w:tcBorders>
            <w:shd w:val="clear" w:color="auto" w:fill="auto"/>
            <w:vAlign w:val="center"/>
          </w:tcPr>
          <w:p w:rsidR="007B3E55" w:rsidRPr="00A365FF" w:rsidRDefault="007B3E55" w:rsidP="00614C04">
            <w:pPr>
              <w:spacing w:before="20" w:after="20"/>
              <w:ind w:left="360"/>
              <w:rPr>
                <w:rFonts w:cs="Arial"/>
                <w:sz w:val="16"/>
                <w:szCs w:val="16"/>
                <w:lang w:val="en-NZ"/>
              </w:rPr>
            </w:pPr>
            <w:r w:rsidRPr="00A365FF">
              <w:rPr>
                <w:rFonts w:cs="Arial"/>
                <w:sz w:val="16"/>
                <w:szCs w:val="16"/>
                <w:lang w:val="en-NZ"/>
              </w:rPr>
              <w:t>Pacific</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28</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23</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12</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274</w:t>
            </w:r>
          </w:p>
        </w:tc>
      </w:tr>
      <w:tr w:rsidR="007B3E55">
        <w:tc>
          <w:tcPr>
            <w:tcW w:w="4140" w:type="dxa"/>
            <w:tcBorders>
              <w:top w:val="nil"/>
              <w:bottom w:val="nil"/>
              <w:right w:val="single" w:sz="4" w:space="0" w:color="auto"/>
            </w:tcBorders>
            <w:shd w:val="clear" w:color="auto" w:fill="auto"/>
            <w:vAlign w:val="center"/>
          </w:tcPr>
          <w:p w:rsidR="007B3E55" w:rsidRPr="00A365FF" w:rsidRDefault="007B3E55" w:rsidP="00614C04">
            <w:pPr>
              <w:spacing w:before="20" w:after="20"/>
              <w:ind w:left="360"/>
              <w:rPr>
                <w:rFonts w:cs="Arial"/>
                <w:sz w:val="16"/>
                <w:szCs w:val="16"/>
                <w:lang w:val="en-NZ"/>
              </w:rPr>
            </w:pPr>
            <w:r w:rsidRPr="00A365FF">
              <w:rPr>
                <w:rFonts w:cs="Arial"/>
                <w:sz w:val="16"/>
                <w:szCs w:val="16"/>
                <w:lang w:val="en-NZ"/>
              </w:rPr>
              <w:t>Other</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19</w:t>
            </w:r>
          </w:p>
        </w:tc>
        <w:tc>
          <w:tcPr>
            <w:tcW w:w="740" w:type="dxa"/>
            <w:tcBorders>
              <w:top w:val="nil"/>
              <w:left w:val="nil"/>
              <w:bottom w:val="nil"/>
            </w:tcBorders>
            <w:shd w:val="clear" w:color="auto" w:fill="auto"/>
            <w:noWrap/>
            <w:tcMar>
              <w:left w:w="115" w:type="dxa"/>
              <w:right w:w="288" w:type="dxa"/>
            </w:tcMar>
            <w:vAlign w:val="center"/>
          </w:tcPr>
          <w:p w:rsidR="007B3E55" w:rsidRPr="00A365FF"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513</w:t>
            </w:r>
          </w:p>
        </w:tc>
      </w:tr>
      <w:tr w:rsidR="007B3E55">
        <w:tc>
          <w:tcPr>
            <w:tcW w:w="4140" w:type="dxa"/>
            <w:tcBorders>
              <w:top w:val="nil"/>
              <w:bottom w:val="single" w:sz="4" w:space="0" w:color="auto"/>
              <w:right w:val="single" w:sz="4" w:space="0" w:color="auto"/>
            </w:tcBorders>
            <w:shd w:val="clear" w:color="auto" w:fill="auto"/>
            <w:vAlign w:val="center"/>
          </w:tcPr>
          <w:p w:rsidR="007B3E55" w:rsidRPr="00A365FF" w:rsidRDefault="007B3E55" w:rsidP="00614C04">
            <w:pPr>
              <w:spacing w:before="20" w:after="120"/>
              <w:ind w:left="360"/>
              <w:rPr>
                <w:rFonts w:cs="Arial"/>
                <w:sz w:val="16"/>
                <w:szCs w:val="16"/>
                <w:lang w:val="en-NZ"/>
              </w:rPr>
            </w:pPr>
            <w:r w:rsidRPr="00A365FF">
              <w:rPr>
                <w:rFonts w:cs="Arial"/>
                <w:sz w:val="16"/>
                <w:szCs w:val="16"/>
                <w:lang w:val="en-NZ"/>
              </w:rPr>
              <w:t>All</w:t>
            </w:r>
          </w:p>
        </w:tc>
        <w:tc>
          <w:tcPr>
            <w:tcW w:w="739" w:type="dxa"/>
            <w:tcBorders>
              <w:top w:val="nil"/>
              <w:left w:val="single" w:sz="4" w:space="0" w:color="auto"/>
              <w:bottom w:val="single" w:sz="4" w:space="0" w:color="auto"/>
              <w:right w:val="nil"/>
            </w:tcBorders>
            <w:shd w:val="clear" w:color="auto" w:fill="auto"/>
            <w:noWrap/>
            <w:tcMar>
              <w:left w:w="115" w:type="dxa"/>
              <w:right w:w="288" w:type="dxa"/>
            </w:tcMar>
            <w:vAlign w:val="center"/>
          </w:tcPr>
          <w:p w:rsidR="007B3E55" w:rsidRPr="00A365FF"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A365FF"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A365FF"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A365FF"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tcBorders>
            <w:shd w:val="clear" w:color="auto" w:fill="auto"/>
            <w:noWrap/>
            <w:tcMar>
              <w:left w:w="115" w:type="dxa"/>
              <w:right w:w="288" w:type="dxa"/>
            </w:tcMar>
            <w:vAlign w:val="center"/>
          </w:tcPr>
          <w:p w:rsidR="007B3E55" w:rsidRPr="00A365FF"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bottom w:val="single" w:sz="4" w:space="0" w:color="auto"/>
            </w:tcBorders>
            <w:shd w:val="clear" w:color="auto" w:fill="auto"/>
            <w:noWrap/>
            <w:tcMar>
              <w:left w:w="115" w:type="dxa"/>
              <w:right w:w="288" w:type="dxa"/>
            </w:tcMar>
            <w:vAlign w:val="center"/>
          </w:tcPr>
          <w:p w:rsidR="007B3E55" w:rsidRPr="00A365FF" w:rsidRDefault="007B3E55" w:rsidP="00614C04">
            <w:pPr>
              <w:spacing w:before="20" w:after="120"/>
              <w:ind w:right="38"/>
              <w:jc w:val="right"/>
              <w:rPr>
                <w:rFonts w:cs="Arial"/>
                <w:sz w:val="16"/>
                <w:szCs w:val="16"/>
                <w:lang w:val="en-NZ"/>
              </w:rPr>
            </w:pPr>
            <w:r>
              <w:rPr>
                <w:rFonts w:cs="Arial"/>
                <w:sz w:val="16"/>
                <w:szCs w:val="16"/>
                <w:lang w:val="en-NZ"/>
              </w:rPr>
              <w:t>4213</w:t>
            </w:r>
          </w:p>
        </w:tc>
      </w:tr>
      <w:tr w:rsidR="007B3E55">
        <w:tc>
          <w:tcPr>
            <w:tcW w:w="4140" w:type="dxa"/>
            <w:tcBorders>
              <w:top w:val="single" w:sz="4" w:space="0" w:color="auto"/>
              <w:left w:val="single" w:sz="4" w:space="0" w:color="auto"/>
              <w:bottom w:val="nil"/>
              <w:right w:val="single" w:sz="4" w:space="0" w:color="auto"/>
            </w:tcBorders>
            <w:vAlign w:val="center"/>
          </w:tcPr>
          <w:p w:rsidR="007B3E55" w:rsidRPr="00BB1224" w:rsidRDefault="007B3E55" w:rsidP="00614C04">
            <w:pPr>
              <w:spacing w:before="20" w:after="20"/>
              <w:rPr>
                <w:rFonts w:cs="Arial"/>
                <w:b/>
                <w:sz w:val="16"/>
                <w:szCs w:val="16"/>
                <w:lang w:val="en-NZ"/>
              </w:rPr>
            </w:pPr>
            <w:r>
              <w:rPr>
                <w:rFonts w:cs="Arial"/>
                <w:b/>
                <w:sz w:val="16"/>
                <w:szCs w:val="16"/>
                <w:lang w:val="en-NZ"/>
              </w:rPr>
              <w:t>Main source of income</w:t>
            </w:r>
          </w:p>
        </w:tc>
        <w:tc>
          <w:tcPr>
            <w:tcW w:w="739" w:type="dxa"/>
            <w:tcBorders>
              <w:top w:val="single" w:sz="4" w:space="0" w:color="auto"/>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top w:val="single" w:sz="4" w:space="0" w:color="auto"/>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top w:val="single" w:sz="4" w:space="0" w:color="auto"/>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Market</w:t>
            </w:r>
            <w:r w:rsidRPr="003A2455">
              <w:rPr>
                <w:rFonts w:cs="Arial"/>
                <w:sz w:val="16"/>
                <w:szCs w:val="16"/>
                <w:lang w:val="en-NZ"/>
              </w:rPr>
              <w:t xml:space="preserve"> </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3413</w:t>
            </w: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Government transfer</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800</w:t>
            </w:r>
          </w:p>
        </w:tc>
      </w:tr>
      <w:tr w:rsidR="007B3E55">
        <w:trPr>
          <w:trHeight w:val="297"/>
        </w:trPr>
        <w:tc>
          <w:tcPr>
            <w:tcW w:w="4140" w:type="dxa"/>
            <w:tcBorders>
              <w:top w:val="nil"/>
              <w:left w:val="single" w:sz="4" w:space="0" w:color="auto"/>
              <w:bottom w:val="single" w:sz="4" w:space="0" w:color="auto"/>
              <w:right w:val="single" w:sz="4" w:space="0" w:color="auto"/>
            </w:tcBorders>
            <w:vAlign w:val="center"/>
          </w:tcPr>
          <w:p w:rsidR="007B3E55" w:rsidRPr="00BA2CFF" w:rsidRDefault="007B3E55" w:rsidP="00614C04">
            <w:pPr>
              <w:spacing w:before="20" w:after="20"/>
              <w:ind w:left="342"/>
              <w:rPr>
                <w:rFonts w:cs="Arial"/>
                <w:sz w:val="16"/>
                <w:szCs w:val="16"/>
                <w:lang w:val="en-NZ"/>
              </w:rPr>
            </w:pPr>
            <w:r w:rsidRPr="00BA2CFF">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right w:val="single" w:sz="4" w:space="0" w:color="auto"/>
            </w:tcBorders>
            <w:noWrap/>
            <w:tcMar>
              <w:left w:w="115" w:type="dxa"/>
              <w:right w:w="288" w:type="dxa"/>
            </w:tcMar>
            <w:vAlign w:val="center"/>
          </w:tcPr>
          <w:p w:rsidR="007B3E55" w:rsidRDefault="007B3E55" w:rsidP="00614C04">
            <w:pPr>
              <w:spacing w:before="20" w:after="80"/>
              <w:ind w:right="38"/>
              <w:jc w:val="right"/>
              <w:rPr>
                <w:rFonts w:cs="Arial"/>
                <w:sz w:val="16"/>
                <w:szCs w:val="16"/>
                <w:lang w:val="en-NZ"/>
              </w:rPr>
            </w:pPr>
            <w:r>
              <w:rPr>
                <w:rFonts w:cs="Arial"/>
                <w:sz w:val="16"/>
                <w:szCs w:val="16"/>
                <w:lang w:val="en-NZ"/>
              </w:rPr>
              <w:t>4213</w:t>
            </w:r>
          </w:p>
        </w:tc>
      </w:tr>
      <w:tr w:rsidR="007B3E55">
        <w:tc>
          <w:tcPr>
            <w:tcW w:w="4140" w:type="dxa"/>
            <w:tcBorders>
              <w:bottom w:val="nil"/>
            </w:tcBorders>
            <w:vAlign w:val="center"/>
          </w:tcPr>
          <w:p w:rsidR="007B3E55" w:rsidRPr="00BB1224" w:rsidRDefault="007B3E55" w:rsidP="00614C04">
            <w:pPr>
              <w:spacing w:before="20" w:after="20"/>
              <w:rPr>
                <w:rFonts w:cs="Arial"/>
                <w:b/>
                <w:sz w:val="16"/>
                <w:szCs w:val="16"/>
                <w:lang w:val="en-NZ"/>
              </w:rPr>
            </w:pPr>
            <w:r w:rsidRPr="00BB1224">
              <w:rPr>
                <w:rFonts w:cs="Arial"/>
                <w:b/>
                <w:sz w:val="16"/>
                <w:szCs w:val="16"/>
                <w:lang w:val="en-NZ"/>
              </w:rPr>
              <w:t>Children by household type</w:t>
            </w:r>
          </w:p>
        </w:tc>
        <w:tc>
          <w:tcPr>
            <w:tcW w:w="739" w:type="dxa"/>
            <w:tcBorders>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bottom w:val="nil"/>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SP</w:t>
            </w:r>
            <w:r w:rsidRPr="003A2455">
              <w:rPr>
                <w:rFonts w:cs="Arial"/>
                <w:sz w:val="16"/>
                <w:szCs w:val="16"/>
                <w:lang w:val="en-NZ"/>
              </w:rPr>
              <w:t xml:space="preserve"> HHs </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209</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2P</w:t>
            </w:r>
            <w:r w:rsidRPr="003A2455">
              <w:rPr>
                <w:rFonts w:cs="Arial"/>
                <w:sz w:val="16"/>
                <w:szCs w:val="16"/>
                <w:lang w:val="en-NZ"/>
              </w:rPr>
              <w:t xml:space="preserve">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716</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w:t>
            </w:r>
            <w:r w:rsidRPr="003A2455">
              <w:rPr>
                <w:rFonts w:cs="Arial"/>
                <w:sz w:val="16"/>
                <w:szCs w:val="16"/>
                <w:lang w:val="en-NZ"/>
              </w:rPr>
              <w:t xml:space="preserve"> in other family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132</w:t>
            </w:r>
          </w:p>
        </w:tc>
      </w:tr>
      <w:tr w:rsidR="007B3E55">
        <w:tc>
          <w:tcPr>
            <w:tcW w:w="4140" w:type="dxa"/>
            <w:tcBorders>
              <w:top w:val="nil"/>
              <w:bottom w:val="nil"/>
            </w:tcBorders>
            <w:vAlign w:val="center"/>
          </w:tcPr>
          <w:p w:rsidR="007B3E55" w:rsidRDefault="007B3E55" w:rsidP="00614C04">
            <w:pPr>
              <w:spacing w:before="20" w:after="20"/>
              <w:ind w:left="360"/>
              <w:rPr>
                <w:rFonts w:cs="Arial"/>
                <w:sz w:val="16"/>
                <w:szCs w:val="16"/>
                <w:lang w:val="en-NZ"/>
              </w:rPr>
            </w:pPr>
            <w:r>
              <w:rPr>
                <w:rFonts w:cs="Arial"/>
                <w:sz w:val="16"/>
                <w:szCs w:val="16"/>
                <w:lang w:val="en-NZ"/>
              </w:rPr>
              <w:t>Children in non-family households</w:t>
            </w:r>
          </w:p>
        </w:tc>
        <w:tc>
          <w:tcPr>
            <w:tcW w:w="739" w:type="dxa"/>
            <w:tcBorders>
              <w:top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40" w:type="dxa"/>
            <w:tcBorders>
              <w:top w:val="nil"/>
              <w:left w:val="nil"/>
              <w:bottom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1074" w:type="dxa"/>
            <w:tcBorders>
              <w:top w:val="nil"/>
              <w:bottom w:val="nil"/>
            </w:tcBorders>
            <w:noWrap/>
            <w:tcMar>
              <w:left w:w="115" w:type="dxa"/>
              <w:right w:w="288" w:type="dxa"/>
            </w:tcMar>
            <w:vAlign w:val="center"/>
          </w:tcPr>
          <w:p w:rsidR="007B3E55" w:rsidRDefault="007B3E55" w:rsidP="00614C04">
            <w:pPr>
              <w:spacing w:before="20" w:after="20"/>
              <w:ind w:right="38"/>
              <w:jc w:val="right"/>
              <w:rPr>
                <w:rFonts w:cs="Arial"/>
                <w:sz w:val="16"/>
                <w:szCs w:val="16"/>
                <w:lang w:val="en-NZ"/>
              </w:rPr>
            </w:pPr>
            <w:r>
              <w:rPr>
                <w:rFonts w:cs="Arial"/>
                <w:sz w:val="16"/>
                <w:szCs w:val="16"/>
                <w:lang w:val="en-NZ"/>
              </w:rPr>
              <w:t>13</w:t>
            </w:r>
          </w:p>
        </w:tc>
      </w:tr>
      <w:tr w:rsidR="007B3E55">
        <w:tc>
          <w:tcPr>
            <w:tcW w:w="4140" w:type="dxa"/>
            <w:tcBorders>
              <w:top w:val="nil"/>
              <w:bottom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 children</w:t>
            </w:r>
          </w:p>
        </w:tc>
        <w:tc>
          <w:tcPr>
            <w:tcW w:w="739" w:type="dxa"/>
            <w:tcBorders>
              <w:top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23</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26</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23</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16</w:t>
            </w:r>
          </w:p>
        </w:tc>
        <w:tc>
          <w:tcPr>
            <w:tcW w:w="740" w:type="dxa"/>
            <w:tcBorders>
              <w:top w:val="nil"/>
              <w:left w:val="nil"/>
              <w:bottom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12</w:t>
            </w:r>
          </w:p>
        </w:tc>
        <w:tc>
          <w:tcPr>
            <w:tcW w:w="1074" w:type="dxa"/>
            <w:tcBorders>
              <w:top w:val="nil"/>
              <w:bottom w:val="single" w:sz="4" w:space="0" w:color="auto"/>
            </w:tcBorders>
            <w:noWrap/>
            <w:tcMar>
              <w:left w:w="115" w:type="dxa"/>
              <w:right w:w="288" w:type="dxa"/>
            </w:tcMar>
            <w:vAlign w:val="center"/>
          </w:tcPr>
          <w:p w:rsidR="007B3E55" w:rsidRPr="00D262A7" w:rsidRDefault="007B3E55" w:rsidP="00614C04">
            <w:pPr>
              <w:spacing w:before="20" w:after="120"/>
              <w:ind w:right="38"/>
              <w:jc w:val="right"/>
              <w:rPr>
                <w:rFonts w:cs="Arial"/>
                <w:sz w:val="16"/>
                <w:szCs w:val="16"/>
                <w:lang w:val="en-NZ"/>
              </w:rPr>
            </w:pPr>
            <w:r>
              <w:rPr>
                <w:rFonts w:cs="Arial"/>
                <w:sz w:val="16"/>
                <w:szCs w:val="16"/>
                <w:lang w:val="en-NZ"/>
              </w:rPr>
              <w:t>1070</w:t>
            </w:r>
          </w:p>
        </w:tc>
      </w:tr>
    </w:tbl>
    <w:p w:rsidR="007B3E55" w:rsidRPr="003C4D82" w:rsidRDefault="007B3E55" w:rsidP="007B3E55">
      <w:pPr>
        <w:rPr>
          <w:sz w:val="16"/>
          <w:szCs w:val="16"/>
        </w:rPr>
      </w:pPr>
    </w:p>
    <w:p w:rsidR="007B3E55" w:rsidRPr="003C4D82" w:rsidRDefault="007B3E55" w:rsidP="007B3E55">
      <w:pPr>
        <w:rPr>
          <w:sz w:val="16"/>
          <w:szCs w:val="16"/>
          <w:lang w:val="en-NZ"/>
        </w:rPr>
      </w:pPr>
      <w:r w:rsidRPr="003C4D82">
        <w:rPr>
          <w:sz w:val="16"/>
          <w:szCs w:val="16"/>
          <w:lang w:val="en-NZ"/>
        </w:rPr>
        <w:t>Notes:</w:t>
      </w:r>
    </w:p>
    <w:p w:rsidR="007B3E55" w:rsidRDefault="007B3E55" w:rsidP="007B3E55">
      <w:pPr>
        <w:spacing w:before="60"/>
        <w:ind w:left="548" w:hanging="274"/>
        <w:rPr>
          <w:sz w:val="16"/>
          <w:szCs w:val="16"/>
          <w:lang w:val="en-NZ"/>
        </w:rPr>
      </w:pPr>
      <w:r w:rsidRPr="003C4D82">
        <w:rPr>
          <w:sz w:val="16"/>
          <w:szCs w:val="16"/>
          <w:lang w:val="en-NZ"/>
        </w:rPr>
        <w:t>1</w:t>
      </w:r>
      <w:r w:rsidRPr="003C4D82">
        <w:rPr>
          <w:sz w:val="16"/>
          <w:szCs w:val="16"/>
          <w:lang w:val="en-NZ"/>
        </w:rPr>
        <w:tab/>
        <w:t>See note on page 29 for the need for caution in interpreting results for smaller sub-groups</w:t>
      </w:r>
      <w:r>
        <w:rPr>
          <w:sz w:val="16"/>
          <w:szCs w:val="16"/>
          <w:lang w:val="en-NZ"/>
        </w:rPr>
        <w:t>.</w:t>
      </w:r>
    </w:p>
    <w:p w:rsidR="007B3E55" w:rsidRPr="003C4D82" w:rsidRDefault="007B3E55" w:rsidP="007B3E55">
      <w:pPr>
        <w:spacing w:before="60"/>
        <w:ind w:left="548" w:hanging="274"/>
        <w:rPr>
          <w:sz w:val="16"/>
          <w:szCs w:val="16"/>
          <w:lang w:val="en-NZ"/>
        </w:rPr>
      </w:pPr>
      <w:r>
        <w:rPr>
          <w:sz w:val="16"/>
          <w:szCs w:val="16"/>
          <w:lang w:val="en-NZ"/>
        </w:rPr>
        <w:t>2</w:t>
      </w:r>
      <w:r>
        <w:rPr>
          <w:sz w:val="16"/>
          <w:szCs w:val="16"/>
          <w:lang w:val="en-NZ"/>
        </w:rPr>
        <w:tab/>
        <w:t xml:space="preserve">The sample numbers for children in non-family households are too small to give reliable estimates of their distribution across the quintiles. </w:t>
      </w:r>
    </w:p>
    <w:p w:rsidR="007B3E55" w:rsidRDefault="007B3E55" w:rsidP="007B3E55">
      <w:pPr>
        <w:rPr>
          <w:szCs w:val="22"/>
          <w:lang w:val="en-NZ"/>
        </w:rPr>
      </w:pPr>
    </w:p>
    <w:p w:rsidR="007B3E55" w:rsidRPr="000963E5" w:rsidRDefault="007B3E55" w:rsidP="007B3E55">
      <w:pPr>
        <w:rPr>
          <w:szCs w:val="22"/>
          <w:lang w:val="en-NZ"/>
        </w:rPr>
      </w:pPr>
    </w:p>
    <w:p w:rsidR="007B3E55" w:rsidRDefault="007B3E55" w:rsidP="007B3E55">
      <w:pPr>
        <w:rPr>
          <w:b/>
          <w:sz w:val="32"/>
          <w:szCs w:val="32"/>
          <w:lang w:val="en-NZ"/>
        </w:rPr>
      </w:pPr>
      <w:r>
        <w:rPr>
          <w:b/>
          <w:noProof/>
          <w:sz w:val="32"/>
          <w:szCs w:val="32"/>
          <w:lang w:val="en-US"/>
        </w:rPr>
        <w:pict>
          <v:shape id="_x0000_s1198" type="#_x0000_t202" style="position:absolute;margin-left:0;margin-top:-.1pt;width:219pt;height:92.25pt;z-index:251647488;mso-position-horizontal:center">
            <v:textbox>
              <w:txbxContent>
                <w:p w:rsidR="00DE4A2A" w:rsidRPr="009348B4" w:rsidRDefault="00DE4A2A" w:rsidP="007B3E55">
                  <w:pPr>
                    <w:spacing w:after="120"/>
                    <w:jc w:val="center"/>
                    <w:rPr>
                      <w:sz w:val="16"/>
                      <w:szCs w:val="16"/>
                      <w:lang w:val="en-NZ"/>
                    </w:rPr>
                  </w:pPr>
                  <w:r w:rsidRPr="009348B4">
                    <w:rPr>
                      <w:b/>
                      <w:sz w:val="16"/>
                      <w:szCs w:val="16"/>
                      <w:lang w:val="en-NZ"/>
                    </w:rPr>
                    <w:t>Interpreting Tables B.5 and B.6: an example</w:t>
                  </w:r>
                </w:p>
                <w:p w:rsidR="00DE4A2A" w:rsidRDefault="00DE4A2A" w:rsidP="007B3E55">
                  <w:pPr>
                    <w:rPr>
                      <w:sz w:val="16"/>
                      <w:szCs w:val="16"/>
                      <w:lang w:val="en-NZ"/>
                    </w:rPr>
                  </w:pPr>
                  <w:r>
                    <w:rPr>
                      <w:sz w:val="16"/>
                      <w:szCs w:val="16"/>
                      <w:lang w:val="en-NZ"/>
                    </w:rPr>
                    <w:t xml:space="preserve">Consider the 0-17 year old group (children).  </w:t>
                  </w:r>
                </w:p>
                <w:p w:rsidR="00DE4A2A" w:rsidRDefault="00DE4A2A" w:rsidP="00614C04">
                  <w:pPr>
                    <w:numPr>
                      <w:ilvl w:val="0"/>
                      <w:numId w:val="44"/>
                    </w:numPr>
                    <w:tabs>
                      <w:tab w:val="clear" w:pos="720"/>
                      <w:tab w:val="num" w:pos="270"/>
                    </w:tabs>
                    <w:ind w:left="270" w:hanging="180"/>
                    <w:rPr>
                      <w:sz w:val="16"/>
                      <w:szCs w:val="16"/>
                      <w:lang w:val="en-NZ"/>
                    </w:rPr>
                  </w:pPr>
                  <w:r w:rsidRPr="009348B4">
                    <w:rPr>
                      <w:sz w:val="16"/>
                      <w:szCs w:val="16"/>
                      <w:lang w:val="en-NZ"/>
                    </w:rPr>
                    <w:t>Table B.5</w:t>
                  </w:r>
                  <w:r>
                    <w:rPr>
                      <w:sz w:val="16"/>
                      <w:szCs w:val="16"/>
                      <w:lang w:val="en-NZ"/>
                    </w:rPr>
                    <w:t xml:space="preserve"> (distribution of each group across the quintiles) shows that 50%</w:t>
                  </w:r>
                  <w:r w:rsidRPr="009348B4">
                    <w:rPr>
                      <w:sz w:val="16"/>
                      <w:szCs w:val="16"/>
                      <w:lang w:val="en-NZ"/>
                    </w:rPr>
                    <w:t xml:space="preserve"> </w:t>
                  </w:r>
                  <w:r>
                    <w:rPr>
                      <w:sz w:val="16"/>
                      <w:szCs w:val="16"/>
                      <w:lang w:val="en-NZ"/>
                    </w:rPr>
                    <w:t xml:space="preserve">children are in households in the bottom two income quintiles.  </w:t>
                  </w:r>
                </w:p>
                <w:p w:rsidR="00DE4A2A" w:rsidRPr="009348B4" w:rsidRDefault="00DE4A2A" w:rsidP="00614C04">
                  <w:pPr>
                    <w:numPr>
                      <w:ilvl w:val="0"/>
                      <w:numId w:val="44"/>
                    </w:numPr>
                    <w:tabs>
                      <w:tab w:val="clear" w:pos="720"/>
                      <w:tab w:val="num" w:pos="270"/>
                    </w:tabs>
                    <w:ind w:left="270" w:hanging="180"/>
                    <w:rPr>
                      <w:sz w:val="16"/>
                      <w:szCs w:val="16"/>
                      <w:lang w:val="en-NZ"/>
                    </w:rPr>
                  </w:pPr>
                  <w:r>
                    <w:rPr>
                      <w:sz w:val="16"/>
                      <w:szCs w:val="16"/>
                      <w:lang w:val="en-NZ"/>
                    </w:rPr>
                    <w:t>Table B.6 (composition of each quintile) shows that children make up 29% of all people in households with incomes in the bottom quintile.</w:t>
                  </w:r>
                </w:p>
              </w:txbxContent>
            </v:textbox>
          </v:shape>
        </w:pict>
      </w:r>
    </w:p>
    <w:p w:rsidR="007B3E55" w:rsidRDefault="007B3E55" w:rsidP="007B3E55">
      <w:pPr>
        <w:rPr>
          <w:szCs w:val="22"/>
          <w:lang w:val="en-NZ"/>
        </w:rPr>
      </w:pPr>
      <w:r>
        <w:rPr>
          <w:b/>
          <w:sz w:val="20"/>
          <w:lang w:val="en-NZ"/>
        </w:rPr>
        <w:br w:type="page"/>
      </w:r>
      <w:r>
        <w:rPr>
          <w:szCs w:val="22"/>
          <w:lang w:val="en-NZ"/>
        </w:rPr>
        <w:lastRenderedPageBreak/>
        <w:t xml:space="preserve"> </w:t>
      </w:r>
    </w:p>
    <w:p w:rsidR="007B3E55" w:rsidRPr="001F42D8" w:rsidRDefault="007B3E55" w:rsidP="007B3E55">
      <w:pPr>
        <w:jc w:val="center"/>
        <w:rPr>
          <w:b/>
          <w:sz w:val="18"/>
          <w:lang w:val="en-NZ"/>
        </w:rPr>
      </w:pPr>
      <w:r w:rsidRPr="001F42D8">
        <w:rPr>
          <w:b/>
          <w:sz w:val="18"/>
          <w:lang w:val="en-NZ"/>
        </w:rPr>
        <w:t>Table B.6</w:t>
      </w:r>
    </w:p>
    <w:p w:rsidR="007B3E55" w:rsidRPr="001F42D8" w:rsidRDefault="007B3E55" w:rsidP="007B3E55">
      <w:pPr>
        <w:jc w:val="center"/>
        <w:rPr>
          <w:b/>
          <w:sz w:val="18"/>
          <w:lang w:val="en-NZ"/>
        </w:rPr>
      </w:pPr>
      <w:r w:rsidRPr="001F42D8">
        <w:rPr>
          <w:b/>
          <w:sz w:val="18"/>
          <w:lang w:val="en-NZ"/>
        </w:rPr>
        <w:t>Composition of income quintiles (</w:t>
      </w:r>
      <w:smartTag w:uri="urn:schemas-microsoft-com:office:smarttags" w:element="stockticker">
        <w:r w:rsidRPr="001F42D8">
          <w:rPr>
            <w:b/>
            <w:sz w:val="18"/>
            <w:lang w:val="en-NZ"/>
          </w:rPr>
          <w:t>BHC</w:t>
        </w:r>
      </w:smartTag>
      <w:r w:rsidRPr="001F42D8">
        <w:rPr>
          <w:b/>
          <w:sz w:val="18"/>
          <w:lang w:val="en-NZ"/>
        </w:rPr>
        <w:t>)</w:t>
      </w:r>
    </w:p>
    <w:p w:rsidR="007B3E55" w:rsidRPr="001F42D8" w:rsidRDefault="007B3E55" w:rsidP="007B3E55">
      <w:pPr>
        <w:jc w:val="center"/>
        <w:rPr>
          <w:b/>
          <w:sz w:val="18"/>
          <w:lang w:val="en-NZ"/>
        </w:rPr>
      </w:pPr>
      <w:r w:rsidRPr="001F42D8">
        <w:rPr>
          <w:b/>
          <w:sz w:val="18"/>
          <w:lang w:val="en-NZ"/>
        </w:rPr>
        <w:t>by various household and individual characteristics (%)</w:t>
      </w:r>
    </w:p>
    <w:p w:rsidR="007B3E55" w:rsidRPr="001F42D8" w:rsidRDefault="007B3E55" w:rsidP="007B3E55">
      <w:pPr>
        <w:spacing w:before="60" w:after="120"/>
        <w:jc w:val="center"/>
        <w:rPr>
          <w:sz w:val="16"/>
          <w:szCs w:val="18"/>
          <w:lang w:val="en-NZ"/>
        </w:rPr>
      </w:pPr>
      <w:r w:rsidRPr="001F42D8">
        <w:rPr>
          <w:sz w:val="16"/>
          <w:szCs w:val="18"/>
          <w:lang w:val="en-NZ"/>
        </w:rPr>
        <w:t>(sum to 100% down columns)</w:t>
      </w:r>
    </w:p>
    <w:tbl>
      <w:tblPr>
        <w:tblStyle w:val="TableGrid"/>
        <w:tblW w:w="8910" w:type="dxa"/>
        <w:tblInd w:w="198" w:type="dxa"/>
        <w:tblLayout w:type="fixed"/>
        <w:tblLook w:val="01E0"/>
      </w:tblPr>
      <w:tblGrid>
        <w:gridCol w:w="4140"/>
        <w:gridCol w:w="739"/>
        <w:gridCol w:w="739"/>
        <w:gridCol w:w="739"/>
        <w:gridCol w:w="739"/>
        <w:gridCol w:w="740"/>
        <w:gridCol w:w="1074"/>
      </w:tblGrid>
      <w:tr w:rsidR="007B3E55">
        <w:trPr>
          <w:trHeight w:val="350"/>
        </w:trPr>
        <w:tc>
          <w:tcPr>
            <w:tcW w:w="4140" w:type="dxa"/>
            <w:vMerge w:val="restart"/>
            <w:vAlign w:val="center"/>
          </w:tcPr>
          <w:p w:rsidR="007B3E55" w:rsidRPr="00773DCF" w:rsidRDefault="007B3E55" w:rsidP="00614C04">
            <w:pPr>
              <w:jc w:val="center"/>
              <w:rPr>
                <w:b/>
                <w:sz w:val="20"/>
                <w:lang w:val="en-NZ"/>
              </w:rPr>
            </w:pPr>
            <w:r w:rsidRPr="00773DCF">
              <w:rPr>
                <w:b/>
                <w:sz w:val="20"/>
                <w:lang w:val="en-NZ"/>
              </w:rPr>
              <w:t>HES 200</w:t>
            </w:r>
            <w:r>
              <w:rPr>
                <w:b/>
                <w:sz w:val="20"/>
                <w:lang w:val="en-NZ"/>
              </w:rPr>
              <w:t>9</w:t>
            </w:r>
          </w:p>
        </w:tc>
        <w:tc>
          <w:tcPr>
            <w:tcW w:w="3696" w:type="dxa"/>
            <w:gridSpan w:val="5"/>
            <w:tcBorders>
              <w:bottom w:val="nil"/>
            </w:tcBorders>
            <w:vAlign w:val="center"/>
          </w:tcPr>
          <w:p w:rsidR="007B3E55" w:rsidRPr="00531701" w:rsidRDefault="007B3E55" w:rsidP="00614C04">
            <w:pPr>
              <w:jc w:val="center"/>
              <w:rPr>
                <w:b/>
                <w:sz w:val="16"/>
                <w:szCs w:val="16"/>
                <w:lang w:val="en-NZ"/>
              </w:rPr>
            </w:pPr>
            <w:r w:rsidRPr="00531701">
              <w:rPr>
                <w:b/>
                <w:sz w:val="16"/>
                <w:szCs w:val="16"/>
                <w:lang w:val="en-NZ"/>
              </w:rPr>
              <w:t>Equivalised disposable household income</w:t>
            </w:r>
          </w:p>
        </w:tc>
        <w:tc>
          <w:tcPr>
            <w:tcW w:w="1074" w:type="dxa"/>
            <w:vMerge w:val="restart"/>
            <w:vAlign w:val="center"/>
          </w:tcPr>
          <w:p w:rsidR="007B3E55" w:rsidRPr="00531701" w:rsidRDefault="007B3E55" w:rsidP="00614C04">
            <w:pPr>
              <w:ind w:left="-114" w:right="-108"/>
              <w:jc w:val="center"/>
              <w:rPr>
                <w:b/>
                <w:sz w:val="16"/>
                <w:szCs w:val="16"/>
                <w:lang w:val="en-NZ"/>
              </w:rPr>
            </w:pPr>
            <w:r>
              <w:rPr>
                <w:b/>
                <w:sz w:val="16"/>
                <w:szCs w:val="16"/>
                <w:lang w:val="en-NZ"/>
              </w:rPr>
              <w:t>Overall composition</w:t>
            </w:r>
          </w:p>
        </w:tc>
      </w:tr>
      <w:tr w:rsidR="007B3E55">
        <w:trPr>
          <w:trHeight w:val="377"/>
        </w:trPr>
        <w:tc>
          <w:tcPr>
            <w:tcW w:w="4140" w:type="dxa"/>
            <w:vMerge/>
            <w:tcBorders>
              <w:bottom w:val="single" w:sz="4" w:space="0" w:color="auto"/>
            </w:tcBorders>
            <w:vAlign w:val="center"/>
          </w:tcPr>
          <w:p w:rsidR="007B3E55" w:rsidRPr="00531701" w:rsidRDefault="007B3E55" w:rsidP="00614C04">
            <w:pPr>
              <w:jc w:val="both"/>
              <w:rPr>
                <w:sz w:val="16"/>
                <w:szCs w:val="16"/>
                <w:lang w:val="en-NZ"/>
              </w:rPr>
            </w:pPr>
          </w:p>
        </w:tc>
        <w:tc>
          <w:tcPr>
            <w:tcW w:w="739" w:type="dxa"/>
            <w:tcBorders>
              <w:top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Q1</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Q2</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Q3</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Q4</w:t>
            </w:r>
          </w:p>
        </w:tc>
        <w:tc>
          <w:tcPr>
            <w:tcW w:w="740" w:type="dxa"/>
            <w:tcBorders>
              <w:top w:val="nil"/>
              <w:left w:val="nil"/>
              <w:bottom w:val="single" w:sz="4" w:space="0" w:color="auto"/>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Q5</w:t>
            </w:r>
          </w:p>
        </w:tc>
        <w:tc>
          <w:tcPr>
            <w:tcW w:w="1074" w:type="dxa"/>
            <w:vMerge/>
            <w:tcBorders>
              <w:bottom w:val="single" w:sz="4" w:space="0" w:color="auto"/>
            </w:tcBorders>
            <w:vAlign w:val="center"/>
          </w:tcPr>
          <w:p w:rsidR="007B3E55" w:rsidRPr="00531701" w:rsidRDefault="007B3E55" w:rsidP="00614C04">
            <w:pPr>
              <w:jc w:val="center"/>
              <w:rPr>
                <w:sz w:val="16"/>
                <w:szCs w:val="16"/>
                <w:lang w:val="en-NZ"/>
              </w:rPr>
            </w:pP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 xml:space="preserve">Age </w:t>
            </w:r>
          </w:p>
        </w:tc>
        <w:tc>
          <w:tcPr>
            <w:tcW w:w="739" w:type="dxa"/>
            <w:tcBorders>
              <w:left w:val="single" w:sz="4" w:space="0" w:color="auto"/>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0-17</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26</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18-2</w:t>
            </w:r>
            <w:r>
              <w:rPr>
                <w:rFonts w:cs="Arial"/>
                <w:sz w:val="16"/>
                <w:szCs w:val="16"/>
                <w:lang w:val="en-NZ"/>
              </w:rPr>
              <w:t>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25-44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34</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45</w:t>
            </w:r>
            <w:r w:rsidRPr="003A2455">
              <w:rPr>
                <w:rFonts w:cs="Arial"/>
                <w:sz w:val="16"/>
                <w:szCs w:val="16"/>
                <w:lang w:val="en-NZ"/>
              </w:rPr>
              <w:t>-64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36</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25</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65</w:t>
            </w:r>
            <w:r>
              <w:rPr>
                <w:rFonts w:cs="Arial"/>
                <w:sz w:val="16"/>
                <w:szCs w:val="16"/>
                <w:lang w:val="en-NZ"/>
              </w:rPr>
              <w:t>+</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12</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tcBorders>
            <w:noWrap/>
            <w:tcMar>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Household type</w:t>
            </w:r>
          </w:p>
        </w:tc>
        <w:tc>
          <w:tcPr>
            <w:tcW w:w="739" w:type="dxa"/>
            <w:tcBorders>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noWrap/>
            <w:tcMar>
              <w:right w:w="288" w:type="dxa"/>
            </w:tcMar>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8</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5</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13</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SP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8</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 family HHs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9</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Family</w:t>
            </w:r>
            <w:r w:rsidRPr="003A2455">
              <w:rPr>
                <w:rFonts w:cs="Arial"/>
                <w:sz w:val="16"/>
                <w:szCs w:val="16"/>
                <w:lang w:val="en-NZ"/>
              </w:rPr>
              <w:t xml:space="preserve"> HHs with no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Non-family HHs</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tcBorders>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bottom w:val="nil"/>
              <w:right w:val="single" w:sz="4" w:space="0" w:color="auto"/>
            </w:tcBorders>
            <w:shd w:val="clear" w:color="auto" w:fill="auto"/>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Ethnicity</w:t>
            </w:r>
            <w:r>
              <w:rPr>
                <w:rFonts w:cs="Arial"/>
                <w:b/>
                <w:sz w:val="16"/>
                <w:szCs w:val="16"/>
                <w:lang w:val="en-NZ"/>
              </w:rPr>
              <w:t xml:space="preserve"> </w:t>
            </w:r>
            <w:r>
              <w:rPr>
                <w:rFonts w:cs="Arial"/>
                <w:b/>
                <w:sz w:val="16"/>
                <w:szCs w:val="16"/>
                <w:lang w:val="en-NZ"/>
              </w:rPr>
              <w:tab/>
            </w:r>
            <w:r>
              <w:rPr>
                <w:rFonts w:cs="Arial"/>
                <w:b/>
                <w:sz w:val="16"/>
                <w:szCs w:val="16"/>
                <w:lang w:val="en-NZ"/>
              </w:rPr>
              <w:tab/>
            </w:r>
            <w:r>
              <w:rPr>
                <w:rFonts w:cs="Arial"/>
                <w:b/>
                <w:sz w:val="16"/>
                <w:szCs w:val="16"/>
                <w:lang w:val="en-NZ"/>
              </w:rPr>
              <w:tab/>
            </w:r>
          </w:p>
        </w:tc>
        <w:tc>
          <w:tcPr>
            <w:tcW w:w="739" w:type="dxa"/>
            <w:tcBorders>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bottom w:val="nil"/>
            </w:tcBorders>
            <w:shd w:val="clear" w:color="auto" w:fill="auto"/>
            <w:noWrap/>
            <w:tcMar>
              <w:left w:w="115" w:type="dxa"/>
              <w:right w:w="288" w:type="dxa"/>
            </w:tcMar>
            <w:vAlign w:val="center"/>
          </w:tcPr>
          <w:p w:rsidR="007B3E55" w:rsidRPr="003A2455" w:rsidRDefault="007B3E55" w:rsidP="00614C04">
            <w:pPr>
              <w:spacing w:before="20" w:after="20"/>
              <w:ind w:right="38"/>
              <w:rPr>
                <w:rFonts w:cs="Arial"/>
                <w:sz w:val="16"/>
                <w:szCs w:val="16"/>
                <w:lang w:val="en-NZ"/>
              </w:rPr>
            </w:pP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European</w:t>
            </w:r>
            <w:r>
              <w:rPr>
                <w:rFonts w:cs="Arial"/>
                <w:sz w:val="16"/>
                <w:szCs w:val="16"/>
                <w:lang w:val="en-NZ"/>
              </w:rPr>
              <w:t>/Pākehā</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56</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56</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72</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82</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67</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NZ M</w:t>
            </w:r>
            <w:r>
              <w:rPr>
                <w:rFonts w:cs="Arial"/>
                <w:sz w:val="16"/>
                <w:szCs w:val="16"/>
                <w:lang w:val="en-NZ"/>
              </w:rPr>
              <w:t>ā</w:t>
            </w:r>
            <w:r w:rsidRPr="003A2455">
              <w:rPr>
                <w:rFonts w:cs="Arial"/>
                <w:sz w:val="16"/>
                <w:szCs w:val="16"/>
                <w:lang w:val="en-NZ"/>
              </w:rPr>
              <w:t>ori</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Pacific</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7</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12</w:t>
            </w:r>
          </w:p>
        </w:tc>
      </w:tr>
      <w:tr w:rsidR="007B3E55">
        <w:tc>
          <w:tcPr>
            <w:tcW w:w="4140" w:type="dxa"/>
            <w:tcBorders>
              <w:top w:val="nil"/>
              <w:bottom w:val="single" w:sz="4" w:space="0" w:color="auto"/>
              <w:right w:val="single" w:sz="4" w:space="0" w:color="auto"/>
            </w:tcBorders>
            <w:shd w:val="clear" w:color="auto" w:fill="auto"/>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bottom w:val="single" w:sz="4" w:space="0" w:color="auto"/>
            </w:tcBorders>
            <w:shd w:val="clear" w:color="auto" w:fill="auto"/>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top w:val="single" w:sz="4" w:space="0" w:color="auto"/>
              <w:left w:val="single" w:sz="4" w:space="0" w:color="auto"/>
              <w:bottom w:val="nil"/>
              <w:right w:val="single" w:sz="4" w:space="0" w:color="auto"/>
            </w:tcBorders>
            <w:vAlign w:val="center"/>
          </w:tcPr>
          <w:p w:rsidR="007B3E55" w:rsidRPr="00BB1224" w:rsidRDefault="007B3E55" w:rsidP="00614C04">
            <w:pPr>
              <w:spacing w:before="20" w:after="20"/>
              <w:rPr>
                <w:rFonts w:cs="Arial"/>
                <w:b/>
                <w:sz w:val="16"/>
                <w:szCs w:val="16"/>
                <w:lang w:val="en-NZ"/>
              </w:rPr>
            </w:pPr>
            <w:r>
              <w:rPr>
                <w:rFonts w:cs="Arial"/>
                <w:b/>
                <w:sz w:val="16"/>
                <w:szCs w:val="16"/>
                <w:lang w:val="en-NZ"/>
              </w:rPr>
              <w:t>Main source of income</w:t>
            </w:r>
          </w:p>
        </w:tc>
        <w:tc>
          <w:tcPr>
            <w:tcW w:w="739" w:type="dxa"/>
            <w:tcBorders>
              <w:top w:val="single" w:sz="4" w:space="0" w:color="auto"/>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top w:val="single" w:sz="4" w:space="0" w:color="auto"/>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top w:val="single" w:sz="4" w:space="0" w:color="auto"/>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Market</w:t>
            </w:r>
            <w:r w:rsidRPr="003A2455">
              <w:rPr>
                <w:rFonts w:cs="Arial"/>
                <w:sz w:val="16"/>
                <w:szCs w:val="16"/>
                <w:lang w:val="en-NZ"/>
              </w:rPr>
              <w:t xml:space="preserve"> </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81</w:t>
            </w: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Government transfer</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19</w:t>
            </w:r>
          </w:p>
        </w:tc>
      </w:tr>
      <w:tr w:rsidR="007B3E55">
        <w:trPr>
          <w:trHeight w:val="243"/>
        </w:trPr>
        <w:tc>
          <w:tcPr>
            <w:tcW w:w="4140" w:type="dxa"/>
            <w:tcBorders>
              <w:top w:val="nil"/>
              <w:left w:val="single" w:sz="4" w:space="0" w:color="auto"/>
              <w:bottom w:val="single" w:sz="4" w:space="0" w:color="auto"/>
              <w:right w:val="single" w:sz="4" w:space="0" w:color="auto"/>
            </w:tcBorders>
            <w:vAlign w:val="center"/>
          </w:tcPr>
          <w:p w:rsidR="007B3E55" w:rsidRPr="00BA2CFF" w:rsidRDefault="007B3E55" w:rsidP="00614C04">
            <w:pPr>
              <w:spacing w:before="20" w:after="20"/>
              <w:ind w:left="342"/>
              <w:rPr>
                <w:rFonts w:cs="Arial"/>
                <w:sz w:val="16"/>
                <w:szCs w:val="16"/>
                <w:lang w:val="en-NZ"/>
              </w:rPr>
            </w:pPr>
            <w:r w:rsidRPr="00BA2CFF">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right w:val="single" w:sz="4" w:space="0" w:color="auto"/>
            </w:tcBorders>
            <w:noWrap/>
            <w:tcMar>
              <w:left w:w="115" w:type="dxa"/>
              <w:right w:w="288" w:type="dxa"/>
            </w:tcMar>
            <w:vAlign w:val="center"/>
          </w:tcPr>
          <w:p w:rsidR="007B3E55" w:rsidRDefault="007B3E55" w:rsidP="00614C04">
            <w:pPr>
              <w:spacing w:before="20" w:after="80"/>
              <w:jc w:val="right"/>
              <w:rPr>
                <w:rFonts w:cs="Arial"/>
                <w:sz w:val="16"/>
                <w:szCs w:val="16"/>
                <w:lang w:val="en-NZ"/>
              </w:rPr>
            </w:pPr>
            <w:r>
              <w:rPr>
                <w:rFonts w:cs="Arial"/>
                <w:sz w:val="16"/>
                <w:szCs w:val="16"/>
                <w:lang w:val="en-NZ"/>
              </w:rPr>
              <w:t>100</w:t>
            </w:r>
          </w:p>
        </w:tc>
      </w:tr>
      <w:tr w:rsidR="007B3E55">
        <w:tc>
          <w:tcPr>
            <w:tcW w:w="4140" w:type="dxa"/>
            <w:tcBorders>
              <w:bottom w:val="nil"/>
            </w:tcBorders>
            <w:vAlign w:val="center"/>
          </w:tcPr>
          <w:p w:rsidR="007B3E55" w:rsidRPr="00BB1224" w:rsidRDefault="007B3E55" w:rsidP="00614C04">
            <w:pPr>
              <w:spacing w:before="20" w:after="20"/>
              <w:rPr>
                <w:rFonts w:cs="Arial"/>
                <w:b/>
                <w:sz w:val="16"/>
                <w:szCs w:val="16"/>
                <w:lang w:val="en-NZ"/>
              </w:rPr>
            </w:pPr>
            <w:r w:rsidRPr="00BB1224">
              <w:rPr>
                <w:rFonts w:cs="Arial"/>
                <w:b/>
                <w:sz w:val="16"/>
                <w:szCs w:val="16"/>
                <w:lang w:val="en-NZ"/>
              </w:rPr>
              <w:t>Children by household type</w:t>
            </w:r>
          </w:p>
        </w:tc>
        <w:tc>
          <w:tcPr>
            <w:tcW w:w="739" w:type="dxa"/>
            <w:tcBorders>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bottom w:val="nil"/>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SP</w:t>
            </w:r>
            <w:r w:rsidRPr="003A2455">
              <w:rPr>
                <w:rFonts w:cs="Arial"/>
                <w:sz w:val="16"/>
                <w:szCs w:val="16"/>
                <w:lang w:val="en-NZ"/>
              </w:rPr>
              <w:t xml:space="preserve"> HHs </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2P</w:t>
            </w:r>
            <w:r w:rsidRPr="003A2455">
              <w:rPr>
                <w:rFonts w:cs="Arial"/>
                <w:sz w:val="16"/>
                <w:szCs w:val="16"/>
                <w:lang w:val="en-NZ"/>
              </w:rPr>
              <w:t xml:space="preserve">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78</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85</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67</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w:t>
            </w:r>
            <w:r w:rsidRPr="003A2455">
              <w:rPr>
                <w:rFonts w:cs="Arial"/>
                <w:sz w:val="16"/>
                <w:szCs w:val="16"/>
                <w:lang w:val="en-NZ"/>
              </w:rPr>
              <w:t xml:space="preserve"> in other family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12</w:t>
            </w:r>
          </w:p>
        </w:tc>
      </w:tr>
      <w:tr w:rsidR="007B3E55">
        <w:tc>
          <w:tcPr>
            <w:tcW w:w="4140" w:type="dxa"/>
            <w:tcBorders>
              <w:top w:val="nil"/>
              <w:bottom w:val="nil"/>
            </w:tcBorders>
            <w:vAlign w:val="center"/>
          </w:tcPr>
          <w:p w:rsidR="007B3E55" w:rsidRDefault="007B3E55" w:rsidP="00614C04">
            <w:pPr>
              <w:spacing w:before="20" w:after="20"/>
              <w:ind w:left="360"/>
              <w:rPr>
                <w:rFonts w:cs="Arial"/>
                <w:sz w:val="16"/>
                <w:szCs w:val="16"/>
                <w:lang w:val="en-NZ"/>
              </w:rPr>
            </w:pPr>
            <w:r>
              <w:rPr>
                <w:rFonts w:cs="Arial"/>
                <w:sz w:val="16"/>
                <w:szCs w:val="16"/>
                <w:lang w:val="en-NZ"/>
              </w:rPr>
              <w:t>Children in non-family HHs</w:t>
            </w:r>
          </w:p>
        </w:tc>
        <w:tc>
          <w:tcPr>
            <w:tcW w:w="739" w:type="dxa"/>
            <w:tcBorders>
              <w:top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0</w:t>
            </w:r>
          </w:p>
        </w:tc>
        <w:tc>
          <w:tcPr>
            <w:tcW w:w="740" w:type="dxa"/>
            <w:tcBorders>
              <w:top w:val="nil"/>
              <w:left w:val="nil"/>
              <w:bottom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w:t>
            </w:r>
          </w:p>
        </w:tc>
        <w:tc>
          <w:tcPr>
            <w:tcW w:w="1074" w:type="dxa"/>
            <w:tcBorders>
              <w:top w:val="nil"/>
              <w:bottom w:val="nil"/>
            </w:tcBorders>
            <w:noWrap/>
            <w:tcMar>
              <w:left w:w="115" w:type="dxa"/>
              <w:right w:w="288" w:type="dxa"/>
            </w:tcMar>
            <w:vAlign w:val="center"/>
          </w:tcPr>
          <w:p w:rsidR="007B3E55" w:rsidRDefault="007B3E55" w:rsidP="00614C04">
            <w:pPr>
              <w:spacing w:before="20" w:after="20"/>
              <w:ind w:right="38"/>
              <w:jc w:val="right"/>
              <w:rPr>
                <w:rFonts w:cs="Arial"/>
                <w:sz w:val="16"/>
                <w:szCs w:val="16"/>
                <w:lang w:val="en-NZ"/>
              </w:rPr>
            </w:pPr>
            <w:r>
              <w:rPr>
                <w:rFonts w:cs="Arial"/>
                <w:sz w:val="16"/>
                <w:szCs w:val="16"/>
                <w:lang w:val="en-NZ"/>
              </w:rPr>
              <w:t>1</w:t>
            </w:r>
          </w:p>
        </w:tc>
      </w:tr>
      <w:tr w:rsidR="007B3E55">
        <w:tc>
          <w:tcPr>
            <w:tcW w:w="4140" w:type="dxa"/>
            <w:tcBorders>
              <w:top w:val="nil"/>
              <w:bottom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 children</w:t>
            </w:r>
          </w:p>
        </w:tc>
        <w:tc>
          <w:tcPr>
            <w:tcW w:w="739" w:type="dxa"/>
            <w:tcBorders>
              <w:top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bottom w:val="single" w:sz="4" w:space="0" w:color="auto"/>
            </w:tcBorders>
            <w:noWrap/>
            <w:tcMar>
              <w:left w:w="115" w:type="dxa"/>
              <w:right w:w="288" w:type="dxa"/>
            </w:tcMar>
            <w:vAlign w:val="center"/>
          </w:tcPr>
          <w:p w:rsidR="007B3E55" w:rsidRPr="00D262A7" w:rsidRDefault="007B3E55" w:rsidP="00614C04">
            <w:pPr>
              <w:spacing w:before="20" w:after="120"/>
              <w:ind w:right="38"/>
              <w:jc w:val="right"/>
              <w:rPr>
                <w:rFonts w:cs="Arial"/>
                <w:sz w:val="16"/>
                <w:szCs w:val="16"/>
                <w:lang w:val="en-NZ"/>
              </w:rPr>
            </w:pPr>
            <w:r>
              <w:rPr>
                <w:rFonts w:cs="Arial"/>
                <w:sz w:val="16"/>
                <w:szCs w:val="16"/>
                <w:lang w:val="en-NZ"/>
              </w:rPr>
              <w:t>100</w:t>
            </w:r>
          </w:p>
        </w:tc>
      </w:tr>
    </w:tbl>
    <w:p w:rsidR="007B3E55" w:rsidRDefault="007B3E55" w:rsidP="007B3E55">
      <w:pPr>
        <w:rPr>
          <w:sz w:val="18"/>
          <w:szCs w:val="18"/>
          <w:lang w:val="en-NZ"/>
        </w:rPr>
      </w:pPr>
    </w:p>
    <w:p w:rsidR="007B3E55" w:rsidRPr="003C4D82" w:rsidRDefault="007B3E55" w:rsidP="007B3E55">
      <w:pPr>
        <w:rPr>
          <w:sz w:val="16"/>
          <w:szCs w:val="16"/>
          <w:lang w:val="en-NZ"/>
        </w:rPr>
      </w:pPr>
      <w:r w:rsidRPr="003C4D82">
        <w:rPr>
          <w:sz w:val="16"/>
          <w:szCs w:val="16"/>
          <w:lang w:val="en-NZ"/>
        </w:rPr>
        <w:t>Notes:</w:t>
      </w:r>
    </w:p>
    <w:p w:rsidR="007B3E55" w:rsidRPr="003C4D82" w:rsidRDefault="007B3E55" w:rsidP="007B3E55">
      <w:pPr>
        <w:spacing w:before="60"/>
        <w:ind w:left="548" w:hanging="274"/>
        <w:rPr>
          <w:sz w:val="16"/>
          <w:szCs w:val="16"/>
          <w:lang w:val="en-NZ"/>
        </w:rPr>
      </w:pPr>
      <w:r w:rsidRPr="003C4D82">
        <w:rPr>
          <w:sz w:val="16"/>
          <w:szCs w:val="16"/>
          <w:lang w:val="en-NZ"/>
        </w:rPr>
        <w:t>1</w:t>
      </w:r>
      <w:r w:rsidRPr="003C4D82">
        <w:rPr>
          <w:sz w:val="16"/>
          <w:szCs w:val="16"/>
          <w:lang w:val="en-NZ"/>
        </w:rPr>
        <w:tab/>
        <w:t>See note on page 29 for the need for caution in interpreting results for smaller sub-groups</w:t>
      </w:r>
      <w:r>
        <w:rPr>
          <w:sz w:val="16"/>
          <w:szCs w:val="16"/>
          <w:lang w:val="en-NZ"/>
        </w:rPr>
        <w:t>.</w:t>
      </w:r>
    </w:p>
    <w:p w:rsidR="007B3E55" w:rsidRDefault="007B3E55" w:rsidP="007B3E55">
      <w:pPr>
        <w:spacing w:before="60"/>
        <w:ind w:left="548" w:hanging="274"/>
        <w:rPr>
          <w:sz w:val="16"/>
          <w:szCs w:val="16"/>
          <w:lang w:val="en-NZ"/>
        </w:rPr>
      </w:pPr>
      <w:r>
        <w:rPr>
          <w:sz w:val="16"/>
          <w:szCs w:val="16"/>
          <w:lang w:val="en-NZ"/>
        </w:rPr>
        <w:t xml:space="preserve"> </w:t>
      </w:r>
    </w:p>
    <w:p w:rsidR="007B3E55" w:rsidRPr="001572D4" w:rsidRDefault="007B3E55" w:rsidP="007B3E55">
      <w:pPr>
        <w:jc w:val="center"/>
        <w:rPr>
          <w:b/>
          <w:szCs w:val="22"/>
          <w:lang w:val="en-NZ"/>
        </w:rPr>
      </w:pPr>
    </w:p>
    <w:p w:rsidR="007B3E55" w:rsidRPr="001572D4" w:rsidRDefault="007B3E55" w:rsidP="007B3E55">
      <w:pPr>
        <w:jc w:val="center"/>
        <w:rPr>
          <w:b/>
          <w:szCs w:val="22"/>
          <w:lang w:val="en-NZ"/>
        </w:rPr>
      </w:pPr>
    </w:p>
    <w:p w:rsidR="007B3E55" w:rsidRPr="001F42D8" w:rsidRDefault="007B3E55" w:rsidP="007B3E55">
      <w:pPr>
        <w:jc w:val="center"/>
        <w:rPr>
          <w:b/>
          <w:sz w:val="18"/>
          <w:lang w:val="en-NZ"/>
        </w:rPr>
      </w:pPr>
      <w:r>
        <w:rPr>
          <w:b/>
          <w:noProof/>
          <w:sz w:val="20"/>
          <w:lang w:val="en-US"/>
        </w:rPr>
        <w:pict>
          <v:shape id="_x0000_s1199" type="#_x0000_t202" style="position:absolute;left:0;text-align:left;margin-left:0;margin-top:.85pt;width:219pt;height:92.25pt;z-index:251648512;mso-position-horizontal:center">
            <v:textbox>
              <w:txbxContent>
                <w:p w:rsidR="00DE4A2A" w:rsidRPr="009348B4" w:rsidRDefault="00DE4A2A" w:rsidP="007B3E55">
                  <w:pPr>
                    <w:spacing w:after="120"/>
                    <w:jc w:val="center"/>
                    <w:rPr>
                      <w:sz w:val="16"/>
                      <w:szCs w:val="16"/>
                      <w:lang w:val="en-NZ"/>
                    </w:rPr>
                  </w:pPr>
                  <w:r w:rsidRPr="009348B4">
                    <w:rPr>
                      <w:b/>
                      <w:sz w:val="16"/>
                      <w:szCs w:val="16"/>
                      <w:lang w:val="en-NZ"/>
                    </w:rPr>
                    <w:t>Interpreting Tables B.5 and B.6: an example</w:t>
                  </w:r>
                </w:p>
                <w:p w:rsidR="00DE4A2A" w:rsidRDefault="00DE4A2A" w:rsidP="007B3E55">
                  <w:pPr>
                    <w:rPr>
                      <w:sz w:val="16"/>
                      <w:szCs w:val="16"/>
                      <w:lang w:val="en-NZ"/>
                    </w:rPr>
                  </w:pPr>
                  <w:r>
                    <w:rPr>
                      <w:sz w:val="16"/>
                      <w:szCs w:val="16"/>
                      <w:lang w:val="en-NZ"/>
                    </w:rPr>
                    <w:t xml:space="preserve">Consider the 0-17 year old group (children).  </w:t>
                  </w:r>
                </w:p>
                <w:p w:rsidR="00DE4A2A" w:rsidRDefault="00DE4A2A" w:rsidP="00614C04">
                  <w:pPr>
                    <w:numPr>
                      <w:ilvl w:val="0"/>
                      <w:numId w:val="44"/>
                    </w:numPr>
                    <w:tabs>
                      <w:tab w:val="clear" w:pos="720"/>
                      <w:tab w:val="num" w:pos="270"/>
                    </w:tabs>
                    <w:ind w:left="270" w:hanging="180"/>
                    <w:rPr>
                      <w:sz w:val="16"/>
                      <w:szCs w:val="16"/>
                      <w:lang w:val="en-NZ"/>
                    </w:rPr>
                  </w:pPr>
                  <w:r w:rsidRPr="009348B4">
                    <w:rPr>
                      <w:sz w:val="16"/>
                      <w:szCs w:val="16"/>
                      <w:lang w:val="en-NZ"/>
                    </w:rPr>
                    <w:t>Table B.5</w:t>
                  </w:r>
                  <w:r>
                    <w:rPr>
                      <w:sz w:val="16"/>
                      <w:szCs w:val="16"/>
                      <w:lang w:val="en-NZ"/>
                    </w:rPr>
                    <w:t xml:space="preserve"> (distribution of children across the quintiles) shows that 50%</w:t>
                  </w:r>
                  <w:r w:rsidRPr="009348B4">
                    <w:rPr>
                      <w:sz w:val="16"/>
                      <w:szCs w:val="16"/>
                      <w:lang w:val="en-NZ"/>
                    </w:rPr>
                    <w:t xml:space="preserve"> </w:t>
                  </w:r>
                  <w:r>
                    <w:rPr>
                      <w:sz w:val="16"/>
                      <w:szCs w:val="16"/>
                      <w:lang w:val="en-NZ"/>
                    </w:rPr>
                    <w:t xml:space="preserve">of this group are in households in the bottom two income quintiles.  </w:t>
                  </w:r>
                </w:p>
                <w:p w:rsidR="00DE4A2A" w:rsidRPr="009348B4" w:rsidRDefault="00DE4A2A" w:rsidP="00614C04">
                  <w:pPr>
                    <w:numPr>
                      <w:ilvl w:val="0"/>
                      <w:numId w:val="44"/>
                    </w:numPr>
                    <w:tabs>
                      <w:tab w:val="clear" w:pos="720"/>
                      <w:tab w:val="num" w:pos="270"/>
                    </w:tabs>
                    <w:ind w:left="270" w:hanging="180"/>
                    <w:rPr>
                      <w:sz w:val="16"/>
                      <w:szCs w:val="16"/>
                      <w:lang w:val="en-NZ"/>
                    </w:rPr>
                  </w:pPr>
                  <w:r>
                    <w:rPr>
                      <w:sz w:val="16"/>
                      <w:szCs w:val="16"/>
                      <w:lang w:val="en-NZ"/>
                    </w:rPr>
                    <w:t>Table B.6 (composition of each quintile) shows that children make up 29% of all people in households with incomes in the bottom quintile.</w:t>
                  </w:r>
                </w:p>
              </w:txbxContent>
            </v:textbox>
          </v:shape>
        </w:pict>
      </w:r>
      <w:r>
        <w:rPr>
          <w:b/>
          <w:sz w:val="20"/>
          <w:lang w:val="en-NZ"/>
        </w:rPr>
        <w:br w:type="page"/>
      </w:r>
      <w:r w:rsidRPr="001F42D8">
        <w:rPr>
          <w:b/>
          <w:sz w:val="18"/>
          <w:lang w:val="en-NZ"/>
        </w:rPr>
        <w:lastRenderedPageBreak/>
        <w:t>Table B.7</w:t>
      </w:r>
    </w:p>
    <w:p w:rsidR="007B3E55" w:rsidRPr="001F42D8" w:rsidRDefault="007B3E55" w:rsidP="007B3E55">
      <w:pPr>
        <w:jc w:val="center"/>
        <w:rPr>
          <w:b/>
          <w:sz w:val="18"/>
          <w:lang w:val="en-NZ"/>
        </w:rPr>
      </w:pPr>
      <w:r w:rsidRPr="001F42D8">
        <w:rPr>
          <w:b/>
          <w:sz w:val="18"/>
          <w:lang w:val="en-NZ"/>
        </w:rPr>
        <w:t>Distribution of individuals across income quintiles (</w:t>
      </w:r>
      <w:smartTag w:uri="urn:schemas-microsoft-com:office:smarttags" w:element="stockticker">
        <w:r w:rsidRPr="001F42D8">
          <w:rPr>
            <w:b/>
            <w:sz w:val="18"/>
            <w:lang w:val="en-NZ"/>
          </w:rPr>
          <w:t>AHC</w:t>
        </w:r>
      </w:smartTag>
      <w:r w:rsidRPr="001F42D8">
        <w:rPr>
          <w:b/>
          <w:sz w:val="18"/>
          <w:lang w:val="en-NZ"/>
        </w:rPr>
        <w:t>)</w:t>
      </w:r>
    </w:p>
    <w:p w:rsidR="007B3E55" w:rsidRPr="001F42D8" w:rsidRDefault="007B3E55" w:rsidP="007B3E55">
      <w:pPr>
        <w:jc w:val="center"/>
        <w:rPr>
          <w:b/>
          <w:sz w:val="18"/>
          <w:lang w:val="en-NZ"/>
        </w:rPr>
      </w:pPr>
      <w:r w:rsidRPr="001F42D8">
        <w:rPr>
          <w:b/>
          <w:sz w:val="18"/>
          <w:lang w:val="en-NZ"/>
        </w:rPr>
        <w:t>by various household and individual characteristics (%)</w:t>
      </w:r>
    </w:p>
    <w:p w:rsidR="007B3E55" w:rsidRPr="001F42D8" w:rsidRDefault="007B3E55" w:rsidP="007B3E55">
      <w:pPr>
        <w:spacing w:before="60" w:after="120"/>
        <w:jc w:val="center"/>
        <w:rPr>
          <w:sz w:val="16"/>
          <w:szCs w:val="18"/>
          <w:lang w:val="en-NZ"/>
        </w:rPr>
      </w:pPr>
      <w:r w:rsidRPr="001F42D8">
        <w:rPr>
          <w:sz w:val="16"/>
          <w:szCs w:val="18"/>
          <w:lang w:val="en-NZ"/>
        </w:rPr>
        <w:t>(sum to 100% across rows)</w:t>
      </w:r>
    </w:p>
    <w:tbl>
      <w:tblPr>
        <w:tblStyle w:val="TableGrid"/>
        <w:tblW w:w="8910" w:type="dxa"/>
        <w:tblInd w:w="198" w:type="dxa"/>
        <w:tblLayout w:type="fixed"/>
        <w:tblLook w:val="01E0"/>
      </w:tblPr>
      <w:tblGrid>
        <w:gridCol w:w="4140"/>
        <w:gridCol w:w="739"/>
        <w:gridCol w:w="739"/>
        <w:gridCol w:w="739"/>
        <w:gridCol w:w="739"/>
        <w:gridCol w:w="740"/>
        <w:gridCol w:w="1074"/>
      </w:tblGrid>
      <w:tr w:rsidR="007B3E55">
        <w:trPr>
          <w:trHeight w:val="350"/>
        </w:trPr>
        <w:tc>
          <w:tcPr>
            <w:tcW w:w="4140" w:type="dxa"/>
            <w:vMerge w:val="restart"/>
            <w:vAlign w:val="center"/>
          </w:tcPr>
          <w:p w:rsidR="007B3E55" w:rsidRPr="00773DCF" w:rsidRDefault="007B3E55" w:rsidP="00614C04">
            <w:pPr>
              <w:jc w:val="center"/>
              <w:rPr>
                <w:b/>
                <w:sz w:val="20"/>
                <w:lang w:val="en-NZ"/>
              </w:rPr>
            </w:pPr>
            <w:r w:rsidRPr="00773DCF">
              <w:rPr>
                <w:b/>
                <w:sz w:val="20"/>
                <w:lang w:val="en-NZ"/>
              </w:rPr>
              <w:t>HES 200</w:t>
            </w:r>
            <w:r>
              <w:rPr>
                <w:b/>
                <w:sz w:val="20"/>
                <w:lang w:val="en-NZ"/>
              </w:rPr>
              <w:t>9</w:t>
            </w:r>
          </w:p>
        </w:tc>
        <w:tc>
          <w:tcPr>
            <w:tcW w:w="3696" w:type="dxa"/>
            <w:gridSpan w:val="5"/>
            <w:tcBorders>
              <w:bottom w:val="nil"/>
            </w:tcBorders>
            <w:vAlign w:val="center"/>
          </w:tcPr>
          <w:p w:rsidR="007B3E55" w:rsidRPr="00531701" w:rsidRDefault="007B3E55" w:rsidP="00614C04">
            <w:pPr>
              <w:jc w:val="center"/>
              <w:rPr>
                <w:b/>
                <w:sz w:val="16"/>
                <w:szCs w:val="16"/>
                <w:lang w:val="en-NZ"/>
              </w:rPr>
            </w:pPr>
            <w:r w:rsidRPr="00531701">
              <w:rPr>
                <w:b/>
                <w:sz w:val="16"/>
                <w:szCs w:val="16"/>
                <w:lang w:val="en-NZ"/>
              </w:rPr>
              <w:t>Equivalised disposable household income</w:t>
            </w:r>
          </w:p>
        </w:tc>
        <w:tc>
          <w:tcPr>
            <w:tcW w:w="1074" w:type="dxa"/>
            <w:vMerge w:val="restart"/>
            <w:vAlign w:val="center"/>
          </w:tcPr>
          <w:p w:rsidR="007B3E55" w:rsidRPr="00531701" w:rsidRDefault="007B3E55" w:rsidP="00614C04">
            <w:pPr>
              <w:jc w:val="center"/>
              <w:rPr>
                <w:b/>
                <w:sz w:val="16"/>
                <w:szCs w:val="16"/>
                <w:lang w:val="en-NZ"/>
              </w:rPr>
            </w:pPr>
            <w:r w:rsidRPr="00531701">
              <w:rPr>
                <w:b/>
                <w:sz w:val="16"/>
                <w:szCs w:val="16"/>
                <w:lang w:val="en-NZ"/>
              </w:rPr>
              <w:t>All individuals (000s)</w:t>
            </w:r>
          </w:p>
        </w:tc>
      </w:tr>
      <w:tr w:rsidR="007B3E55">
        <w:trPr>
          <w:trHeight w:val="377"/>
        </w:trPr>
        <w:tc>
          <w:tcPr>
            <w:tcW w:w="4140" w:type="dxa"/>
            <w:vMerge/>
            <w:tcBorders>
              <w:bottom w:val="single" w:sz="4" w:space="0" w:color="auto"/>
            </w:tcBorders>
            <w:vAlign w:val="center"/>
          </w:tcPr>
          <w:p w:rsidR="007B3E55" w:rsidRPr="00531701" w:rsidRDefault="007B3E55" w:rsidP="00614C04">
            <w:pPr>
              <w:jc w:val="both"/>
              <w:rPr>
                <w:sz w:val="16"/>
                <w:szCs w:val="16"/>
                <w:lang w:val="en-NZ"/>
              </w:rPr>
            </w:pPr>
          </w:p>
        </w:tc>
        <w:tc>
          <w:tcPr>
            <w:tcW w:w="739" w:type="dxa"/>
            <w:tcBorders>
              <w:top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Q1</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Q2</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Q3</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Q4</w:t>
            </w:r>
          </w:p>
        </w:tc>
        <w:tc>
          <w:tcPr>
            <w:tcW w:w="740" w:type="dxa"/>
            <w:tcBorders>
              <w:top w:val="nil"/>
              <w:left w:val="nil"/>
              <w:bottom w:val="single" w:sz="4" w:space="0" w:color="auto"/>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Q5</w:t>
            </w:r>
          </w:p>
        </w:tc>
        <w:tc>
          <w:tcPr>
            <w:tcW w:w="1074" w:type="dxa"/>
            <w:vMerge/>
            <w:tcBorders>
              <w:bottom w:val="single" w:sz="4" w:space="0" w:color="auto"/>
            </w:tcBorders>
            <w:vAlign w:val="center"/>
          </w:tcPr>
          <w:p w:rsidR="007B3E55" w:rsidRPr="00531701" w:rsidRDefault="007B3E55" w:rsidP="00614C04">
            <w:pPr>
              <w:jc w:val="center"/>
              <w:rPr>
                <w:sz w:val="16"/>
                <w:szCs w:val="16"/>
                <w:lang w:val="en-NZ"/>
              </w:rPr>
            </w:pP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 xml:space="preserve">Age </w:t>
            </w:r>
          </w:p>
        </w:tc>
        <w:tc>
          <w:tcPr>
            <w:tcW w:w="739" w:type="dxa"/>
            <w:tcBorders>
              <w:left w:val="single" w:sz="4" w:space="0" w:color="auto"/>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0-17</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1090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18-2</w:t>
            </w:r>
            <w:r>
              <w:rPr>
                <w:rFonts w:cs="Arial"/>
                <w:sz w:val="16"/>
                <w:szCs w:val="16"/>
                <w:lang w:val="en-NZ"/>
              </w:rPr>
              <w:t>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404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25-44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1156</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45</w:t>
            </w:r>
            <w:r w:rsidRPr="003A2455">
              <w:rPr>
                <w:rFonts w:cs="Arial"/>
                <w:sz w:val="16"/>
                <w:szCs w:val="16"/>
                <w:lang w:val="en-NZ"/>
              </w:rPr>
              <w:t>-64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1052</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65</w:t>
            </w:r>
            <w:r>
              <w:rPr>
                <w:rFonts w:cs="Arial"/>
                <w:sz w:val="16"/>
                <w:szCs w:val="16"/>
                <w:lang w:val="en-NZ"/>
              </w:rPr>
              <w:t>+</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511</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tcBorders>
            <w:noWrap/>
            <w:tcMar>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4213</w:t>
            </w: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Household type</w:t>
            </w:r>
          </w:p>
        </w:tc>
        <w:tc>
          <w:tcPr>
            <w:tcW w:w="739" w:type="dxa"/>
            <w:tcBorders>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noWrap/>
            <w:tcMar>
              <w:right w:w="288" w:type="dxa"/>
            </w:tcMar>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158</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324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40</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550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SP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347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1540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 family HHs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371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Family</w:t>
            </w:r>
            <w:r w:rsidRPr="003A2455">
              <w:rPr>
                <w:rFonts w:cs="Arial"/>
                <w:sz w:val="16"/>
                <w:szCs w:val="16"/>
                <w:lang w:val="en-NZ"/>
              </w:rPr>
              <w:t xml:space="preserve"> HHs with no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27</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473</w:t>
            </w:r>
          </w:p>
        </w:tc>
      </w:tr>
      <w:tr w:rsidR="007B3E55">
        <w:tc>
          <w:tcPr>
            <w:tcW w:w="4140" w:type="dxa"/>
            <w:tcBorders>
              <w:top w:val="nil"/>
              <w:bottom w:val="nil"/>
              <w:right w:val="single" w:sz="4" w:space="0" w:color="auto"/>
            </w:tcBorders>
            <w:vAlign w:val="center"/>
          </w:tcPr>
          <w:p w:rsidR="007B3E55" w:rsidRDefault="007B3E55" w:rsidP="00614C04">
            <w:pPr>
              <w:spacing w:before="20" w:after="20"/>
              <w:ind w:left="360"/>
              <w:rPr>
                <w:rFonts w:cs="Arial"/>
                <w:sz w:val="16"/>
                <w:szCs w:val="16"/>
                <w:lang w:val="en-NZ"/>
              </w:rPr>
            </w:pPr>
            <w:r>
              <w:rPr>
                <w:rFonts w:cs="Arial"/>
                <w:sz w:val="16"/>
                <w:szCs w:val="16"/>
                <w:lang w:val="en-NZ"/>
              </w:rPr>
              <w:t>Non-family HHs</w:t>
            </w:r>
          </w:p>
        </w:tc>
        <w:tc>
          <w:tcPr>
            <w:tcW w:w="739" w:type="dxa"/>
            <w:tcBorders>
              <w:top w:val="nil"/>
              <w:left w:val="single" w:sz="4" w:space="0" w:color="auto"/>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25</w:t>
            </w:r>
          </w:p>
        </w:tc>
        <w:tc>
          <w:tcPr>
            <w:tcW w:w="740" w:type="dxa"/>
            <w:tcBorders>
              <w:top w:val="nil"/>
              <w:left w:val="nil"/>
              <w:bottom w:val="nil"/>
              <w:right w:val="single" w:sz="4" w:space="0" w:color="auto"/>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31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249</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tcBorders>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4213</w:t>
            </w:r>
          </w:p>
        </w:tc>
      </w:tr>
      <w:tr w:rsidR="007B3E55">
        <w:tc>
          <w:tcPr>
            <w:tcW w:w="4140" w:type="dxa"/>
            <w:tcBorders>
              <w:bottom w:val="nil"/>
              <w:right w:val="single" w:sz="4" w:space="0" w:color="auto"/>
            </w:tcBorders>
            <w:shd w:val="clear" w:color="auto" w:fill="auto"/>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Ethnicity</w:t>
            </w:r>
            <w:r>
              <w:rPr>
                <w:rFonts w:cs="Arial"/>
                <w:b/>
                <w:sz w:val="16"/>
                <w:szCs w:val="16"/>
                <w:lang w:val="en-NZ"/>
              </w:rPr>
              <w:t xml:space="preserve"> </w:t>
            </w:r>
            <w:r>
              <w:rPr>
                <w:rFonts w:cs="Arial"/>
                <w:b/>
                <w:sz w:val="16"/>
                <w:szCs w:val="16"/>
                <w:lang w:val="en-NZ"/>
              </w:rPr>
              <w:tab/>
            </w:r>
            <w:r>
              <w:rPr>
                <w:rFonts w:cs="Arial"/>
                <w:b/>
                <w:sz w:val="16"/>
                <w:szCs w:val="16"/>
                <w:lang w:val="en-NZ"/>
              </w:rPr>
              <w:tab/>
            </w:r>
            <w:r>
              <w:rPr>
                <w:rFonts w:cs="Arial"/>
                <w:b/>
                <w:sz w:val="16"/>
                <w:szCs w:val="16"/>
                <w:lang w:val="en-NZ"/>
              </w:rPr>
              <w:tab/>
            </w:r>
          </w:p>
        </w:tc>
        <w:tc>
          <w:tcPr>
            <w:tcW w:w="739" w:type="dxa"/>
            <w:tcBorders>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bottom w:val="nil"/>
            </w:tcBorders>
            <w:shd w:val="clear" w:color="auto" w:fill="auto"/>
            <w:noWrap/>
            <w:tcMar>
              <w:left w:w="115" w:type="dxa"/>
              <w:right w:w="288" w:type="dxa"/>
            </w:tcMar>
            <w:vAlign w:val="center"/>
          </w:tcPr>
          <w:p w:rsidR="007B3E55" w:rsidRPr="00A365FF" w:rsidRDefault="007B3E55" w:rsidP="00614C04">
            <w:pPr>
              <w:spacing w:before="20" w:after="20"/>
              <w:ind w:right="38"/>
              <w:rPr>
                <w:rFonts w:cs="Arial"/>
                <w:sz w:val="16"/>
                <w:szCs w:val="16"/>
                <w:lang w:val="en-NZ"/>
              </w:rPr>
            </w:pP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European</w:t>
            </w:r>
            <w:r>
              <w:rPr>
                <w:rFonts w:cs="Arial"/>
                <w:sz w:val="16"/>
                <w:szCs w:val="16"/>
                <w:lang w:val="en-NZ"/>
              </w:rPr>
              <w:t>/Pākehā</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22</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sidRPr="00A365FF">
              <w:rPr>
                <w:rFonts w:cs="Arial"/>
                <w:sz w:val="16"/>
                <w:szCs w:val="16"/>
                <w:lang w:val="en-NZ"/>
              </w:rPr>
              <w:t>2</w:t>
            </w:r>
            <w:r>
              <w:rPr>
                <w:rFonts w:cs="Arial"/>
                <w:sz w:val="16"/>
                <w:szCs w:val="16"/>
                <w:lang w:val="en-NZ"/>
              </w:rPr>
              <w:t>811</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NZ M</w:t>
            </w:r>
            <w:r>
              <w:rPr>
                <w:rFonts w:cs="Arial"/>
                <w:sz w:val="16"/>
                <w:szCs w:val="16"/>
                <w:lang w:val="en-NZ"/>
              </w:rPr>
              <w:t>ā</w:t>
            </w:r>
            <w:r w:rsidRPr="003A2455">
              <w:rPr>
                <w:rFonts w:cs="Arial"/>
                <w:sz w:val="16"/>
                <w:szCs w:val="16"/>
                <w:lang w:val="en-NZ"/>
              </w:rPr>
              <w:t>ori</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615</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Pacific</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274</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shd w:val="clear" w:color="auto" w:fill="auto"/>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shd w:val="clear" w:color="auto" w:fill="auto"/>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shd w:val="clear" w:color="auto" w:fill="auto"/>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17</w:t>
            </w:r>
          </w:p>
        </w:tc>
        <w:tc>
          <w:tcPr>
            <w:tcW w:w="740" w:type="dxa"/>
            <w:tcBorders>
              <w:top w:val="nil"/>
              <w:left w:val="nil"/>
              <w:bottom w:val="nil"/>
            </w:tcBorders>
            <w:shd w:val="clear" w:color="auto" w:fill="auto"/>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bottom w:val="nil"/>
            </w:tcBorders>
            <w:shd w:val="clear" w:color="auto" w:fill="auto"/>
            <w:noWrap/>
            <w:tcMar>
              <w:left w:w="115" w:type="dxa"/>
              <w:right w:w="288" w:type="dxa"/>
            </w:tcMar>
            <w:vAlign w:val="center"/>
          </w:tcPr>
          <w:p w:rsidR="007B3E55" w:rsidRPr="00A365FF" w:rsidRDefault="007B3E55" w:rsidP="00614C04">
            <w:pPr>
              <w:spacing w:before="20" w:after="20"/>
              <w:ind w:right="38"/>
              <w:jc w:val="right"/>
              <w:rPr>
                <w:rFonts w:cs="Arial"/>
                <w:sz w:val="16"/>
                <w:szCs w:val="16"/>
                <w:lang w:val="en-NZ"/>
              </w:rPr>
            </w:pPr>
            <w:r>
              <w:rPr>
                <w:rFonts w:cs="Arial"/>
                <w:sz w:val="16"/>
                <w:szCs w:val="16"/>
                <w:lang w:val="en-NZ"/>
              </w:rPr>
              <w:t>513</w:t>
            </w:r>
          </w:p>
        </w:tc>
      </w:tr>
      <w:tr w:rsidR="007B3E55">
        <w:tc>
          <w:tcPr>
            <w:tcW w:w="4140" w:type="dxa"/>
            <w:tcBorders>
              <w:top w:val="nil"/>
              <w:bottom w:val="single" w:sz="4" w:space="0" w:color="auto"/>
              <w:right w:val="single" w:sz="4" w:space="0" w:color="auto"/>
            </w:tcBorders>
            <w:shd w:val="clear" w:color="auto" w:fill="auto"/>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20</w:t>
            </w:r>
          </w:p>
        </w:tc>
        <w:tc>
          <w:tcPr>
            <w:tcW w:w="1074" w:type="dxa"/>
            <w:tcBorders>
              <w:top w:val="nil"/>
              <w:bottom w:val="single" w:sz="4" w:space="0" w:color="auto"/>
            </w:tcBorders>
            <w:shd w:val="clear" w:color="auto" w:fill="auto"/>
            <w:noWrap/>
            <w:tcMar>
              <w:left w:w="115" w:type="dxa"/>
              <w:right w:w="288" w:type="dxa"/>
            </w:tcMar>
            <w:vAlign w:val="center"/>
          </w:tcPr>
          <w:p w:rsidR="007B3E55" w:rsidRPr="00A365FF" w:rsidRDefault="007B3E55" w:rsidP="00614C04">
            <w:pPr>
              <w:spacing w:before="20" w:after="120"/>
              <w:ind w:right="38"/>
              <w:jc w:val="right"/>
              <w:rPr>
                <w:rFonts w:cs="Arial"/>
                <w:sz w:val="16"/>
                <w:szCs w:val="16"/>
                <w:lang w:val="en-NZ"/>
              </w:rPr>
            </w:pPr>
            <w:r>
              <w:rPr>
                <w:rFonts w:cs="Arial"/>
                <w:sz w:val="16"/>
                <w:szCs w:val="16"/>
                <w:lang w:val="en-NZ"/>
              </w:rPr>
              <w:t>4213</w:t>
            </w:r>
          </w:p>
        </w:tc>
      </w:tr>
      <w:tr w:rsidR="007B3E55">
        <w:tc>
          <w:tcPr>
            <w:tcW w:w="4140" w:type="dxa"/>
            <w:tcBorders>
              <w:top w:val="single" w:sz="4" w:space="0" w:color="auto"/>
              <w:left w:val="single" w:sz="4" w:space="0" w:color="auto"/>
              <w:bottom w:val="nil"/>
              <w:right w:val="single" w:sz="4" w:space="0" w:color="auto"/>
            </w:tcBorders>
            <w:vAlign w:val="center"/>
          </w:tcPr>
          <w:p w:rsidR="007B3E55" w:rsidRPr="00BB1224" w:rsidRDefault="007B3E55" w:rsidP="00614C04">
            <w:pPr>
              <w:spacing w:before="20" w:after="20"/>
              <w:rPr>
                <w:rFonts w:cs="Arial"/>
                <w:b/>
                <w:sz w:val="16"/>
                <w:szCs w:val="16"/>
                <w:lang w:val="en-NZ"/>
              </w:rPr>
            </w:pPr>
            <w:r>
              <w:rPr>
                <w:rFonts w:cs="Arial"/>
                <w:b/>
                <w:sz w:val="16"/>
                <w:szCs w:val="16"/>
                <w:lang w:val="en-NZ"/>
              </w:rPr>
              <w:t>Main source of income</w:t>
            </w:r>
          </w:p>
        </w:tc>
        <w:tc>
          <w:tcPr>
            <w:tcW w:w="739" w:type="dxa"/>
            <w:tcBorders>
              <w:top w:val="single" w:sz="4" w:space="0" w:color="auto"/>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top w:val="single" w:sz="4" w:space="0" w:color="auto"/>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top w:val="single" w:sz="4" w:space="0" w:color="auto"/>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Market</w:t>
            </w:r>
            <w:r w:rsidRPr="003A2455">
              <w:rPr>
                <w:rFonts w:cs="Arial"/>
                <w:sz w:val="16"/>
                <w:szCs w:val="16"/>
                <w:lang w:val="en-NZ"/>
              </w:rPr>
              <w:t xml:space="preserve"> </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3413</w:t>
            </w: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Government transfer</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800</w:t>
            </w:r>
          </w:p>
        </w:tc>
      </w:tr>
      <w:tr w:rsidR="007B3E55">
        <w:trPr>
          <w:trHeight w:val="297"/>
        </w:trPr>
        <w:tc>
          <w:tcPr>
            <w:tcW w:w="4140" w:type="dxa"/>
            <w:tcBorders>
              <w:top w:val="nil"/>
              <w:left w:val="single" w:sz="4" w:space="0" w:color="auto"/>
              <w:bottom w:val="single" w:sz="4" w:space="0" w:color="auto"/>
              <w:right w:val="single" w:sz="4" w:space="0" w:color="auto"/>
            </w:tcBorders>
            <w:vAlign w:val="center"/>
          </w:tcPr>
          <w:p w:rsidR="007B3E55" w:rsidRPr="00BA2CFF" w:rsidRDefault="007B3E55" w:rsidP="00614C04">
            <w:pPr>
              <w:spacing w:before="20" w:after="20"/>
              <w:ind w:left="342"/>
              <w:rPr>
                <w:rFonts w:cs="Arial"/>
                <w:sz w:val="16"/>
                <w:szCs w:val="16"/>
                <w:lang w:val="en-NZ"/>
              </w:rPr>
            </w:pPr>
            <w:r w:rsidRPr="00BA2CFF">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20</w:t>
            </w:r>
          </w:p>
        </w:tc>
        <w:tc>
          <w:tcPr>
            <w:tcW w:w="1074" w:type="dxa"/>
            <w:tcBorders>
              <w:top w:val="nil"/>
              <w:left w:val="single" w:sz="4" w:space="0" w:color="auto"/>
              <w:bottom w:val="single" w:sz="4" w:space="0" w:color="auto"/>
              <w:right w:val="single" w:sz="4" w:space="0" w:color="auto"/>
            </w:tcBorders>
            <w:noWrap/>
            <w:tcMar>
              <w:left w:w="115" w:type="dxa"/>
              <w:right w:w="288" w:type="dxa"/>
            </w:tcMar>
            <w:vAlign w:val="center"/>
          </w:tcPr>
          <w:p w:rsidR="007B3E55" w:rsidRDefault="007B3E55" w:rsidP="00614C04">
            <w:pPr>
              <w:spacing w:before="20" w:after="80"/>
              <w:ind w:right="38"/>
              <w:jc w:val="right"/>
              <w:rPr>
                <w:rFonts w:cs="Arial"/>
                <w:sz w:val="16"/>
                <w:szCs w:val="16"/>
                <w:lang w:val="en-NZ"/>
              </w:rPr>
            </w:pPr>
            <w:r>
              <w:rPr>
                <w:rFonts w:cs="Arial"/>
                <w:sz w:val="16"/>
                <w:szCs w:val="16"/>
                <w:lang w:val="en-NZ"/>
              </w:rPr>
              <w:t>4213</w:t>
            </w:r>
          </w:p>
        </w:tc>
      </w:tr>
      <w:tr w:rsidR="007B3E55">
        <w:tc>
          <w:tcPr>
            <w:tcW w:w="4140" w:type="dxa"/>
            <w:tcBorders>
              <w:bottom w:val="nil"/>
            </w:tcBorders>
            <w:vAlign w:val="center"/>
          </w:tcPr>
          <w:p w:rsidR="007B3E55" w:rsidRPr="00BB1224" w:rsidRDefault="007B3E55" w:rsidP="00614C04">
            <w:pPr>
              <w:spacing w:before="20" w:after="20"/>
              <w:rPr>
                <w:rFonts w:cs="Arial"/>
                <w:b/>
                <w:sz w:val="16"/>
                <w:szCs w:val="16"/>
                <w:lang w:val="en-NZ"/>
              </w:rPr>
            </w:pPr>
            <w:r w:rsidRPr="00BB1224">
              <w:rPr>
                <w:rFonts w:cs="Arial"/>
                <w:b/>
                <w:sz w:val="16"/>
                <w:szCs w:val="16"/>
                <w:lang w:val="en-NZ"/>
              </w:rPr>
              <w:t>Children by household type</w:t>
            </w:r>
          </w:p>
        </w:tc>
        <w:tc>
          <w:tcPr>
            <w:tcW w:w="739" w:type="dxa"/>
            <w:tcBorders>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bottom w:val="nil"/>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SP</w:t>
            </w:r>
            <w:r w:rsidRPr="003A2455">
              <w:rPr>
                <w:rFonts w:cs="Arial"/>
                <w:sz w:val="16"/>
                <w:szCs w:val="16"/>
                <w:lang w:val="en-NZ"/>
              </w:rPr>
              <w:t xml:space="preserve"> HHs </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209</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2P</w:t>
            </w:r>
            <w:r w:rsidRPr="003A2455">
              <w:rPr>
                <w:rFonts w:cs="Arial"/>
                <w:sz w:val="16"/>
                <w:szCs w:val="16"/>
                <w:lang w:val="en-NZ"/>
              </w:rPr>
              <w:t xml:space="preserve">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716</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w:t>
            </w:r>
            <w:r w:rsidRPr="003A2455">
              <w:rPr>
                <w:rFonts w:cs="Arial"/>
                <w:sz w:val="16"/>
                <w:szCs w:val="16"/>
                <w:lang w:val="en-NZ"/>
              </w:rPr>
              <w:t xml:space="preserve"> in other family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132</w:t>
            </w:r>
          </w:p>
        </w:tc>
      </w:tr>
      <w:tr w:rsidR="007B3E55">
        <w:tc>
          <w:tcPr>
            <w:tcW w:w="4140" w:type="dxa"/>
            <w:tcBorders>
              <w:top w:val="nil"/>
              <w:bottom w:val="nil"/>
            </w:tcBorders>
            <w:vAlign w:val="center"/>
          </w:tcPr>
          <w:p w:rsidR="007B3E55" w:rsidRDefault="007B3E55" w:rsidP="00614C04">
            <w:pPr>
              <w:spacing w:before="20" w:after="20"/>
              <w:ind w:left="360"/>
              <w:rPr>
                <w:rFonts w:cs="Arial"/>
                <w:sz w:val="16"/>
                <w:szCs w:val="16"/>
                <w:lang w:val="en-NZ"/>
              </w:rPr>
            </w:pPr>
            <w:r>
              <w:rPr>
                <w:rFonts w:cs="Arial"/>
                <w:sz w:val="16"/>
                <w:szCs w:val="16"/>
                <w:lang w:val="en-NZ"/>
              </w:rPr>
              <w:t>Children in non-family households</w:t>
            </w:r>
          </w:p>
        </w:tc>
        <w:tc>
          <w:tcPr>
            <w:tcW w:w="739" w:type="dxa"/>
            <w:tcBorders>
              <w:top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740" w:type="dxa"/>
            <w:tcBorders>
              <w:top w:val="nil"/>
              <w:left w:val="nil"/>
              <w:bottom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w:t>
            </w:r>
          </w:p>
        </w:tc>
        <w:tc>
          <w:tcPr>
            <w:tcW w:w="1074" w:type="dxa"/>
            <w:tcBorders>
              <w:top w:val="nil"/>
              <w:bottom w:val="nil"/>
            </w:tcBorders>
            <w:noWrap/>
            <w:tcMar>
              <w:left w:w="115" w:type="dxa"/>
              <w:right w:w="288" w:type="dxa"/>
            </w:tcMar>
            <w:vAlign w:val="center"/>
          </w:tcPr>
          <w:p w:rsidR="007B3E55" w:rsidRDefault="007B3E55" w:rsidP="00614C04">
            <w:pPr>
              <w:spacing w:before="20" w:after="20"/>
              <w:ind w:right="38"/>
              <w:jc w:val="right"/>
              <w:rPr>
                <w:rFonts w:cs="Arial"/>
                <w:sz w:val="16"/>
                <w:szCs w:val="16"/>
                <w:lang w:val="en-NZ"/>
              </w:rPr>
            </w:pPr>
            <w:r>
              <w:rPr>
                <w:rFonts w:cs="Arial"/>
                <w:sz w:val="16"/>
                <w:szCs w:val="16"/>
                <w:lang w:val="en-NZ"/>
              </w:rPr>
              <w:t>13</w:t>
            </w:r>
          </w:p>
        </w:tc>
      </w:tr>
      <w:tr w:rsidR="007B3E55">
        <w:tc>
          <w:tcPr>
            <w:tcW w:w="4140" w:type="dxa"/>
            <w:tcBorders>
              <w:top w:val="nil"/>
              <w:bottom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 children</w:t>
            </w:r>
          </w:p>
        </w:tc>
        <w:tc>
          <w:tcPr>
            <w:tcW w:w="739" w:type="dxa"/>
            <w:tcBorders>
              <w:top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27</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23</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21</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17</w:t>
            </w:r>
          </w:p>
        </w:tc>
        <w:tc>
          <w:tcPr>
            <w:tcW w:w="740" w:type="dxa"/>
            <w:tcBorders>
              <w:top w:val="nil"/>
              <w:left w:val="nil"/>
              <w:bottom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11</w:t>
            </w:r>
          </w:p>
        </w:tc>
        <w:tc>
          <w:tcPr>
            <w:tcW w:w="1074" w:type="dxa"/>
            <w:tcBorders>
              <w:top w:val="nil"/>
              <w:bottom w:val="single" w:sz="4" w:space="0" w:color="auto"/>
            </w:tcBorders>
            <w:noWrap/>
            <w:tcMar>
              <w:left w:w="115" w:type="dxa"/>
              <w:right w:w="288" w:type="dxa"/>
            </w:tcMar>
            <w:vAlign w:val="center"/>
          </w:tcPr>
          <w:p w:rsidR="007B3E55" w:rsidRPr="00D262A7" w:rsidRDefault="007B3E55" w:rsidP="00614C04">
            <w:pPr>
              <w:spacing w:before="20" w:after="120"/>
              <w:ind w:right="38"/>
              <w:jc w:val="right"/>
              <w:rPr>
                <w:rFonts w:cs="Arial"/>
                <w:sz w:val="16"/>
                <w:szCs w:val="16"/>
                <w:lang w:val="en-NZ"/>
              </w:rPr>
            </w:pPr>
            <w:r>
              <w:rPr>
                <w:rFonts w:cs="Arial"/>
                <w:sz w:val="16"/>
                <w:szCs w:val="16"/>
                <w:lang w:val="en-NZ"/>
              </w:rPr>
              <w:t>1070</w:t>
            </w:r>
          </w:p>
        </w:tc>
      </w:tr>
    </w:tbl>
    <w:p w:rsidR="007B3E55" w:rsidRPr="003C4D82" w:rsidRDefault="007B3E55" w:rsidP="007B3E55">
      <w:pPr>
        <w:rPr>
          <w:sz w:val="16"/>
          <w:szCs w:val="16"/>
          <w:lang w:val="en-NZ"/>
        </w:rPr>
      </w:pPr>
    </w:p>
    <w:p w:rsidR="007B3E55" w:rsidRPr="003C4D82" w:rsidRDefault="007B3E55" w:rsidP="007B3E55">
      <w:pPr>
        <w:rPr>
          <w:sz w:val="16"/>
          <w:szCs w:val="16"/>
          <w:lang w:val="en-NZ"/>
        </w:rPr>
      </w:pPr>
      <w:r w:rsidRPr="003C4D82">
        <w:rPr>
          <w:sz w:val="16"/>
          <w:szCs w:val="16"/>
          <w:lang w:val="en-NZ"/>
        </w:rPr>
        <w:t>Notes:</w:t>
      </w:r>
    </w:p>
    <w:p w:rsidR="007B3E55" w:rsidRPr="003C4D82" w:rsidRDefault="007B3E55" w:rsidP="007B3E55">
      <w:pPr>
        <w:spacing w:before="60"/>
        <w:ind w:left="548" w:hanging="274"/>
        <w:rPr>
          <w:sz w:val="16"/>
          <w:szCs w:val="16"/>
          <w:lang w:val="en-NZ"/>
        </w:rPr>
      </w:pPr>
      <w:r w:rsidRPr="003C4D82">
        <w:rPr>
          <w:sz w:val="16"/>
          <w:szCs w:val="16"/>
          <w:lang w:val="en-NZ"/>
        </w:rPr>
        <w:t>1</w:t>
      </w:r>
      <w:r w:rsidRPr="003C4D82">
        <w:rPr>
          <w:sz w:val="16"/>
          <w:szCs w:val="16"/>
          <w:lang w:val="en-NZ"/>
        </w:rPr>
        <w:tab/>
        <w:t>See note on page 29 for the need for caution in interpreting results for smaller sub-groups</w:t>
      </w:r>
      <w:r>
        <w:rPr>
          <w:sz w:val="16"/>
          <w:szCs w:val="16"/>
          <w:lang w:val="en-NZ"/>
        </w:rPr>
        <w:t>.</w:t>
      </w:r>
    </w:p>
    <w:p w:rsidR="007B3E55" w:rsidRPr="003C4D82" w:rsidRDefault="007B3E55" w:rsidP="007B3E55">
      <w:pPr>
        <w:spacing w:before="60"/>
        <w:ind w:left="548" w:hanging="274"/>
        <w:rPr>
          <w:sz w:val="16"/>
          <w:szCs w:val="16"/>
          <w:lang w:val="en-NZ"/>
        </w:rPr>
      </w:pPr>
      <w:r>
        <w:rPr>
          <w:sz w:val="16"/>
          <w:szCs w:val="16"/>
          <w:lang w:val="en-NZ"/>
        </w:rPr>
        <w:t>2</w:t>
      </w:r>
      <w:r>
        <w:rPr>
          <w:sz w:val="16"/>
          <w:szCs w:val="16"/>
          <w:lang w:val="en-NZ"/>
        </w:rPr>
        <w:tab/>
        <w:t xml:space="preserve">The sample numbers for children in non-family households are too small to give reliable estimates of their distribution across the quintiles. </w:t>
      </w:r>
    </w:p>
    <w:p w:rsidR="007B3E55" w:rsidRPr="001E360D" w:rsidRDefault="007B3E55" w:rsidP="007B3E55">
      <w:pPr>
        <w:pStyle w:val="Heading2"/>
        <w:rPr>
          <w:b w:val="0"/>
          <w:sz w:val="22"/>
          <w:szCs w:val="22"/>
        </w:rPr>
      </w:pPr>
    </w:p>
    <w:p w:rsidR="007B3E55" w:rsidRPr="001F42D8" w:rsidRDefault="007B3E55" w:rsidP="007B3E55">
      <w:pPr>
        <w:jc w:val="center"/>
        <w:rPr>
          <w:b/>
          <w:sz w:val="18"/>
          <w:lang w:val="en-NZ"/>
        </w:rPr>
      </w:pPr>
      <w:r>
        <w:rPr>
          <w:b/>
          <w:noProof/>
          <w:sz w:val="32"/>
          <w:szCs w:val="32"/>
          <w:lang w:val="en-US"/>
        </w:rPr>
        <w:pict>
          <v:shape id="_x0000_s1200" type="#_x0000_t202" style="position:absolute;left:0;text-align:left;margin-left:0;margin-top:33.95pt;width:219pt;height:92.25pt;z-index:251649536;mso-position-horizontal:center">
            <v:textbox>
              <w:txbxContent>
                <w:p w:rsidR="00DE4A2A" w:rsidRPr="009348B4" w:rsidRDefault="00DE4A2A" w:rsidP="007B3E55">
                  <w:pPr>
                    <w:spacing w:after="120"/>
                    <w:jc w:val="center"/>
                    <w:rPr>
                      <w:sz w:val="16"/>
                      <w:szCs w:val="16"/>
                      <w:lang w:val="en-NZ"/>
                    </w:rPr>
                  </w:pPr>
                  <w:r w:rsidRPr="009348B4">
                    <w:rPr>
                      <w:b/>
                      <w:sz w:val="16"/>
                      <w:szCs w:val="16"/>
                      <w:lang w:val="en-NZ"/>
                    </w:rPr>
                    <w:t>Interpreting Tables B</w:t>
                  </w:r>
                  <w:r>
                    <w:rPr>
                      <w:b/>
                      <w:sz w:val="16"/>
                      <w:szCs w:val="16"/>
                      <w:lang w:val="en-NZ"/>
                    </w:rPr>
                    <w:t>.7</w:t>
                  </w:r>
                  <w:r w:rsidRPr="009348B4">
                    <w:rPr>
                      <w:b/>
                      <w:sz w:val="16"/>
                      <w:szCs w:val="16"/>
                      <w:lang w:val="en-NZ"/>
                    </w:rPr>
                    <w:t xml:space="preserve"> and B.</w:t>
                  </w:r>
                  <w:r>
                    <w:rPr>
                      <w:b/>
                      <w:sz w:val="16"/>
                      <w:szCs w:val="16"/>
                      <w:lang w:val="en-NZ"/>
                    </w:rPr>
                    <w:t>8</w:t>
                  </w:r>
                  <w:r w:rsidRPr="009348B4">
                    <w:rPr>
                      <w:b/>
                      <w:sz w:val="16"/>
                      <w:szCs w:val="16"/>
                      <w:lang w:val="en-NZ"/>
                    </w:rPr>
                    <w:t>: an example</w:t>
                  </w:r>
                </w:p>
                <w:p w:rsidR="00DE4A2A" w:rsidRDefault="00DE4A2A" w:rsidP="007B3E55">
                  <w:pPr>
                    <w:rPr>
                      <w:sz w:val="16"/>
                      <w:szCs w:val="16"/>
                      <w:lang w:val="en-NZ"/>
                    </w:rPr>
                  </w:pPr>
                  <w:r>
                    <w:rPr>
                      <w:sz w:val="16"/>
                      <w:szCs w:val="16"/>
                      <w:lang w:val="en-NZ"/>
                    </w:rPr>
                    <w:t xml:space="preserve">Consider the 0-17 year old group (children).  </w:t>
                  </w:r>
                </w:p>
                <w:p w:rsidR="00DE4A2A" w:rsidRDefault="00DE4A2A" w:rsidP="00614C04">
                  <w:pPr>
                    <w:numPr>
                      <w:ilvl w:val="0"/>
                      <w:numId w:val="44"/>
                    </w:numPr>
                    <w:tabs>
                      <w:tab w:val="clear" w:pos="720"/>
                      <w:tab w:val="num" w:pos="270"/>
                    </w:tabs>
                    <w:ind w:left="270" w:hanging="180"/>
                    <w:rPr>
                      <w:sz w:val="16"/>
                      <w:szCs w:val="16"/>
                      <w:lang w:val="en-NZ"/>
                    </w:rPr>
                  </w:pPr>
                  <w:r w:rsidRPr="009348B4">
                    <w:rPr>
                      <w:sz w:val="16"/>
                      <w:szCs w:val="16"/>
                      <w:lang w:val="en-NZ"/>
                    </w:rPr>
                    <w:t>Table B.</w:t>
                  </w:r>
                  <w:r>
                    <w:rPr>
                      <w:sz w:val="16"/>
                      <w:szCs w:val="16"/>
                      <w:lang w:val="en-NZ"/>
                    </w:rPr>
                    <w:t>7 (distribution of children across the quintiles) shows that 51%</w:t>
                  </w:r>
                  <w:r w:rsidRPr="009348B4">
                    <w:rPr>
                      <w:sz w:val="16"/>
                      <w:szCs w:val="16"/>
                      <w:lang w:val="en-NZ"/>
                    </w:rPr>
                    <w:t xml:space="preserve"> </w:t>
                  </w:r>
                  <w:r>
                    <w:rPr>
                      <w:sz w:val="16"/>
                      <w:szCs w:val="16"/>
                      <w:lang w:val="en-NZ"/>
                    </w:rPr>
                    <w:t xml:space="preserve">of this group are in households in the bottom two income quintiles.  </w:t>
                  </w:r>
                </w:p>
                <w:p w:rsidR="00DE4A2A" w:rsidRPr="009348B4" w:rsidRDefault="00DE4A2A" w:rsidP="00614C04">
                  <w:pPr>
                    <w:numPr>
                      <w:ilvl w:val="0"/>
                      <w:numId w:val="44"/>
                    </w:numPr>
                    <w:tabs>
                      <w:tab w:val="clear" w:pos="720"/>
                      <w:tab w:val="num" w:pos="270"/>
                    </w:tabs>
                    <w:ind w:left="270" w:hanging="180"/>
                    <w:rPr>
                      <w:sz w:val="16"/>
                      <w:szCs w:val="16"/>
                      <w:lang w:val="en-NZ"/>
                    </w:rPr>
                  </w:pPr>
                  <w:r>
                    <w:rPr>
                      <w:sz w:val="16"/>
                      <w:szCs w:val="16"/>
                      <w:lang w:val="en-NZ"/>
                    </w:rPr>
                    <w:t>Table B.8 (composition of each quintile) shows that children make up 34% of all people in households with incomes in the bottom quintile.</w:t>
                  </w:r>
                </w:p>
              </w:txbxContent>
            </v:textbox>
          </v:shape>
        </w:pict>
      </w:r>
      <w:r>
        <w:rPr>
          <w:b/>
          <w:sz w:val="32"/>
          <w:szCs w:val="32"/>
        </w:rPr>
        <w:br w:type="page"/>
      </w:r>
      <w:r w:rsidRPr="001F42D8">
        <w:rPr>
          <w:b/>
          <w:sz w:val="18"/>
          <w:lang w:val="en-NZ"/>
        </w:rPr>
        <w:lastRenderedPageBreak/>
        <w:t>Table B.8</w:t>
      </w:r>
    </w:p>
    <w:p w:rsidR="007B3E55" w:rsidRPr="001F42D8" w:rsidRDefault="007B3E55" w:rsidP="007B3E55">
      <w:pPr>
        <w:jc w:val="center"/>
        <w:rPr>
          <w:b/>
          <w:sz w:val="18"/>
          <w:lang w:val="en-NZ"/>
        </w:rPr>
      </w:pPr>
      <w:r w:rsidRPr="001F42D8">
        <w:rPr>
          <w:b/>
          <w:sz w:val="18"/>
          <w:lang w:val="en-NZ"/>
        </w:rPr>
        <w:t>Composition of income quintiles (</w:t>
      </w:r>
      <w:smartTag w:uri="urn:schemas-microsoft-com:office:smarttags" w:element="stockticker">
        <w:r w:rsidRPr="001F42D8">
          <w:rPr>
            <w:b/>
            <w:sz w:val="18"/>
            <w:lang w:val="en-NZ"/>
          </w:rPr>
          <w:t>AHC</w:t>
        </w:r>
      </w:smartTag>
      <w:r w:rsidRPr="001F42D8">
        <w:rPr>
          <w:b/>
          <w:sz w:val="18"/>
          <w:lang w:val="en-NZ"/>
        </w:rPr>
        <w:t>)</w:t>
      </w:r>
    </w:p>
    <w:p w:rsidR="007B3E55" w:rsidRPr="001F42D8" w:rsidRDefault="007B3E55" w:rsidP="007B3E55">
      <w:pPr>
        <w:jc w:val="center"/>
        <w:rPr>
          <w:b/>
          <w:sz w:val="18"/>
          <w:lang w:val="en-NZ"/>
        </w:rPr>
      </w:pPr>
      <w:r w:rsidRPr="001F42D8">
        <w:rPr>
          <w:b/>
          <w:sz w:val="18"/>
          <w:lang w:val="en-NZ"/>
        </w:rPr>
        <w:t>by various household and individual characteristics (%)</w:t>
      </w:r>
    </w:p>
    <w:p w:rsidR="007B3E55" w:rsidRPr="001F42D8" w:rsidRDefault="007B3E55" w:rsidP="007B3E55">
      <w:pPr>
        <w:spacing w:before="60" w:after="120"/>
        <w:jc w:val="center"/>
        <w:rPr>
          <w:sz w:val="16"/>
          <w:szCs w:val="18"/>
          <w:lang w:val="en-NZ"/>
        </w:rPr>
      </w:pPr>
      <w:r w:rsidRPr="001F42D8">
        <w:rPr>
          <w:sz w:val="16"/>
          <w:szCs w:val="18"/>
          <w:lang w:val="en-NZ"/>
        </w:rPr>
        <w:t>(sum to 100% down columns)</w:t>
      </w:r>
    </w:p>
    <w:tbl>
      <w:tblPr>
        <w:tblStyle w:val="TableGrid"/>
        <w:tblW w:w="8910" w:type="dxa"/>
        <w:tblInd w:w="198" w:type="dxa"/>
        <w:tblLayout w:type="fixed"/>
        <w:tblLook w:val="01E0"/>
      </w:tblPr>
      <w:tblGrid>
        <w:gridCol w:w="4140"/>
        <w:gridCol w:w="739"/>
        <w:gridCol w:w="739"/>
        <w:gridCol w:w="739"/>
        <w:gridCol w:w="739"/>
        <w:gridCol w:w="740"/>
        <w:gridCol w:w="1074"/>
      </w:tblGrid>
      <w:tr w:rsidR="007B3E55">
        <w:trPr>
          <w:trHeight w:val="350"/>
        </w:trPr>
        <w:tc>
          <w:tcPr>
            <w:tcW w:w="4140" w:type="dxa"/>
            <w:vMerge w:val="restart"/>
            <w:vAlign w:val="center"/>
          </w:tcPr>
          <w:p w:rsidR="007B3E55" w:rsidRPr="00773DCF" w:rsidRDefault="007B3E55" w:rsidP="00614C04">
            <w:pPr>
              <w:jc w:val="center"/>
              <w:rPr>
                <w:b/>
                <w:sz w:val="20"/>
                <w:lang w:val="en-NZ"/>
              </w:rPr>
            </w:pPr>
            <w:r w:rsidRPr="00773DCF">
              <w:rPr>
                <w:b/>
                <w:sz w:val="20"/>
                <w:lang w:val="en-NZ"/>
              </w:rPr>
              <w:t>HES 200</w:t>
            </w:r>
            <w:r>
              <w:rPr>
                <w:b/>
                <w:sz w:val="20"/>
                <w:lang w:val="en-NZ"/>
              </w:rPr>
              <w:t>9</w:t>
            </w:r>
          </w:p>
        </w:tc>
        <w:tc>
          <w:tcPr>
            <w:tcW w:w="3696" w:type="dxa"/>
            <w:gridSpan w:val="5"/>
            <w:tcBorders>
              <w:bottom w:val="nil"/>
            </w:tcBorders>
            <w:vAlign w:val="center"/>
          </w:tcPr>
          <w:p w:rsidR="007B3E55" w:rsidRPr="00531701" w:rsidRDefault="007B3E55" w:rsidP="00614C04">
            <w:pPr>
              <w:jc w:val="center"/>
              <w:rPr>
                <w:b/>
                <w:sz w:val="16"/>
                <w:szCs w:val="16"/>
                <w:lang w:val="en-NZ"/>
              </w:rPr>
            </w:pPr>
            <w:r w:rsidRPr="00531701">
              <w:rPr>
                <w:b/>
                <w:sz w:val="16"/>
                <w:szCs w:val="16"/>
                <w:lang w:val="en-NZ"/>
              </w:rPr>
              <w:t>Equivalised disposable household income</w:t>
            </w:r>
          </w:p>
        </w:tc>
        <w:tc>
          <w:tcPr>
            <w:tcW w:w="1074" w:type="dxa"/>
            <w:vMerge w:val="restart"/>
            <w:vAlign w:val="center"/>
          </w:tcPr>
          <w:p w:rsidR="007B3E55" w:rsidRPr="00531701" w:rsidRDefault="007B3E55" w:rsidP="00614C04">
            <w:pPr>
              <w:ind w:left="-114" w:right="-108"/>
              <w:jc w:val="center"/>
              <w:rPr>
                <w:b/>
                <w:sz w:val="16"/>
                <w:szCs w:val="16"/>
                <w:lang w:val="en-NZ"/>
              </w:rPr>
            </w:pPr>
            <w:r>
              <w:rPr>
                <w:b/>
                <w:sz w:val="16"/>
                <w:szCs w:val="16"/>
                <w:lang w:val="en-NZ"/>
              </w:rPr>
              <w:t>Overall composition</w:t>
            </w:r>
          </w:p>
        </w:tc>
      </w:tr>
      <w:tr w:rsidR="007B3E55">
        <w:trPr>
          <w:trHeight w:val="377"/>
        </w:trPr>
        <w:tc>
          <w:tcPr>
            <w:tcW w:w="4140" w:type="dxa"/>
            <w:vMerge/>
            <w:tcBorders>
              <w:bottom w:val="single" w:sz="4" w:space="0" w:color="auto"/>
            </w:tcBorders>
            <w:vAlign w:val="center"/>
          </w:tcPr>
          <w:p w:rsidR="007B3E55" w:rsidRPr="00531701" w:rsidRDefault="007B3E55" w:rsidP="00614C04">
            <w:pPr>
              <w:jc w:val="both"/>
              <w:rPr>
                <w:sz w:val="16"/>
                <w:szCs w:val="16"/>
                <w:lang w:val="en-NZ"/>
              </w:rPr>
            </w:pPr>
          </w:p>
        </w:tc>
        <w:tc>
          <w:tcPr>
            <w:tcW w:w="739" w:type="dxa"/>
            <w:tcBorders>
              <w:top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Q1</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Q2</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Q3</w:t>
            </w:r>
          </w:p>
        </w:tc>
        <w:tc>
          <w:tcPr>
            <w:tcW w:w="739" w:type="dxa"/>
            <w:tcBorders>
              <w:top w:val="nil"/>
              <w:left w:val="nil"/>
              <w:bottom w:val="single" w:sz="4" w:space="0" w:color="auto"/>
              <w:right w:val="nil"/>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Q4</w:t>
            </w:r>
          </w:p>
        </w:tc>
        <w:tc>
          <w:tcPr>
            <w:tcW w:w="740" w:type="dxa"/>
            <w:tcBorders>
              <w:top w:val="nil"/>
              <w:left w:val="nil"/>
              <w:bottom w:val="single" w:sz="4" w:space="0" w:color="auto"/>
            </w:tcBorders>
            <w:noWrap/>
            <w:tcMar>
              <w:left w:w="115" w:type="dxa"/>
              <w:right w:w="216" w:type="dxa"/>
            </w:tcMar>
            <w:vAlign w:val="center"/>
          </w:tcPr>
          <w:p w:rsidR="007B3E55" w:rsidRPr="00531701" w:rsidRDefault="007B3E55" w:rsidP="00614C04">
            <w:pPr>
              <w:jc w:val="right"/>
              <w:rPr>
                <w:b/>
                <w:sz w:val="16"/>
                <w:szCs w:val="16"/>
                <w:lang w:val="en-NZ"/>
              </w:rPr>
            </w:pPr>
            <w:r w:rsidRPr="00531701">
              <w:rPr>
                <w:b/>
                <w:sz w:val="16"/>
                <w:szCs w:val="16"/>
                <w:lang w:val="en-NZ"/>
              </w:rPr>
              <w:t>Q5</w:t>
            </w:r>
          </w:p>
        </w:tc>
        <w:tc>
          <w:tcPr>
            <w:tcW w:w="1074" w:type="dxa"/>
            <w:vMerge/>
            <w:tcBorders>
              <w:bottom w:val="single" w:sz="4" w:space="0" w:color="auto"/>
            </w:tcBorders>
            <w:vAlign w:val="center"/>
          </w:tcPr>
          <w:p w:rsidR="007B3E55" w:rsidRPr="00531701" w:rsidRDefault="007B3E55" w:rsidP="00614C04">
            <w:pPr>
              <w:jc w:val="center"/>
              <w:rPr>
                <w:sz w:val="16"/>
                <w:szCs w:val="16"/>
                <w:lang w:val="en-NZ"/>
              </w:rPr>
            </w:pP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 xml:space="preserve">Age </w:t>
            </w:r>
          </w:p>
        </w:tc>
        <w:tc>
          <w:tcPr>
            <w:tcW w:w="739" w:type="dxa"/>
            <w:tcBorders>
              <w:left w:val="single" w:sz="4" w:space="0" w:color="auto"/>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0-17</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26</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18-2</w:t>
            </w:r>
            <w:r>
              <w:rPr>
                <w:rFonts w:cs="Arial"/>
                <w:sz w:val="16"/>
                <w:szCs w:val="16"/>
                <w:lang w:val="en-NZ"/>
              </w:rPr>
              <w:t>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10</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25-44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45</w:t>
            </w:r>
            <w:r w:rsidRPr="003A2455">
              <w:rPr>
                <w:rFonts w:cs="Arial"/>
                <w:sz w:val="16"/>
                <w:szCs w:val="16"/>
                <w:lang w:val="en-NZ"/>
              </w:rPr>
              <w:t>-64</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20</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38</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25</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65</w:t>
            </w:r>
            <w:r>
              <w:rPr>
                <w:rFonts w:cs="Arial"/>
                <w:sz w:val="16"/>
                <w:szCs w:val="16"/>
                <w:lang w:val="en-NZ"/>
              </w:rPr>
              <w:t>+</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1074" w:type="dxa"/>
            <w:tcBorders>
              <w:top w:val="nil"/>
              <w:left w:val="single" w:sz="4" w:space="0" w:color="auto"/>
              <w:bottom w:val="nil"/>
            </w:tcBorders>
            <w:noWrap/>
            <w:tcMar>
              <w:right w:w="288" w:type="dxa"/>
            </w:tcMar>
            <w:vAlign w:val="center"/>
          </w:tcPr>
          <w:p w:rsidR="007B3E55" w:rsidRPr="00D262A7" w:rsidRDefault="007B3E55" w:rsidP="00614C04">
            <w:pPr>
              <w:spacing w:before="20" w:after="20"/>
              <w:jc w:val="right"/>
              <w:rPr>
                <w:rFonts w:cs="Arial"/>
                <w:sz w:val="16"/>
                <w:szCs w:val="16"/>
                <w:lang w:val="en-NZ"/>
              </w:rPr>
            </w:pPr>
            <w:r>
              <w:rPr>
                <w:rFonts w:cs="Arial"/>
                <w:sz w:val="16"/>
                <w:szCs w:val="16"/>
                <w:lang w:val="en-NZ"/>
              </w:rPr>
              <w:t>12</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tcBorders>
            <w:noWrap/>
            <w:tcMar>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bottom w:val="nil"/>
              <w:right w:val="single" w:sz="4" w:space="0" w:color="auto"/>
            </w:tcBorders>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Household type</w:t>
            </w:r>
          </w:p>
        </w:tc>
        <w:tc>
          <w:tcPr>
            <w:tcW w:w="739" w:type="dxa"/>
            <w:tcBorders>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left w:val="single" w:sz="4" w:space="0" w:color="auto"/>
              <w:bottom w:val="nil"/>
            </w:tcBorders>
            <w:noWrap/>
            <w:tcMar>
              <w:right w:w="288" w:type="dxa"/>
            </w:tcMar>
            <w:vAlign w:val="center"/>
          </w:tcPr>
          <w:p w:rsidR="007B3E55" w:rsidRPr="003A2455" w:rsidRDefault="007B3E55" w:rsidP="00614C04">
            <w:pPr>
              <w:spacing w:before="20" w:after="20"/>
              <w:rPr>
                <w:rFonts w:cs="Arial"/>
                <w:sz w:val="16"/>
                <w:szCs w:val="16"/>
                <w:lang w:val="en-NZ"/>
              </w:rPr>
            </w:pP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4</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8</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One person</w:t>
            </w:r>
            <w:r w:rsidRPr="003A2455">
              <w:rPr>
                <w:rFonts w:cs="Arial"/>
                <w:sz w:val="16"/>
                <w:szCs w:val="16"/>
                <w:lang w:val="en-NZ"/>
              </w:rPr>
              <w:t xml:space="preserv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5</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Couple under 65</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26</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13</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SP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8</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2P</w:t>
            </w:r>
            <w:r w:rsidRPr="003A2455">
              <w:rPr>
                <w:rFonts w:cs="Arial"/>
                <w:sz w:val="16"/>
                <w:szCs w:val="16"/>
                <w:lang w:val="en-NZ"/>
              </w:rPr>
              <w:t xml:space="preserve">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45</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25</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37</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Family</w:t>
            </w:r>
            <w:r w:rsidRPr="003A2455">
              <w:rPr>
                <w:rFonts w:cs="Arial"/>
                <w:sz w:val="16"/>
                <w:szCs w:val="16"/>
                <w:lang w:val="en-NZ"/>
              </w:rPr>
              <w:t xml:space="preserve"> HHs with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9</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 family HHs with no dependent children</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11</w:t>
            </w:r>
          </w:p>
        </w:tc>
      </w:tr>
      <w:tr w:rsidR="007B3E55">
        <w:tc>
          <w:tcPr>
            <w:tcW w:w="4140" w:type="dxa"/>
            <w:tcBorders>
              <w:top w:val="nil"/>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Non-family HHs</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1074" w:type="dxa"/>
            <w:tcBorders>
              <w:top w:val="nil"/>
              <w:left w:val="single" w:sz="4" w:space="0" w:color="auto"/>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w:t>
            </w:r>
          </w:p>
        </w:tc>
      </w:tr>
      <w:tr w:rsidR="007B3E55">
        <w:tc>
          <w:tcPr>
            <w:tcW w:w="4140" w:type="dxa"/>
            <w:tcBorders>
              <w:top w:val="nil"/>
              <w:bottom w:val="single" w:sz="4" w:space="0" w:color="auto"/>
              <w:right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tcBorders>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bottom w:val="nil"/>
              <w:right w:val="single" w:sz="4" w:space="0" w:color="auto"/>
            </w:tcBorders>
            <w:shd w:val="clear" w:color="auto" w:fill="auto"/>
            <w:vAlign w:val="center"/>
          </w:tcPr>
          <w:p w:rsidR="007B3E55" w:rsidRPr="003A2455" w:rsidRDefault="007B3E55" w:rsidP="00614C04">
            <w:pPr>
              <w:spacing w:before="20" w:after="20"/>
              <w:rPr>
                <w:rFonts w:cs="Arial"/>
                <w:b/>
                <w:sz w:val="16"/>
                <w:szCs w:val="16"/>
                <w:lang w:val="en-NZ"/>
              </w:rPr>
            </w:pPr>
            <w:r w:rsidRPr="003A2455">
              <w:rPr>
                <w:rFonts w:cs="Arial"/>
                <w:b/>
                <w:sz w:val="16"/>
                <w:szCs w:val="16"/>
                <w:lang w:val="en-NZ"/>
              </w:rPr>
              <w:t>Ethnicity</w:t>
            </w:r>
            <w:r>
              <w:rPr>
                <w:rFonts w:cs="Arial"/>
                <w:b/>
                <w:sz w:val="16"/>
                <w:szCs w:val="16"/>
                <w:lang w:val="en-NZ"/>
              </w:rPr>
              <w:t xml:space="preserve"> </w:t>
            </w:r>
            <w:r>
              <w:rPr>
                <w:rFonts w:cs="Arial"/>
                <w:b/>
                <w:sz w:val="16"/>
                <w:szCs w:val="16"/>
                <w:lang w:val="en-NZ"/>
              </w:rPr>
              <w:tab/>
            </w:r>
            <w:r>
              <w:rPr>
                <w:rFonts w:cs="Arial"/>
                <w:b/>
                <w:sz w:val="16"/>
                <w:szCs w:val="16"/>
                <w:lang w:val="en-NZ"/>
              </w:rPr>
              <w:tab/>
            </w:r>
            <w:r>
              <w:rPr>
                <w:rFonts w:cs="Arial"/>
                <w:b/>
                <w:sz w:val="16"/>
                <w:szCs w:val="16"/>
                <w:lang w:val="en-NZ"/>
              </w:rPr>
              <w:tab/>
            </w:r>
          </w:p>
        </w:tc>
        <w:tc>
          <w:tcPr>
            <w:tcW w:w="739" w:type="dxa"/>
            <w:tcBorders>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39" w:type="dxa"/>
            <w:tcBorders>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740" w:type="dxa"/>
            <w:tcBorders>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rPr>
                <w:rFonts w:cs="Arial"/>
                <w:sz w:val="16"/>
                <w:szCs w:val="16"/>
                <w:lang w:val="en-NZ"/>
              </w:rPr>
            </w:pPr>
          </w:p>
        </w:tc>
        <w:tc>
          <w:tcPr>
            <w:tcW w:w="1074" w:type="dxa"/>
            <w:tcBorders>
              <w:bottom w:val="nil"/>
            </w:tcBorders>
            <w:shd w:val="clear" w:color="auto" w:fill="auto"/>
            <w:noWrap/>
            <w:tcMar>
              <w:left w:w="115" w:type="dxa"/>
              <w:right w:w="288" w:type="dxa"/>
            </w:tcMar>
            <w:vAlign w:val="center"/>
          </w:tcPr>
          <w:p w:rsidR="007B3E55" w:rsidRPr="003A2455" w:rsidRDefault="007B3E55" w:rsidP="00614C04">
            <w:pPr>
              <w:spacing w:before="20" w:after="20"/>
              <w:ind w:right="38"/>
              <w:rPr>
                <w:rFonts w:cs="Arial"/>
                <w:sz w:val="16"/>
                <w:szCs w:val="16"/>
                <w:lang w:val="en-NZ"/>
              </w:rPr>
            </w:pP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European</w:t>
            </w:r>
            <w:r>
              <w:rPr>
                <w:rFonts w:cs="Arial"/>
                <w:sz w:val="16"/>
                <w:szCs w:val="16"/>
                <w:lang w:val="en-NZ"/>
              </w:rPr>
              <w:t>/Pākehā</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51</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64</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65</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72</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81</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67</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NZ M</w:t>
            </w:r>
            <w:r>
              <w:rPr>
                <w:rFonts w:cs="Arial"/>
                <w:sz w:val="16"/>
                <w:szCs w:val="16"/>
                <w:lang w:val="en-NZ"/>
              </w:rPr>
              <w:t>ā</w:t>
            </w:r>
            <w:r w:rsidRPr="003A2455">
              <w:rPr>
                <w:rFonts w:cs="Arial"/>
                <w:sz w:val="16"/>
                <w:szCs w:val="16"/>
                <w:lang w:val="en-NZ"/>
              </w:rPr>
              <w:t>ori</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21</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15</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Pacific</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11</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7</w:t>
            </w:r>
          </w:p>
        </w:tc>
      </w:tr>
      <w:tr w:rsidR="007B3E55">
        <w:tc>
          <w:tcPr>
            <w:tcW w:w="4140" w:type="dxa"/>
            <w:tcBorders>
              <w:top w:val="nil"/>
              <w:bottom w:val="nil"/>
              <w:right w:val="single" w:sz="4" w:space="0" w:color="auto"/>
            </w:tcBorders>
            <w:shd w:val="clear" w:color="auto" w:fill="auto"/>
            <w:vAlign w:val="center"/>
          </w:tcPr>
          <w:p w:rsidR="007B3E55" w:rsidRPr="003A2455" w:rsidRDefault="007B3E55" w:rsidP="00614C04">
            <w:pPr>
              <w:spacing w:before="20" w:after="20"/>
              <w:ind w:left="360"/>
              <w:rPr>
                <w:rFonts w:cs="Arial"/>
                <w:sz w:val="16"/>
                <w:szCs w:val="16"/>
                <w:lang w:val="en-NZ"/>
              </w:rPr>
            </w:pPr>
            <w:r w:rsidRPr="003A2455">
              <w:rPr>
                <w:rFonts w:cs="Arial"/>
                <w:sz w:val="16"/>
                <w:szCs w:val="16"/>
                <w:lang w:val="en-NZ"/>
              </w:rPr>
              <w:t>Other</w:t>
            </w:r>
          </w:p>
        </w:tc>
        <w:tc>
          <w:tcPr>
            <w:tcW w:w="739" w:type="dxa"/>
            <w:tcBorders>
              <w:top w:val="nil"/>
              <w:left w:val="single" w:sz="4" w:space="0" w:color="auto"/>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18</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14</w:t>
            </w:r>
          </w:p>
        </w:tc>
        <w:tc>
          <w:tcPr>
            <w:tcW w:w="739" w:type="dxa"/>
            <w:tcBorders>
              <w:top w:val="nil"/>
              <w:left w:val="nil"/>
              <w:bottom w:val="nil"/>
              <w:right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w:t>
            </w:r>
          </w:p>
        </w:tc>
        <w:tc>
          <w:tcPr>
            <w:tcW w:w="740" w:type="dxa"/>
            <w:tcBorders>
              <w:top w:val="nil"/>
              <w:left w:val="nil"/>
              <w:bottom w:val="nil"/>
            </w:tcBorders>
            <w:shd w:val="clear" w:color="auto" w:fill="auto"/>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w:t>
            </w:r>
          </w:p>
        </w:tc>
        <w:tc>
          <w:tcPr>
            <w:tcW w:w="1074" w:type="dxa"/>
            <w:tcBorders>
              <w:top w:val="nil"/>
              <w:bottom w:val="nil"/>
            </w:tcBorders>
            <w:shd w:val="clear" w:color="auto" w:fill="auto"/>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12</w:t>
            </w:r>
          </w:p>
        </w:tc>
      </w:tr>
      <w:tr w:rsidR="007B3E55">
        <w:tc>
          <w:tcPr>
            <w:tcW w:w="4140" w:type="dxa"/>
            <w:tcBorders>
              <w:top w:val="nil"/>
              <w:bottom w:val="single" w:sz="4" w:space="0" w:color="auto"/>
              <w:right w:val="single" w:sz="4" w:space="0" w:color="auto"/>
            </w:tcBorders>
            <w:shd w:val="clear" w:color="auto" w:fill="auto"/>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w:t>
            </w:r>
          </w:p>
        </w:tc>
        <w:tc>
          <w:tcPr>
            <w:tcW w:w="739" w:type="dxa"/>
            <w:tcBorders>
              <w:top w:val="nil"/>
              <w:left w:val="single" w:sz="4" w:space="0" w:color="auto"/>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tcBorders>
            <w:shd w:val="clear" w:color="auto" w:fill="auto"/>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bottom w:val="single" w:sz="4" w:space="0" w:color="auto"/>
            </w:tcBorders>
            <w:shd w:val="clear" w:color="auto" w:fill="auto"/>
            <w:noWrap/>
            <w:tcMar>
              <w:left w:w="115" w:type="dxa"/>
              <w:right w:w="288" w:type="dxa"/>
            </w:tcMar>
            <w:vAlign w:val="center"/>
          </w:tcPr>
          <w:p w:rsidR="007B3E55" w:rsidRDefault="007B3E55" w:rsidP="00614C04">
            <w:pPr>
              <w:spacing w:before="20" w:after="120"/>
              <w:jc w:val="right"/>
              <w:rPr>
                <w:rFonts w:cs="Arial"/>
                <w:sz w:val="16"/>
                <w:szCs w:val="16"/>
                <w:lang w:val="en-NZ"/>
              </w:rPr>
            </w:pPr>
            <w:r>
              <w:rPr>
                <w:rFonts w:cs="Arial"/>
                <w:sz w:val="16"/>
                <w:szCs w:val="16"/>
                <w:lang w:val="en-NZ"/>
              </w:rPr>
              <w:t>100</w:t>
            </w:r>
          </w:p>
        </w:tc>
      </w:tr>
      <w:tr w:rsidR="007B3E55">
        <w:tc>
          <w:tcPr>
            <w:tcW w:w="4140" w:type="dxa"/>
            <w:tcBorders>
              <w:top w:val="single" w:sz="4" w:space="0" w:color="auto"/>
              <w:left w:val="single" w:sz="4" w:space="0" w:color="auto"/>
              <w:bottom w:val="nil"/>
              <w:right w:val="single" w:sz="4" w:space="0" w:color="auto"/>
            </w:tcBorders>
            <w:vAlign w:val="center"/>
          </w:tcPr>
          <w:p w:rsidR="007B3E55" w:rsidRPr="00BB1224" w:rsidRDefault="007B3E55" w:rsidP="00614C04">
            <w:pPr>
              <w:spacing w:before="20" w:after="20"/>
              <w:rPr>
                <w:rFonts w:cs="Arial"/>
                <w:b/>
                <w:sz w:val="16"/>
                <w:szCs w:val="16"/>
                <w:lang w:val="en-NZ"/>
              </w:rPr>
            </w:pPr>
            <w:r>
              <w:rPr>
                <w:rFonts w:cs="Arial"/>
                <w:b/>
                <w:sz w:val="16"/>
                <w:szCs w:val="16"/>
                <w:lang w:val="en-NZ"/>
              </w:rPr>
              <w:t>Main source of income</w:t>
            </w:r>
          </w:p>
        </w:tc>
        <w:tc>
          <w:tcPr>
            <w:tcW w:w="739" w:type="dxa"/>
            <w:tcBorders>
              <w:top w:val="single" w:sz="4" w:space="0" w:color="auto"/>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top w:val="single" w:sz="4" w:space="0" w:color="auto"/>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top w:val="single" w:sz="4" w:space="0" w:color="auto"/>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Market</w:t>
            </w:r>
            <w:r w:rsidRPr="003A2455">
              <w:rPr>
                <w:rFonts w:cs="Arial"/>
                <w:sz w:val="16"/>
                <w:szCs w:val="16"/>
                <w:lang w:val="en-NZ"/>
              </w:rPr>
              <w:t xml:space="preserve"> </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69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99</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81</w:t>
            </w:r>
          </w:p>
        </w:tc>
      </w:tr>
      <w:tr w:rsidR="007B3E55">
        <w:tc>
          <w:tcPr>
            <w:tcW w:w="4140" w:type="dxa"/>
            <w:tcBorders>
              <w:top w:val="nil"/>
              <w:left w:val="single" w:sz="4" w:space="0" w:color="auto"/>
              <w:bottom w:val="nil"/>
              <w:right w:val="single" w:sz="4" w:space="0" w:color="auto"/>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Government transfer</w:t>
            </w:r>
          </w:p>
        </w:tc>
        <w:tc>
          <w:tcPr>
            <w:tcW w:w="739" w:type="dxa"/>
            <w:tcBorders>
              <w:top w:val="nil"/>
              <w:left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31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9</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w:t>
            </w:r>
          </w:p>
        </w:tc>
        <w:tc>
          <w:tcPr>
            <w:tcW w:w="740" w:type="dxa"/>
            <w:tcBorders>
              <w:top w:val="nil"/>
              <w:left w:val="nil"/>
              <w:bottom w:val="nil"/>
              <w:right w:val="single" w:sz="4" w:space="0" w:color="auto"/>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0</w:t>
            </w:r>
          </w:p>
        </w:tc>
        <w:tc>
          <w:tcPr>
            <w:tcW w:w="1074" w:type="dxa"/>
            <w:tcBorders>
              <w:top w:val="nil"/>
              <w:left w:val="single" w:sz="4" w:space="0" w:color="auto"/>
              <w:bottom w:val="nil"/>
              <w:right w:val="single" w:sz="4" w:space="0" w:color="auto"/>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r>
              <w:rPr>
                <w:rFonts w:cs="Arial"/>
                <w:sz w:val="16"/>
                <w:szCs w:val="16"/>
                <w:lang w:val="en-NZ"/>
              </w:rPr>
              <w:t>19</w:t>
            </w:r>
          </w:p>
        </w:tc>
      </w:tr>
      <w:tr w:rsidR="007B3E55">
        <w:trPr>
          <w:trHeight w:val="297"/>
        </w:trPr>
        <w:tc>
          <w:tcPr>
            <w:tcW w:w="4140" w:type="dxa"/>
            <w:tcBorders>
              <w:top w:val="nil"/>
              <w:left w:val="single" w:sz="4" w:space="0" w:color="auto"/>
              <w:bottom w:val="single" w:sz="4" w:space="0" w:color="auto"/>
              <w:right w:val="single" w:sz="4" w:space="0" w:color="auto"/>
            </w:tcBorders>
            <w:vAlign w:val="center"/>
          </w:tcPr>
          <w:p w:rsidR="007B3E55" w:rsidRPr="00BA2CFF" w:rsidRDefault="007B3E55" w:rsidP="00614C04">
            <w:pPr>
              <w:spacing w:before="20" w:after="20"/>
              <w:ind w:left="342"/>
              <w:rPr>
                <w:rFonts w:cs="Arial"/>
                <w:sz w:val="16"/>
                <w:szCs w:val="16"/>
                <w:lang w:val="en-NZ"/>
              </w:rPr>
            </w:pPr>
            <w:r w:rsidRPr="00BA2CFF">
              <w:rPr>
                <w:rFonts w:cs="Arial"/>
                <w:sz w:val="16"/>
                <w:szCs w:val="16"/>
                <w:lang w:val="en-NZ"/>
              </w:rPr>
              <w:t>All</w:t>
            </w:r>
          </w:p>
        </w:tc>
        <w:tc>
          <w:tcPr>
            <w:tcW w:w="739" w:type="dxa"/>
            <w:tcBorders>
              <w:top w:val="nil"/>
              <w:left w:val="single" w:sz="4" w:space="0" w:color="auto"/>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right w:val="single" w:sz="4" w:space="0" w:color="auto"/>
            </w:tcBorders>
            <w:noWrap/>
            <w:tcMar>
              <w:left w:w="115" w:type="dxa"/>
              <w:right w:w="288" w:type="dxa"/>
            </w:tcMar>
            <w:vAlign w:val="center"/>
          </w:tcPr>
          <w:p w:rsidR="007B3E55" w:rsidRPr="003A2455" w:rsidRDefault="007B3E55" w:rsidP="00614C04">
            <w:pPr>
              <w:spacing w:before="20" w:after="80"/>
              <w:ind w:right="-89"/>
              <w:jc w:val="right"/>
              <w:rPr>
                <w:rFonts w:cs="Arial"/>
                <w:sz w:val="16"/>
                <w:szCs w:val="16"/>
                <w:lang w:val="en-NZ"/>
              </w:rPr>
            </w:pPr>
            <w:r>
              <w:rPr>
                <w:rFonts w:cs="Arial"/>
                <w:sz w:val="16"/>
                <w:szCs w:val="16"/>
                <w:lang w:val="en-NZ"/>
              </w:rPr>
              <w:t>100</w:t>
            </w:r>
          </w:p>
        </w:tc>
        <w:tc>
          <w:tcPr>
            <w:tcW w:w="1074" w:type="dxa"/>
            <w:tcBorders>
              <w:top w:val="nil"/>
              <w:left w:val="single" w:sz="4" w:space="0" w:color="auto"/>
              <w:bottom w:val="single" w:sz="4" w:space="0" w:color="auto"/>
              <w:right w:val="single" w:sz="4" w:space="0" w:color="auto"/>
            </w:tcBorders>
            <w:noWrap/>
            <w:tcMar>
              <w:left w:w="115" w:type="dxa"/>
              <w:right w:w="288" w:type="dxa"/>
            </w:tcMar>
            <w:vAlign w:val="center"/>
          </w:tcPr>
          <w:p w:rsidR="007B3E55" w:rsidRDefault="007B3E55" w:rsidP="00614C04">
            <w:pPr>
              <w:spacing w:before="20" w:after="80"/>
              <w:jc w:val="right"/>
              <w:rPr>
                <w:rFonts w:cs="Arial"/>
                <w:sz w:val="16"/>
                <w:szCs w:val="16"/>
                <w:lang w:val="en-NZ"/>
              </w:rPr>
            </w:pPr>
            <w:r>
              <w:rPr>
                <w:rFonts w:cs="Arial"/>
                <w:sz w:val="16"/>
                <w:szCs w:val="16"/>
                <w:lang w:val="en-NZ"/>
              </w:rPr>
              <w:t>100</w:t>
            </w:r>
          </w:p>
        </w:tc>
      </w:tr>
      <w:tr w:rsidR="007B3E55">
        <w:tc>
          <w:tcPr>
            <w:tcW w:w="4140" w:type="dxa"/>
            <w:tcBorders>
              <w:top w:val="single" w:sz="4" w:space="0" w:color="auto"/>
              <w:bottom w:val="nil"/>
            </w:tcBorders>
            <w:vAlign w:val="center"/>
          </w:tcPr>
          <w:p w:rsidR="007B3E55" w:rsidRPr="00BB1224" w:rsidRDefault="007B3E55" w:rsidP="00614C04">
            <w:pPr>
              <w:spacing w:before="20" w:after="20"/>
              <w:rPr>
                <w:rFonts w:cs="Arial"/>
                <w:b/>
                <w:sz w:val="16"/>
                <w:szCs w:val="16"/>
                <w:lang w:val="en-NZ"/>
              </w:rPr>
            </w:pPr>
            <w:r w:rsidRPr="00BB1224">
              <w:rPr>
                <w:rFonts w:cs="Arial"/>
                <w:b/>
                <w:sz w:val="16"/>
                <w:szCs w:val="16"/>
                <w:lang w:val="en-NZ"/>
              </w:rPr>
              <w:t>Children by household type</w:t>
            </w:r>
          </w:p>
        </w:tc>
        <w:tc>
          <w:tcPr>
            <w:tcW w:w="739" w:type="dxa"/>
            <w:tcBorders>
              <w:top w:val="single" w:sz="4" w:space="0" w:color="auto"/>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39" w:type="dxa"/>
            <w:tcBorders>
              <w:top w:val="single" w:sz="4" w:space="0" w:color="auto"/>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740" w:type="dxa"/>
            <w:tcBorders>
              <w:top w:val="single" w:sz="4" w:space="0" w:color="auto"/>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p>
        </w:tc>
        <w:tc>
          <w:tcPr>
            <w:tcW w:w="1074" w:type="dxa"/>
            <w:tcBorders>
              <w:top w:val="single" w:sz="4" w:space="0" w:color="auto"/>
              <w:bottom w:val="nil"/>
            </w:tcBorders>
            <w:noWrap/>
            <w:tcMar>
              <w:left w:w="115" w:type="dxa"/>
              <w:right w:w="288" w:type="dxa"/>
            </w:tcMar>
            <w:vAlign w:val="center"/>
          </w:tcPr>
          <w:p w:rsidR="007B3E55" w:rsidRPr="003A2455" w:rsidRDefault="007B3E55" w:rsidP="00614C04">
            <w:pPr>
              <w:spacing w:before="20" w:after="20"/>
              <w:ind w:right="38"/>
              <w:jc w:val="right"/>
              <w:rPr>
                <w:rFonts w:cs="Arial"/>
                <w:sz w:val="16"/>
                <w:szCs w:val="16"/>
                <w:lang w:val="en-NZ"/>
              </w:rPr>
            </w:pP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SP</w:t>
            </w:r>
            <w:r w:rsidRPr="003A2455">
              <w:rPr>
                <w:rFonts w:cs="Arial"/>
                <w:sz w:val="16"/>
                <w:szCs w:val="16"/>
                <w:lang w:val="en-NZ"/>
              </w:rPr>
              <w:t xml:space="preserve"> HHs </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5</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20</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 in 2P</w:t>
            </w:r>
            <w:r w:rsidRPr="003A2455">
              <w:rPr>
                <w:rFonts w:cs="Arial"/>
                <w:sz w:val="16"/>
                <w:szCs w:val="16"/>
                <w:lang w:val="en-NZ"/>
              </w:rPr>
              <w:t xml:space="preserve">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47</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71</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81</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78</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67</w:t>
            </w:r>
          </w:p>
        </w:tc>
      </w:tr>
      <w:tr w:rsidR="007B3E55">
        <w:tc>
          <w:tcPr>
            <w:tcW w:w="4140" w:type="dxa"/>
            <w:tcBorders>
              <w:top w:val="nil"/>
              <w:bottom w:val="nil"/>
            </w:tcBorders>
            <w:vAlign w:val="center"/>
          </w:tcPr>
          <w:p w:rsidR="007B3E55" w:rsidRPr="003A2455" w:rsidRDefault="007B3E55" w:rsidP="00614C04">
            <w:pPr>
              <w:spacing w:before="20" w:after="20"/>
              <w:ind w:left="360"/>
              <w:rPr>
                <w:rFonts w:cs="Arial"/>
                <w:sz w:val="16"/>
                <w:szCs w:val="16"/>
                <w:lang w:val="en-NZ"/>
              </w:rPr>
            </w:pPr>
            <w:r>
              <w:rPr>
                <w:rFonts w:cs="Arial"/>
                <w:sz w:val="16"/>
                <w:szCs w:val="16"/>
                <w:lang w:val="en-NZ"/>
              </w:rPr>
              <w:t>Children</w:t>
            </w:r>
            <w:r w:rsidRPr="003A2455">
              <w:rPr>
                <w:rFonts w:cs="Arial"/>
                <w:sz w:val="16"/>
                <w:szCs w:val="16"/>
                <w:lang w:val="en-NZ"/>
              </w:rPr>
              <w:t xml:space="preserve"> in other family HHs</w:t>
            </w:r>
          </w:p>
        </w:tc>
        <w:tc>
          <w:tcPr>
            <w:tcW w:w="739" w:type="dxa"/>
            <w:tcBorders>
              <w:top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8</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12</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15</w:t>
            </w:r>
          </w:p>
        </w:tc>
        <w:tc>
          <w:tcPr>
            <w:tcW w:w="739" w:type="dxa"/>
            <w:tcBorders>
              <w:top w:val="nil"/>
              <w:left w:val="nil"/>
              <w:bottom w:val="nil"/>
              <w:right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13</w:t>
            </w:r>
          </w:p>
        </w:tc>
        <w:tc>
          <w:tcPr>
            <w:tcW w:w="740" w:type="dxa"/>
            <w:tcBorders>
              <w:top w:val="nil"/>
              <w:left w:val="nil"/>
              <w:bottom w:val="nil"/>
            </w:tcBorders>
            <w:noWrap/>
            <w:tcMar>
              <w:left w:w="115" w:type="dxa"/>
              <w:right w:w="288" w:type="dxa"/>
            </w:tcMar>
            <w:vAlign w:val="center"/>
          </w:tcPr>
          <w:p w:rsidR="007B3E55" w:rsidRPr="003A2455" w:rsidRDefault="007B3E55" w:rsidP="00614C04">
            <w:pPr>
              <w:spacing w:before="20" w:after="20"/>
              <w:ind w:right="-89"/>
              <w:jc w:val="right"/>
              <w:rPr>
                <w:rFonts w:cs="Arial"/>
                <w:sz w:val="16"/>
                <w:szCs w:val="16"/>
                <w:lang w:val="en-NZ"/>
              </w:rPr>
            </w:pPr>
            <w:r>
              <w:rPr>
                <w:rFonts w:cs="Arial"/>
                <w:sz w:val="16"/>
                <w:szCs w:val="16"/>
                <w:lang w:val="en-NZ"/>
              </w:rPr>
              <w:t>16</w:t>
            </w:r>
          </w:p>
        </w:tc>
        <w:tc>
          <w:tcPr>
            <w:tcW w:w="1074" w:type="dxa"/>
            <w:tcBorders>
              <w:top w:val="nil"/>
              <w:bottom w:val="nil"/>
            </w:tcBorders>
            <w:noWrap/>
            <w:tcMar>
              <w:left w:w="115" w:type="dxa"/>
              <w:right w:w="288" w:type="dxa"/>
            </w:tcMar>
            <w:vAlign w:val="center"/>
          </w:tcPr>
          <w:p w:rsidR="007B3E55" w:rsidRPr="00D262A7" w:rsidRDefault="007B3E55" w:rsidP="00614C04">
            <w:pPr>
              <w:spacing w:before="20" w:after="20"/>
              <w:ind w:right="38"/>
              <w:jc w:val="right"/>
              <w:rPr>
                <w:rFonts w:cs="Arial"/>
                <w:sz w:val="16"/>
                <w:szCs w:val="16"/>
                <w:lang w:val="en-NZ"/>
              </w:rPr>
            </w:pPr>
            <w:r>
              <w:rPr>
                <w:rFonts w:cs="Arial"/>
                <w:sz w:val="16"/>
                <w:szCs w:val="16"/>
                <w:lang w:val="en-NZ"/>
              </w:rPr>
              <w:t>12</w:t>
            </w:r>
          </w:p>
        </w:tc>
      </w:tr>
      <w:tr w:rsidR="007B3E55">
        <w:tc>
          <w:tcPr>
            <w:tcW w:w="4140" w:type="dxa"/>
            <w:tcBorders>
              <w:top w:val="nil"/>
              <w:bottom w:val="nil"/>
            </w:tcBorders>
            <w:vAlign w:val="center"/>
          </w:tcPr>
          <w:p w:rsidR="007B3E55" w:rsidRDefault="007B3E55" w:rsidP="00614C04">
            <w:pPr>
              <w:spacing w:before="20" w:after="20"/>
              <w:ind w:left="360"/>
              <w:rPr>
                <w:rFonts w:cs="Arial"/>
                <w:sz w:val="16"/>
                <w:szCs w:val="16"/>
                <w:lang w:val="en-NZ"/>
              </w:rPr>
            </w:pPr>
            <w:r>
              <w:rPr>
                <w:rFonts w:cs="Arial"/>
                <w:sz w:val="16"/>
                <w:szCs w:val="16"/>
                <w:lang w:val="en-NZ"/>
              </w:rPr>
              <w:t>Children in non-family HHs</w:t>
            </w:r>
          </w:p>
        </w:tc>
        <w:tc>
          <w:tcPr>
            <w:tcW w:w="739" w:type="dxa"/>
            <w:tcBorders>
              <w:top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1</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0</w:t>
            </w:r>
          </w:p>
        </w:tc>
        <w:tc>
          <w:tcPr>
            <w:tcW w:w="739" w:type="dxa"/>
            <w:tcBorders>
              <w:top w:val="nil"/>
              <w:left w:val="nil"/>
              <w:bottom w:val="nil"/>
              <w:right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w:t>
            </w:r>
          </w:p>
        </w:tc>
        <w:tc>
          <w:tcPr>
            <w:tcW w:w="740" w:type="dxa"/>
            <w:tcBorders>
              <w:top w:val="nil"/>
              <w:left w:val="nil"/>
              <w:bottom w:val="nil"/>
            </w:tcBorders>
            <w:noWrap/>
            <w:tcMar>
              <w:left w:w="115" w:type="dxa"/>
              <w:right w:w="288" w:type="dxa"/>
            </w:tcMar>
            <w:vAlign w:val="center"/>
          </w:tcPr>
          <w:p w:rsidR="007B3E55" w:rsidRDefault="007B3E55" w:rsidP="00614C04">
            <w:pPr>
              <w:spacing w:before="20" w:after="20"/>
              <w:ind w:right="-89"/>
              <w:jc w:val="right"/>
              <w:rPr>
                <w:rFonts w:cs="Arial"/>
                <w:sz w:val="16"/>
                <w:szCs w:val="16"/>
                <w:lang w:val="en-NZ"/>
              </w:rPr>
            </w:pPr>
            <w:r>
              <w:rPr>
                <w:rFonts w:cs="Arial"/>
                <w:sz w:val="16"/>
                <w:szCs w:val="16"/>
                <w:lang w:val="en-NZ"/>
              </w:rPr>
              <w:t>2</w:t>
            </w:r>
          </w:p>
        </w:tc>
        <w:tc>
          <w:tcPr>
            <w:tcW w:w="1074" w:type="dxa"/>
            <w:tcBorders>
              <w:top w:val="nil"/>
              <w:bottom w:val="nil"/>
            </w:tcBorders>
            <w:noWrap/>
            <w:tcMar>
              <w:left w:w="115" w:type="dxa"/>
              <w:right w:w="288" w:type="dxa"/>
            </w:tcMar>
            <w:vAlign w:val="center"/>
          </w:tcPr>
          <w:p w:rsidR="007B3E55" w:rsidRDefault="007B3E55" w:rsidP="00614C04">
            <w:pPr>
              <w:spacing w:before="20" w:after="20"/>
              <w:ind w:right="38"/>
              <w:jc w:val="right"/>
              <w:rPr>
                <w:rFonts w:cs="Arial"/>
                <w:sz w:val="16"/>
                <w:szCs w:val="16"/>
                <w:lang w:val="en-NZ"/>
              </w:rPr>
            </w:pPr>
            <w:r>
              <w:rPr>
                <w:rFonts w:cs="Arial"/>
                <w:sz w:val="16"/>
                <w:szCs w:val="16"/>
                <w:lang w:val="en-NZ"/>
              </w:rPr>
              <w:t>1</w:t>
            </w:r>
          </w:p>
        </w:tc>
      </w:tr>
      <w:tr w:rsidR="007B3E55">
        <w:tc>
          <w:tcPr>
            <w:tcW w:w="4140" w:type="dxa"/>
            <w:tcBorders>
              <w:top w:val="nil"/>
              <w:bottom w:val="single" w:sz="4" w:space="0" w:color="auto"/>
            </w:tcBorders>
            <w:vAlign w:val="center"/>
          </w:tcPr>
          <w:p w:rsidR="007B3E55" w:rsidRPr="003A2455" w:rsidRDefault="007B3E55" w:rsidP="00614C04">
            <w:pPr>
              <w:spacing w:before="20" w:after="120"/>
              <w:ind w:left="360"/>
              <w:rPr>
                <w:rFonts w:cs="Arial"/>
                <w:sz w:val="16"/>
                <w:szCs w:val="16"/>
                <w:lang w:val="en-NZ"/>
              </w:rPr>
            </w:pPr>
            <w:r>
              <w:rPr>
                <w:rFonts w:cs="Arial"/>
                <w:sz w:val="16"/>
                <w:szCs w:val="16"/>
                <w:lang w:val="en-NZ"/>
              </w:rPr>
              <w:t>All children</w:t>
            </w:r>
          </w:p>
        </w:tc>
        <w:tc>
          <w:tcPr>
            <w:tcW w:w="739" w:type="dxa"/>
            <w:tcBorders>
              <w:top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39" w:type="dxa"/>
            <w:tcBorders>
              <w:top w:val="nil"/>
              <w:left w:val="nil"/>
              <w:bottom w:val="single" w:sz="4" w:space="0" w:color="auto"/>
              <w:right w:val="nil"/>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740" w:type="dxa"/>
            <w:tcBorders>
              <w:top w:val="nil"/>
              <w:left w:val="nil"/>
              <w:bottom w:val="single" w:sz="4" w:space="0" w:color="auto"/>
            </w:tcBorders>
            <w:noWrap/>
            <w:tcMar>
              <w:left w:w="115" w:type="dxa"/>
              <w:right w:w="288" w:type="dxa"/>
            </w:tcMar>
            <w:vAlign w:val="center"/>
          </w:tcPr>
          <w:p w:rsidR="007B3E55" w:rsidRPr="003A2455" w:rsidRDefault="007B3E55" w:rsidP="00614C04">
            <w:pPr>
              <w:spacing w:before="20" w:after="120"/>
              <w:ind w:right="-89"/>
              <w:jc w:val="right"/>
              <w:rPr>
                <w:rFonts w:cs="Arial"/>
                <w:sz w:val="16"/>
                <w:szCs w:val="16"/>
                <w:lang w:val="en-NZ"/>
              </w:rPr>
            </w:pPr>
            <w:r>
              <w:rPr>
                <w:rFonts w:cs="Arial"/>
                <w:sz w:val="16"/>
                <w:szCs w:val="16"/>
                <w:lang w:val="en-NZ"/>
              </w:rPr>
              <w:t>100</w:t>
            </w:r>
          </w:p>
        </w:tc>
        <w:tc>
          <w:tcPr>
            <w:tcW w:w="1074" w:type="dxa"/>
            <w:tcBorders>
              <w:top w:val="nil"/>
              <w:bottom w:val="single" w:sz="4" w:space="0" w:color="auto"/>
            </w:tcBorders>
            <w:noWrap/>
            <w:tcMar>
              <w:left w:w="115" w:type="dxa"/>
              <w:right w:w="288" w:type="dxa"/>
            </w:tcMar>
            <w:vAlign w:val="center"/>
          </w:tcPr>
          <w:p w:rsidR="007B3E55" w:rsidRPr="00D262A7" w:rsidRDefault="007B3E55" w:rsidP="00614C04">
            <w:pPr>
              <w:spacing w:before="20" w:after="120"/>
              <w:ind w:right="38"/>
              <w:jc w:val="right"/>
              <w:rPr>
                <w:rFonts w:cs="Arial"/>
                <w:sz w:val="16"/>
                <w:szCs w:val="16"/>
                <w:lang w:val="en-NZ"/>
              </w:rPr>
            </w:pPr>
            <w:r>
              <w:rPr>
                <w:rFonts w:cs="Arial"/>
                <w:sz w:val="16"/>
                <w:szCs w:val="16"/>
                <w:lang w:val="en-NZ"/>
              </w:rPr>
              <w:t>100</w:t>
            </w:r>
          </w:p>
        </w:tc>
      </w:tr>
    </w:tbl>
    <w:p w:rsidR="007B3E55" w:rsidRDefault="007B3E55" w:rsidP="007B3E55">
      <w:pPr>
        <w:pStyle w:val="Heading2"/>
        <w:rPr>
          <w:b w:val="0"/>
          <w:sz w:val="20"/>
        </w:rPr>
      </w:pPr>
    </w:p>
    <w:p w:rsidR="007B3E55" w:rsidRPr="003C4D82" w:rsidRDefault="007B3E55" w:rsidP="007B3E55">
      <w:pPr>
        <w:rPr>
          <w:sz w:val="16"/>
          <w:szCs w:val="16"/>
          <w:lang w:val="en-NZ"/>
        </w:rPr>
      </w:pPr>
      <w:r w:rsidRPr="003C4D82">
        <w:rPr>
          <w:sz w:val="16"/>
          <w:szCs w:val="16"/>
          <w:lang w:val="en-NZ"/>
        </w:rPr>
        <w:t>Notes:</w:t>
      </w:r>
    </w:p>
    <w:p w:rsidR="007B3E55" w:rsidRPr="003C4D82" w:rsidRDefault="007B3E55" w:rsidP="007B3E55">
      <w:pPr>
        <w:spacing w:before="60"/>
        <w:ind w:left="548" w:hanging="274"/>
        <w:rPr>
          <w:sz w:val="16"/>
          <w:szCs w:val="16"/>
          <w:lang w:val="en-NZ"/>
        </w:rPr>
      </w:pPr>
      <w:r w:rsidRPr="003C4D82">
        <w:rPr>
          <w:sz w:val="16"/>
          <w:szCs w:val="16"/>
          <w:lang w:val="en-NZ"/>
        </w:rPr>
        <w:t>1</w:t>
      </w:r>
      <w:r w:rsidRPr="003C4D82">
        <w:rPr>
          <w:sz w:val="16"/>
          <w:szCs w:val="16"/>
          <w:lang w:val="en-NZ"/>
        </w:rPr>
        <w:tab/>
        <w:t>See note on page 29 for the need for caution in interpreting results for smaller sub-groups</w:t>
      </w:r>
      <w:r>
        <w:rPr>
          <w:sz w:val="16"/>
          <w:szCs w:val="16"/>
          <w:lang w:val="en-NZ"/>
        </w:rPr>
        <w:t>.</w:t>
      </w:r>
    </w:p>
    <w:p w:rsidR="007B3E55" w:rsidRDefault="007B3E55" w:rsidP="007B3E55">
      <w:pPr>
        <w:pStyle w:val="Heading2"/>
        <w:rPr>
          <w:b w:val="0"/>
          <w:sz w:val="20"/>
        </w:rPr>
      </w:pPr>
    </w:p>
    <w:p w:rsidR="007B3E55" w:rsidRPr="001F42D8" w:rsidRDefault="007B3E55" w:rsidP="007B3E55">
      <w:pPr>
        <w:pStyle w:val="Heading2"/>
        <w:rPr>
          <w:sz w:val="24"/>
        </w:rPr>
      </w:pPr>
      <w:r>
        <w:rPr>
          <w:b w:val="0"/>
          <w:noProof/>
          <w:sz w:val="20"/>
          <w:lang w:val="en-US"/>
        </w:rPr>
        <w:pict>
          <v:shape id="_x0000_s1201" type="#_x0000_t202" style="position:absolute;margin-left:0;margin-top:30.5pt;width:219pt;height:92.25pt;z-index:251650560;mso-position-horizontal:center">
            <v:textbox>
              <w:txbxContent>
                <w:p w:rsidR="00DE4A2A" w:rsidRPr="009348B4" w:rsidRDefault="00DE4A2A" w:rsidP="007B3E55">
                  <w:pPr>
                    <w:spacing w:after="120"/>
                    <w:jc w:val="center"/>
                    <w:rPr>
                      <w:sz w:val="16"/>
                      <w:szCs w:val="16"/>
                      <w:lang w:val="en-NZ"/>
                    </w:rPr>
                  </w:pPr>
                  <w:r w:rsidRPr="009348B4">
                    <w:rPr>
                      <w:b/>
                      <w:sz w:val="16"/>
                      <w:szCs w:val="16"/>
                      <w:lang w:val="en-NZ"/>
                    </w:rPr>
                    <w:t>Interpreting Tables B</w:t>
                  </w:r>
                  <w:r>
                    <w:rPr>
                      <w:b/>
                      <w:sz w:val="16"/>
                      <w:szCs w:val="16"/>
                      <w:lang w:val="en-NZ"/>
                    </w:rPr>
                    <w:t>.7</w:t>
                  </w:r>
                  <w:r w:rsidRPr="009348B4">
                    <w:rPr>
                      <w:b/>
                      <w:sz w:val="16"/>
                      <w:szCs w:val="16"/>
                      <w:lang w:val="en-NZ"/>
                    </w:rPr>
                    <w:t xml:space="preserve"> and B.</w:t>
                  </w:r>
                  <w:r>
                    <w:rPr>
                      <w:b/>
                      <w:sz w:val="16"/>
                      <w:szCs w:val="16"/>
                      <w:lang w:val="en-NZ"/>
                    </w:rPr>
                    <w:t>8</w:t>
                  </w:r>
                  <w:r w:rsidRPr="009348B4">
                    <w:rPr>
                      <w:b/>
                      <w:sz w:val="16"/>
                      <w:szCs w:val="16"/>
                      <w:lang w:val="en-NZ"/>
                    </w:rPr>
                    <w:t>: an example</w:t>
                  </w:r>
                </w:p>
                <w:p w:rsidR="00DE4A2A" w:rsidRDefault="00DE4A2A" w:rsidP="007B3E55">
                  <w:pPr>
                    <w:rPr>
                      <w:sz w:val="16"/>
                      <w:szCs w:val="16"/>
                      <w:lang w:val="en-NZ"/>
                    </w:rPr>
                  </w:pPr>
                  <w:r>
                    <w:rPr>
                      <w:sz w:val="16"/>
                      <w:szCs w:val="16"/>
                      <w:lang w:val="en-NZ"/>
                    </w:rPr>
                    <w:t xml:space="preserve">Consider the 0-17 year old group (children).  </w:t>
                  </w:r>
                </w:p>
                <w:p w:rsidR="00DE4A2A" w:rsidRDefault="00DE4A2A" w:rsidP="00614C04">
                  <w:pPr>
                    <w:numPr>
                      <w:ilvl w:val="0"/>
                      <w:numId w:val="44"/>
                    </w:numPr>
                    <w:tabs>
                      <w:tab w:val="clear" w:pos="720"/>
                      <w:tab w:val="num" w:pos="270"/>
                    </w:tabs>
                    <w:ind w:left="270" w:hanging="180"/>
                    <w:rPr>
                      <w:sz w:val="16"/>
                      <w:szCs w:val="16"/>
                      <w:lang w:val="en-NZ"/>
                    </w:rPr>
                  </w:pPr>
                  <w:r w:rsidRPr="009348B4">
                    <w:rPr>
                      <w:sz w:val="16"/>
                      <w:szCs w:val="16"/>
                      <w:lang w:val="en-NZ"/>
                    </w:rPr>
                    <w:t>Table B.</w:t>
                  </w:r>
                  <w:r>
                    <w:rPr>
                      <w:sz w:val="16"/>
                      <w:szCs w:val="16"/>
                      <w:lang w:val="en-NZ"/>
                    </w:rPr>
                    <w:t>7 (distribution of children across the quintiles) shows that 51%</w:t>
                  </w:r>
                  <w:r w:rsidRPr="009348B4">
                    <w:rPr>
                      <w:sz w:val="16"/>
                      <w:szCs w:val="16"/>
                      <w:lang w:val="en-NZ"/>
                    </w:rPr>
                    <w:t xml:space="preserve"> </w:t>
                  </w:r>
                  <w:r>
                    <w:rPr>
                      <w:sz w:val="16"/>
                      <w:szCs w:val="16"/>
                      <w:lang w:val="en-NZ"/>
                    </w:rPr>
                    <w:t xml:space="preserve">of this group are in households in the bottom two income quintiles.  </w:t>
                  </w:r>
                </w:p>
                <w:p w:rsidR="00DE4A2A" w:rsidRPr="009348B4" w:rsidRDefault="00DE4A2A" w:rsidP="00614C04">
                  <w:pPr>
                    <w:numPr>
                      <w:ilvl w:val="0"/>
                      <w:numId w:val="44"/>
                    </w:numPr>
                    <w:tabs>
                      <w:tab w:val="clear" w:pos="720"/>
                      <w:tab w:val="num" w:pos="270"/>
                    </w:tabs>
                    <w:ind w:left="270" w:hanging="180"/>
                    <w:rPr>
                      <w:sz w:val="16"/>
                      <w:szCs w:val="16"/>
                      <w:lang w:val="en-NZ"/>
                    </w:rPr>
                  </w:pPr>
                  <w:r>
                    <w:rPr>
                      <w:sz w:val="16"/>
                      <w:szCs w:val="16"/>
                      <w:lang w:val="en-NZ"/>
                    </w:rPr>
                    <w:t>Table B.8 (composition of each quintile) shows that children make up 34% of all people in households with incomes in the bottom quintile.</w:t>
                  </w:r>
                </w:p>
                <w:p w:rsidR="00DE4A2A" w:rsidRPr="009348B4" w:rsidRDefault="00DE4A2A" w:rsidP="007B3E55">
                  <w:pPr>
                    <w:rPr>
                      <w:lang w:val="en-NZ"/>
                    </w:rPr>
                  </w:pPr>
                </w:p>
              </w:txbxContent>
            </v:textbox>
          </v:shape>
        </w:pict>
      </w:r>
      <w:r>
        <w:rPr>
          <w:b w:val="0"/>
          <w:sz w:val="20"/>
        </w:rPr>
        <w:br w:type="page"/>
      </w:r>
      <w:r w:rsidRPr="001F42D8">
        <w:rPr>
          <w:sz w:val="24"/>
        </w:rPr>
        <w:lastRenderedPageBreak/>
        <w:t>Income shares across the distribution</w:t>
      </w:r>
      <w:bookmarkEnd w:id="73"/>
    </w:p>
    <w:p w:rsidR="007B3E55" w:rsidRPr="001F42D8" w:rsidRDefault="007B3E55" w:rsidP="007B3E55">
      <w:pPr>
        <w:rPr>
          <w:sz w:val="20"/>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Figures B.1 and B.2 above show that income is not distributed evenly across the population even after taxes and transfers have been taken into account.   </w:t>
      </w:r>
      <w:r w:rsidRPr="001F42D8">
        <w:rPr>
          <w:rFonts w:cs="Arial"/>
          <w:b/>
          <w:sz w:val="20"/>
          <w:szCs w:val="22"/>
          <w:lang w:val="en-NZ"/>
        </w:rPr>
        <w:t>Figure B.</w:t>
      </w:r>
      <w:r>
        <w:rPr>
          <w:rFonts w:cs="Arial"/>
          <w:b/>
          <w:sz w:val="20"/>
          <w:szCs w:val="22"/>
          <w:lang w:val="en-NZ"/>
        </w:rPr>
        <w:t>4</w:t>
      </w:r>
      <w:r w:rsidRPr="001F42D8">
        <w:rPr>
          <w:rFonts w:cs="Arial"/>
          <w:b/>
          <w:sz w:val="20"/>
          <w:szCs w:val="22"/>
          <w:lang w:val="en-NZ"/>
        </w:rPr>
        <w:t xml:space="preserve"> </w:t>
      </w:r>
      <w:r w:rsidRPr="001F42D8">
        <w:rPr>
          <w:rFonts w:cs="Arial"/>
          <w:sz w:val="20"/>
          <w:szCs w:val="22"/>
          <w:lang w:val="en-NZ"/>
        </w:rPr>
        <w:t>presents the same information in a different way by showing the share of the total income that is received by the different income deciles (</w:t>
      </w:r>
      <w:smartTag w:uri="urn:schemas-microsoft-com:office:smarttags" w:element="stockticker">
        <w:r w:rsidRPr="001F42D8">
          <w:rPr>
            <w:rFonts w:cs="Arial"/>
            <w:sz w:val="20"/>
            <w:szCs w:val="22"/>
            <w:lang w:val="en-NZ"/>
          </w:rPr>
          <w:t>BHC</w:t>
        </w:r>
      </w:smartTag>
      <w:r w:rsidRPr="001F42D8">
        <w:rPr>
          <w:rFonts w:cs="Arial"/>
          <w:sz w:val="20"/>
          <w:szCs w:val="22"/>
          <w:lang w:val="en-NZ"/>
        </w:rPr>
        <w:t>).</w:t>
      </w:r>
      <w:r w:rsidRPr="001F42D8">
        <w:rPr>
          <w:rStyle w:val="FootnoteReference"/>
          <w:rFonts w:cs="Arial"/>
          <w:sz w:val="20"/>
          <w:szCs w:val="22"/>
          <w:lang w:val="en-NZ"/>
        </w:rPr>
        <w:footnoteReference w:id="32"/>
      </w:r>
      <w:r w:rsidRPr="001F42D8">
        <w:rPr>
          <w:rFonts w:cs="Arial"/>
          <w:sz w:val="20"/>
          <w:szCs w:val="22"/>
          <w:lang w:val="en-NZ"/>
        </w:rPr>
        <w:t xml:space="preserve">  Because the income concept is </w:t>
      </w:r>
      <w:r w:rsidRPr="001F42D8">
        <w:rPr>
          <w:rFonts w:cs="Arial"/>
          <w:i/>
          <w:sz w:val="20"/>
          <w:szCs w:val="22"/>
          <w:lang w:val="en-NZ"/>
        </w:rPr>
        <w:t>equivalised</w:t>
      </w:r>
      <w:r w:rsidRPr="001F42D8">
        <w:rPr>
          <w:rFonts w:cs="Arial"/>
          <w:sz w:val="20"/>
          <w:szCs w:val="22"/>
          <w:lang w:val="en-NZ"/>
        </w:rPr>
        <w:t xml:space="preserve"> household disposable income, the information in the graph </w:t>
      </w:r>
      <w:r>
        <w:rPr>
          <w:rFonts w:cs="Arial"/>
          <w:sz w:val="20"/>
          <w:szCs w:val="22"/>
          <w:lang w:val="en-NZ"/>
        </w:rPr>
        <w:t>needs to be</w:t>
      </w:r>
      <w:r w:rsidRPr="001F42D8">
        <w:rPr>
          <w:rFonts w:cs="Arial"/>
          <w:sz w:val="20"/>
          <w:szCs w:val="22"/>
          <w:lang w:val="en-NZ"/>
        </w:rPr>
        <w:t xml:space="preserve"> </w:t>
      </w:r>
      <w:r>
        <w:rPr>
          <w:rFonts w:cs="Arial"/>
          <w:sz w:val="20"/>
          <w:szCs w:val="22"/>
          <w:lang w:val="en-NZ"/>
        </w:rPr>
        <w:t>interpreted as</w:t>
      </w:r>
      <w:r w:rsidRPr="001F42D8">
        <w:rPr>
          <w:rFonts w:cs="Arial"/>
          <w:sz w:val="20"/>
          <w:szCs w:val="22"/>
          <w:lang w:val="en-NZ"/>
        </w:rPr>
        <w:t xml:space="preserve"> comparisons of the consumption capabilities for those in the various deciles, having adjusted for household size and composition.  </w:t>
      </w:r>
    </w:p>
    <w:p w:rsidR="007B3E55" w:rsidRPr="001F42D8" w:rsidRDefault="007B3E55" w:rsidP="007B3E55">
      <w:pPr>
        <w:jc w:val="both"/>
        <w:rPr>
          <w:rFonts w:cs="Arial"/>
          <w:sz w:val="20"/>
          <w:szCs w:val="22"/>
          <w:lang w:val="en-NZ"/>
        </w:rPr>
      </w:pPr>
    </w:p>
    <w:p w:rsidR="007B3E55" w:rsidRPr="001F42D8" w:rsidRDefault="007B3E55" w:rsidP="007B3E55">
      <w:pPr>
        <w:jc w:val="center"/>
        <w:rPr>
          <w:rFonts w:cs="Arial"/>
          <w:b/>
          <w:sz w:val="18"/>
          <w:lang w:val="en-NZ"/>
        </w:rPr>
      </w:pPr>
      <w:r w:rsidRPr="001F42D8">
        <w:rPr>
          <w:rFonts w:cs="Arial"/>
          <w:b/>
          <w:sz w:val="18"/>
          <w:lang w:val="en-NZ"/>
        </w:rPr>
        <w:t>Figure B.</w:t>
      </w:r>
      <w:r>
        <w:rPr>
          <w:rFonts w:cs="Arial"/>
          <w:b/>
          <w:sz w:val="18"/>
          <w:lang w:val="en-NZ"/>
        </w:rPr>
        <w:t>4</w:t>
      </w:r>
    </w:p>
    <w:p w:rsidR="007B3E55" w:rsidRPr="001F42D8" w:rsidRDefault="007B3E55" w:rsidP="007B3E55">
      <w:pPr>
        <w:jc w:val="center"/>
        <w:rPr>
          <w:rFonts w:cs="Arial"/>
          <w:b/>
          <w:sz w:val="18"/>
          <w:lang w:val="en-NZ"/>
        </w:rPr>
      </w:pPr>
      <w:r w:rsidRPr="001F42D8">
        <w:rPr>
          <w:rFonts w:cs="Arial"/>
          <w:b/>
          <w:sz w:val="18"/>
          <w:lang w:val="en-NZ"/>
        </w:rPr>
        <w:t>Shares of total income by deciles: HES 20</w:t>
      </w:r>
      <w:r>
        <w:rPr>
          <w:rFonts w:cs="Arial"/>
          <w:b/>
          <w:sz w:val="18"/>
          <w:lang w:val="en-NZ"/>
        </w:rPr>
        <w:t>11</w:t>
      </w:r>
    </w:p>
    <w:p w:rsidR="007B3E55" w:rsidRPr="002F58A2" w:rsidRDefault="00EC0BE0" w:rsidP="007B3E55">
      <w:pPr>
        <w:jc w:val="center"/>
        <w:rPr>
          <w:szCs w:val="22"/>
        </w:rPr>
      </w:pPr>
      <w:r>
        <w:rPr>
          <w:noProof/>
          <w:lang w:val="en-US"/>
        </w:rPr>
        <w:drawing>
          <wp:inline distT="0" distB="0" distL="0" distR="0">
            <wp:extent cx="4067175" cy="251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067175" cy="2514600"/>
                    </a:xfrm>
                    <a:prstGeom prst="rect">
                      <a:avLst/>
                    </a:prstGeom>
                    <a:noFill/>
                    <a:ln w="9525">
                      <a:noFill/>
                      <a:miter lim="800000"/>
                      <a:headEnd/>
                      <a:tailEnd/>
                    </a:ln>
                  </pic:spPr>
                </pic:pic>
              </a:graphicData>
            </a:graphic>
          </wp:inline>
        </w:drawing>
      </w:r>
    </w:p>
    <w:p w:rsidR="007B3E55" w:rsidRDefault="007B3E55" w:rsidP="007B3E55">
      <w:pPr>
        <w:jc w:val="both"/>
        <w:rPr>
          <w:rFonts w:cs="Arial"/>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 xml:space="preserve">The top 10% receive </w:t>
      </w:r>
      <w:r>
        <w:rPr>
          <w:rFonts w:cs="Arial"/>
          <w:sz w:val="20"/>
          <w:szCs w:val="22"/>
          <w:lang w:val="en-NZ"/>
        </w:rPr>
        <w:t xml:space="preserve">just over </w:t>
      </w:r>
      <w:r w:rsidRPr="001F42D8">
        <w:rPr>
          <w:rFonts w:cs="Arial"/>
          <w:sz w:val="20"/>
          <w:szCs w:val="22"/>
          <w:lang w:val="en-NZ"/>
        </w:rPr>
        <w:t>a quarter and the top 30% receive just over a half of the total population</w:t>
      </w:r>
      <w:r>
        <w:rPr>
          <w:rFonts w:cs="Arial"/>
          <w:sz w:val="20"/>
          <w:szCs w:val="22"/>
          <w:lang w:val="en-NZ"/>
        </w:rPr>
        <w:t xml:space="preserve"> (equivalised)</w:t>
      </w:r>
      <w:r w:rsidRPr="001F42D8">
        <w:rPr>
          <w:rFonts w:cs="Arial"/>
          <w:sz w:val="20"/>
          <w:szCs w:val="22"/>
          <w:lang w:val="en-NZ"/>
        </w:rPr>
        <w:t xml:space="preserve"> income.  This is much the same as in </w:t>
      </w:r>
      <w:r>
        <w:rPr>
          <w:rFonts w:cs="Arial"/>
          <w:sz w:val="20"/>
          <w:szCs w:val="22"/>
          <w:lang w:val="en-NZ"/>
        </w:rPr>
        <w:t>the 2010</w:t>
      </w:r>
      <w:r w:rsidRPr="001F42D8">
        <w:rPr>
          <w:rFonts w:cs="Arial"/>
          <w:sz w:val="20"/>
          <w:szCs w:val="22"/>
          <w:lang w:val="en-NZ"/>
        </w:rPr>
        <w:t xml:space="preserve"> HES</w:t>
      </w:r>
      <w:r>
        <w:rPr>
          <w:rFonts w:cs="Arial"/>
          <w:sz w:val="20"/>
          <w:szCs w:val="22"/>
          <w:lang w:val="en-NZ"/>
        </w:rPr>
        <w:t xml:space="preserve"> year, except that the share for the top decile has risen by around two percentage points, after falling one percentage point from 2008-09 to 2009-10.</w:t>
      </w:r>
    </w:p>
    <w:p w:rsidR="007B3E55" w:rsidRPr="001F42D8" w:rsidRDefault="007B3E55" w:rsidP="007B3E55">
      <w:pPr>
        <w:jc w:val="both"/>
        <w:rPr>
          <w:rFonts w:cs="Arial"/>
          <w:b/>
          <w:sz w:val="20"/>
          <w:szCs w:val="22"/>
          <w:lang w:val="en-NZ"/>
        </w:rPr>
      </w:pPr>
    </w:p>
    <w:p w:rsidR="007B3E55" w:rsidRPr="001F42D8" w:rsidRDefault="007B3E55" w:rsidP="007B3E55">
      <w:pPr>
        <w:jc w:val="both"/>
        <w:rPr>
          <w:rFonts w:cs="Arial"/>
          <w:b/>
          <w:sz w:val="20"/>
          <w:szCs w:val="22"/>
          <w:lang w:val="en-NZ"/>
        </w:rPr>
      </w:pPr>
    </w:p>
    <w:p w:rsidR="007B3E55" w:rsidRPr="001F42D8" w:rsidRDefault="007B3E55" w:rsidP="007B3E55">
      <w:pPr>
        <w:jc w:val="both"/>
        <w:rPr>
          <w:rFonts w:cs="Arial"/>
          <w:sz w:val="20"/>
          <w:szCs w:val="22"/>
          <w:lang w:val="en-NZ"/>
        </w:rPr>
      </w:pPr>
      <w:r w:rsidRPr="001F42D8">
        <w:rPr>
          <w:rFonts w:cs="Arial"/>
          <w:b/>
          <w:sz w:val="20"/>
          <w:szCs w:val="22"/>
          <w:lang w:val="en-NZ"/>
        </w:rPr>
        <w:t>Table B.9</w:t>
      </w:r>
      <w:r w:rsidRPr="001F42D8">
        <w:rPr>
          <w:rFonts w:cs="Arial"/>
          <w:sz w:val="20"/>
          <w:szCs w:val="22"/>
          <w:lang w:val="en-NZ"/>
        </w:rPr>
        <w:t xml:space="preserve"> shows that the distribution of household income in </w:t>
      </w:r>
      <w:smartTag w:uri="urn:schemas-microsoft-com:office:smarttags" w:element="country-region">
        <w:r w:rsidRPr="001F42D8">
          <w:rPr>
            <w:rFonts w:cs="Arial"/>
            <w:sz w:val="20"/>
            <w:szCs w:val="22"/>
            <w:lang w:val="en-NZ"/>
          </w:rPr>
          <w:t>New Zealand</w:t>
        </w:r>
      </w:smartTag>
      <w:r w:rsidRPr="001F42D8">
        <w:rPr>
          <w:rFonts w:cs="Arial"/>
          <w:sz w:val="20"/>
          <w:szCs w:val="22"/>
          <w:lang w:val="en-NZ"/>
        </w:rPr>
        <w:t xml:space="preserve"> is broadly similar to that in the </w:t>
      </w:r>
      <w:smartTag w:uri="urn:schemas-microsoft-com:office:smarttags" w:element="country-region">
        <w:r w:rsidRPr="001F42D8">
          <w:rPr>
            <w:rFonts w:cs="Arial"/>
            <w:sz w:val="20"/>
            <w:szCs w:val="22"/>
            <w:lang w:val="en-NZ"/>
          </w:rPr>
          <w:t>UK</w:t>
        </w:r>
      </w:smartTag>
      <w:r w:rsidRPr="001F42D8">
        <w:rPr>
          <w:rFonts w:cs="Arial"/>
          <w:sz w:val="20"/>
          <w:szCs w:val="22"/>
          <w:lang w:val="en-NZ"/>
        </w:rPr>
        <w:t xml:space="preserve">, </w:t>
      </w:r>
      <w:smartTag w:uri="urn:schemas-microsoft-com:office:smarttags" w:element="country-region">
        <w:r w:rsidRPr="001F42D8">
          <w:rPr>
            <w:rFonts w:cs="Arial"/>
            <w:sz w:val="20"/>
            <w:szCs w:val="22"/>
            <w:lang w:val="en-NZ"/>
          </w:rPr>
          <w:t>Australia</w:t>
        </w:r>
      </w:smartTag>
      <w:r w:rsidRPr="001F42D8">
        <w:rPr>
          <w:rFonts w:cs="Arial"/>
          <w:sz w:val="20"/>
          <w:szCs w:val="22"/>
          <w:lang w:val="en-NZ"/>
        </w:rPr>
        <w:t xml:space="preserve"> and </w:t>
      </w:r>
      <w:smartTag w:uri="urn:schemas-microsoft-com:office:smarttags" w:element="place">
        <w:smartTag w:uri="urn:schemas-microsoft-com:office:smarttags" w:element="country-region">
          <w:r w:rsidRPr="001F42D8">
            <w:rPr>
              <w:rFonts w:cs="Arial"/>
              <w:sz w:val="20"/>
              <w:szCs w:val="22"/>
              <w:lang w:val="en-NZ"/>
            </w:rPr>
            <w:t>Canada</w:t>
          </w:r>
        </w:smartTag>
      </w:smartTag>
      <w:r w:rsidRPr="001F42D8">
        <w:rPr>
          <w:rFonts w:cs="Arial"/>
          <w:sz w:val="20"/>
          <w:szCs w:val="22"/>
          <w:lang w:val="en-NZ"/>
        </w:rPr>
        <w:t xml:space="preserve">.  </w:t>
      </w:r>
    </w:p>
    <w:p w:rsidR="007B3E55" w:rsidRPr="001F42D8" w:rsidRDefault="007B3E55" w:rsidP="007B3E55">
      <w:pPr>
        <w:jc w:val="both"/>
        <w:rPr>
          <w:rFonts w:cs="Arial"/>
          <w:sz w:val="20"/>
          <w:szCs w:val="22"/>
          <w:lang w:val="en-NZ"/>
        </w:rPr>
      </w:pPr>
    </w:p>
    <w:p w:rsidR="007B3E55" w:rsidRPr="001F42D8" w:rsidRDefault="007B3E55" w:rsidP="007B3E55">
      <w:pPr>
        <w:jc w:val="center"/>
        <w:rPr>
          <w:rFonts w:cs="Arial"/>
          <w:b/>
          <w:sz w:val="18"/>
          <w:lang w:val="en-NZ"/>
        </w:rPr>
      </w:pPr>
      <w:r w:rsidRPr="001F42D8">
        <w:rPr>
          <w:rFonts w:cs="Arial"/>
          <w:b/>
          <w:sz w:val="18"/>
          <w:lang w:val="en-NZ"/>
        </w:rPr>
        <w:t>Table B.9</w:t>
      </w:r>
    </w:p>
    <w:p w:rsidR="007B3E55" w:rsidRPr="001F42D8" w:rsidRDefault="007B3E55" w:rsidP="007B3E55">
      <w:pPr>
        <w:jc w:val="center"/>
        <w:rPr>
          <w:rFonts w:cs="Arial"/>
          <w:b/>
          <w:sz w:val="18"/>
          <w:lang w:val="en-NZ"/>
        </w:rPr>
      </w:pPr>
      <w:r w:rsidRPr="001F42D8">
        <w:rPr>
          <w:rFonts w:cs="Arial"/>
          <w:b/>
          <w:sz w:val="18"/>
          <w:lang w:val="en-NZ"/>
        </w:rPr>
        <w:t>Shares of total income by quintiles of equivalised disposable household income (%):</w:t>
      </w:r>
    </w:p>
    <w:p w:rsidR="007B3E55" w:rsidRPr="001F42D8" w:rsidRDefault="007B3E55" w:rsidP="007B3E55">
      <w:pPr>
        <w:spacing w:after="120"/>
        <w:jc w:val="center"/>
        <w:rPr>
          <w:rFonts w:cs="Arial"/>
          <w:b/>
          <w:sz w:val="18"/>
          <w:lang w:val="en-NZ"/>
        </w:rPr>
      </w:pPr>
      <w:r w:rsidRPr="001F42D8">
        <w:rPr>
          <w:rFonts w:cs="Arial"/>
          <w:b/>
          <w:sz w:val="18"/>
          <w:lang w:val="en-NZ"/>
        </w:rPr>
        <w:t>international comparisons for c 200</w:t>
      </w:r>
      <w:r>
        <w:rPr>
          <w:rFonts w:cs="Arial"/>
          <w:b/>
          <w:sz w:val="18"/>
          <w:lang w:val="en-NZ"/>
        </w:rPr>
        <w:t>8</w:t>
      </w:r>
      <w:r w:rsidRPr="001F42D8">
        <w:rPr>
          <w:rFonts w:cs="Arial"/>
          <w:b/>
          <w:sz w:val="18"/>
          <w:lang w:val="en-NZ"/>
        </w:rPr>
        <w:t xml:space="preserve"> to 20</w:t>
      </w:r>
      <w:r>
        <w:rPr>
          <w:rFonts w:cs="Arial"/>
          <w:b/>
          <w:sz w:val="18"/>
          <w:lang w:val="en-NZ"/>
        </w:rPr>
        <w:t>11</w:t>
      </w:r>
    </w:p>
    <w:tbl>
      <w:tblPr>
        <w:tblStyle w:val="TableGrid"/>
        <w:tblW w:w="0" w:type="auto"/>
        <w:jc w:val="center"/>
        <w:tblInd w:w="-287" w:type="dxa"/>
        <w:tblLook w:val="01E0"/>
      </w:tblPr>
      <w:tblGrid>
        <w:gridCol w:w="1225"/>
        <w:gridCol w:w="1350"/>
        <w:gridCol w:w="1370"/>
        <w:gridCol w:w="1371"/>
        <w:gridCol w:w="1371"/>
        <w:gridCol w:w="1371"/>
      </w:tblGrid>
      <w:tr w:rsidR="007B3E55">
        <w:trPr>
          <w:jc w:val="center"/>
        </w:trPr>
        <w:tc>
          <w:tcPr>
            <w:tcW w:w="1225" w:type="dxa"/>
            <w:vAlign w:val="center"/>
          </w:tcPr>
          <w:p w:rsidR="007B3E55" w:rsidRPr="00BD67CB" w:rsidRDefault="007B3E55" w:rsidP="00614C04">
            <w:pPr>
              <w:pStyle w:val="Heading2"/>
              <w:spacing w:before="60" w:after="60"/>
              <w:jc w:val="both"/>
              <w:rPr>
                <w:sz w:val="16"/>
                <w:szCs w:val="16"/>
              </w:rPr>
            </w:pPr>
            <w:bookmarkStart w:id="74" w:name="_Toc115142501"/>
          </w:p>
        </w:tc>
        <w:tc>
          <w:tcPr>
            <w:tcW w:w="1350" w:type="dxa"/>
            <w:vAlign w:val="center"/>
          </w:tcPr>
          <w:p w:rsidR="007B3E55" w:rsidRPr="00BD67CB" w:rsidRDefault="007B3E55" w:rsidP="00614C04">
            <w:pPr>
              <w:pStyle w:val="Heading2"/>
              <w:tabs>
                <w:tab w:val="left" w:pos="1152"/>
              </w:tabs>
              <w:spacing w:before="60" w:after="60"/>
              <w:ind w:left="-108" w:right="-73"/>
              <w:jc w:val="center"/>
              <w:rPr>
                <w:sz w:val="16"/>
                <w:szCs w:val="16"/>
              </w:rPr>
            </w:pPr>
            <w:r w:rsidRPr="00BD67CB">
              <w:rPr>
                <w:sz w:val="16"/>
                <w:szCs w:val="16"/>
              </w:rPr>
              <w:t>Bottom quintile</w:t>
            </w:r>
          </w:p>
        </w:tc>
        <w:tc>
          <w:tcPr>
            <w:tcW w:w="1370" w:type="dxa"/>
            <w:vAlign w:val="center"/>
          </w:tcPr>
          <w:p w:rsidR="007B3E55" w:rsidRPr="00BD67CB" w:rsidRDefault="007B3E55" w:rsidP="00614C04">
            <w:pPr>
              <w:pStyle w:val="Heading2"/>
              <w:spacing w:before="60" w:after="60"/>
              <w:jc w:val="center"/>
              <w:rPr>
                <w:sz w:val="16"/>
                <w:szCs w:val="16"/>
              </w:rPr>
            </w:pPr>
            <w:r w:rsidRPr="00BD67CB">
              <w:rPr>
                <w:sz w:val="16"/>
                <w:szCs w:val="16"/>
              </w:rPr>
              <w:t>Q2</w:t>
            </w:r>
          </w:p>
        </w:tc>
        <w:tc>
          <w:tcPr>
            <w:tcW w:w="1371" w:type="dxa"/>
            <w:vAlign w:val="center"/>
          </w:tcPr>
          <w:p w:rsidR="007B3E55" w:rsidRPr="00BD67CB" w:rsidRDefault="007B3E55" w:rsidP="00614C04">
            <w:pPr>
              <w:pStyle w:val="Heading2"/>
              <w:spacing w:before="60" w:after="60"/>
              <w:jc w:val="center"/>
              <w:rPr>
                <w:sz w:val="16"/>
                <w:szCs w:val="16"/>
              </w:rPr>
            </w:pPr>
            <w:r w:rsidRPr="00BD67CB">
              <w:rPr>
                <w:sz w:val="16"/>
                <w:szCs w:val="16"/>
              </w:rPr>
              <w:t>Q3</w:t>
            </w:r>
          </w:p>
        </w:tc>
        <w:tc>
          <w:tcPr>
            <w:tcW w:w="1371" w:type="dxa"/>
            <w:vAlign w:val="center"/>
          </w:tcPr>
          <w:p w:rsidR="007B3E55" w:rsidRPr="00BD67CB" w:rsidRDefault="007B3E55" w:rsidP="00614C04">
            <w:pPr>
              <w:pStyle w:val="Heading2"/>
              <w:spacing w:before="60" w:after="60"/>
              <w:jc w:val="center"/>
              <w:rPr>
                <w:sz w:val="16"/>
                <w:szCs w:val="16"/>
              </w:rPr>
            </w:pPr>
            <w:r w:rsidRPr="00BD67CB">
              <w:rPr>
                <w:sz w:val="16"/>
                <w:szCs w:val="16"/>
              </w:rPr>
              <w:t>Q4</w:t>
            </w:r>
          </w:p>
        </w:tc>
        <w:tc>
          <w:tcPr>
            <w:tcW w:w="1371" w:type="dxa"/>
            <w:vAlign w:val="center"/>
          </w:tcPr>
          <w:p w:rsidR="007B3E55" w:rsidRPr="00BD67CB" w:rsidRDefault="007B3E55" w:rsidP="00614C04">
            <w:pPr>
              <w:pStyle w:val="Heading2"/>
              <w:spacing w:before="60" w:after="60"/>
              <w:jc w:val="center"/>
              <w:rPr>
                <w:sz w:val="16"/>
                <w:szCs w:val="16"/>
              </w:rPr>
            </w:pPr>
            <w:r w:rsidRPr="00BD67CB">
              <w:rPr>
                <w:sz w:val="16"/>
                <w:szCs w:val="16"/>
              </w:rPr>
              <w:t>Top quintile</w:t>
            </w:r>
          </w:p>
        </w:tc>
      </w:tr>
      <w:tr w:rsidR="007B3E55">
        <w:trPr>
          <w:jc w:val="center"/>
        </w:trPr>
        <w:tc>
          <w:tcPr>
            <w:tcW w:w="1225" w:type="dxa"/>
            <w:vAlign w:val="center"/>
          </w:tcPr>
          <w:p w:rsidR="007B3E55" w:rsidRPr="00BD67CB" w:rsidRDefault="007B3E55" w:rsidP="00614C04">
            <w:pPr>
              <w:pStyle w:val="Heading2"/>
              <w:spacing w:before="40" w:after="40"/>
              <w:jc w:val="both"/>
              <w:rPr>
                <w:sz w:val="16"/>
                <w:szCs w:val="16"/>
              </w:rPr>
            </w:pPr>
            <w:smartTag w:uri="urn:schemas-microsoft-com:office:smarttags" w:element="place">
              <w:smartTag w:uri="urn:schemas-microsoft-com:office:smarttags" w:element="country-region">
                <w:r w:rsidRPr="00BD67CB">
                  <w:rPr>
                    <w:sz w:val="16"/>
                    <w:szCs w:val="16"/>
                  </w:rPr>
                  <w:t>New Zealand</w:t>
                </w:r>
              </w:smartTag>
            </w:smartTag>
          </w:p>
        </w:tc>
        <w:tc>
          <w:tcPr>
            <w:tcW w:w="1350" w:type="dxa"/>
            <w:vAlign w:val="center"/>
          </w:tcPr>
          <w:p w:rsidR="007B3E55" w:rsidRPr="00BD67CB" w:rsidRDefault="007B3E55" w:rsidP="00614C04">
            <w:pPr>
              <w:pStyle w:val="Heading2"/>
              <w:spacing w:before="40" w:after="40"/>
              <w:jc w:val="center"/>
              <w:rPr>
                <w:b w:val="0"/>
                <w:sz w:val="16"/>
                <w:szCs w:val="16"/>
              </w:rPr>
            </w:pPr>
            <w:r>
              <w:rPr>
                <w:b w:val="0"/>
                <w:sz w:val="16"/>
                <w:szCs w:val="16"/>
              </w:rPr>
              <w:t>8</w:t>
            </w:r>
          </w:p>
        </w:tc>
        <w:tc>
          <w:tcPr>
            <w:tcW w:w="1370" w:type="dxa"/>
            <w:vAlign w:val="center"/>
          </w:tcPr>
          <w:p w:rsidR="007B3E55" w:rsidRPr="00BD67CB" w:rsidRDefault="007B3E55" w:rsidP="00614C04">
            <w:pPr>
              <w:pStyle w:val="Heading2"/>
              <w:spacing w:before="40" w:after="40"/>
              <w:jc w:val="center"/>
              <w:rPr>
                <w:b w:val="0"/>
                <w:sz w:val="16"/>
                <w:szCs w:val="16"/>
              </w:rPr>
            </w:pPr>
            <w:r>
              <w:rPr>
                <w:b w:val="0"/>
                <w:sz w:val="16"/>
                <w:szCs w:val="16"/>
              </w:rPr>
              <w:t>12</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1</w:t>
            </w:r>
            <w:r>
              <w:rPr>
                <w:b w:val="0"/>
                <w:sz w:val="16"/>
                <w:szCs w:val="16"/>
              </w:rPr>
              <w:t>6</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22</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41</w:t>
            </w:r>
          </w:p>
        </w:tc>
      </w:tr>
      <w:tr w:rsidR="007B3E55">
        <w:trPr>
          <w:jc w:val="center"/>
        </w:trPr>
        <w:tc>
          <w:tcPr>
            <w:tcW w:w="1225" w:type="dxa"/>
            <w:vAlign w:val="center"/>
          </w:tcPr>
          <w:p w:rsidR="007B3E55" w:rsidRPr="00BD67CB" w:rsidRDefault="007B3E55" w:rsidP="00614C04">
            <w:pPr>
              <w:pStyle w:val="Heading2"/>
              <w:spacing w:before="40" w:after="40"/>
              <w:jc w:val="both"/>
              <w:rPr>
                <w:sz w:val="16"/>
                <w:szCs w:val="16"/>
              </w:rPr>
            </w:pPr>
            <w:smartTag w:uri="urn:schemas-microsoft-com:office:smarttags" w:element="place">
              <w:smartTag w:uri="urn:schemas-microsoft-com:office:smarttags" w:element="country-region">
                <w:r w:rsidRPr="00BD67CB">
                  <w:rPr>
                    <w:sz w:val="16"/>
                    <w:szCs w:val="16"/>
                  </w:rPr>
                  <w:t>UK</w:t>
                </w:r>
              </w:smartTag>
            </w:smartTag>
          </w:p>
        </w:tc>
        <w:tc>
          <w:tcPr>
            <w:tcW w:w="1350" w:type="dxa"/>
            <w:vAlign w:val="center"/>
          </w:tcPr>
          <w:p w:rsidR="007B3E55" w:rsidRPr="00BD67CB" w:rsidRDefault="007B3E55" w:rsidP="00614C04">
            <w:pPr>
              <w:pStyle w:val="Heading2"/>
              <w:spacing w:before="40" w:after="40"/>
              <w:jc w:val="center"/>
              <w:rPr>
                <w:b w:val="0"/>
                <w:sz w:val="16"/>
                <w:szCs w:val="16"/>
              </w:rPr>
            </w:pPr>
            <w:r>
              <w:rPr>
                <w:b w:val="0"/>
                <w:sz w:val="16"/>
                <w:szCs w:val="16"/>
              </w:rPr>
              <w:t>8</w:t>
            </w:r>
          </w:p>
        </w:tc>
        <w:tc>
          <w:tcPr>
            <w:tcW w:w="1370"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12</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1</w:t>
            </w:r>
            <w:r>
              <w:rPr>
                <w:b w:val="0"/>
                <w:sz w:val="16"/>
                <w:szCs w:val="16"/>
              </w:rPr>
              <w:t>6</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2</w:t>
            </w:r>
            <w:r>
              <w:rPr>
                <w:b w:val="0"/>
                <w:sz w:val="16"/>
                <w:szCs w:val="16"/>
              </w:rPr>
              <w:t>2</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4</w:t>
            </w:r>
            <w:r>
              <w:rPr>
                <w:b w:val="0"/>
                <w:sz w:val="16"/>
                <w:szCs w:val="16"/>
              </w:rPr>
              <w:t>2</w:t>
            </w:r>
          </w:p>
        </w:tc>
      </w:tr>
      <w:tr w:rsidR="007B3E55">
        <w:trPr>
          <w:jc w:val="center"/>
        </w:trPr>
        <w:tc>
          <w:tcPr>
            <w:tcW w:w="1225" w:type="dxa"/>
            <w:vAlign w:val="center"/>
          </w:tcPr>
          <w:p w:rsidR="007B3E55" w:rsidRPr="00BD67CB" w:rsidRDefault="007B3E55" w:rsidP="00614C04">
            <w:pPr>
              <w:pStyle w:val="Heading2"/>
              <w:spacing w:before="40" w:after="40"/>
              <w:jc w:val="both"/>
              <w:rPr>
                <w:sz w:val="16"/>
                <w:szCs w:val="16"/>
              </w:rPr>
            </w:pPr>
            <w:smartTag w:uri="urn:schemas-microsoft-com:office:smarttags" w:element="place">
              <w:smartTag w:uri="urn:schemas-microsoft-com:office:smarttags" w:element="country-region">
                <w:r w:rsidRPr="00BD67CB">
                  <w:rPr>
                    <w:sz w:val="16"/>
                    <w:szCs w:val="16"/>
                  </w:rPr>
                  <w:t>Australia</w:t>
                </w:r>
              </w:smartTag>
            </w:smartTag>
          </w:p>
        </w:tc>
        <w:tc>
          <w:tcPr>
            <w:tcW w:w="1350" w:type="dxa"/>
            <w:vAlign w:val="center"/>
          </w:tcPr>
          <w:p w:rsidR="007B3E55" w:rsidRPr="00BD67CB" w:rsidRDefault="007B3E55" w:rsidP="00614C04">
            <w:pPr>
              <w:pStyle w:val="Heading2"/>
              <w:spacing w:before="40" w:after="40"/>
              <w:jc w:val="center"/>
              <w:rPr>
                <w:b w:val="0"/>
                <w:sz w:val="16"/>
                <w:szCs w:val="16"/>
              </w:rPr>
            </w:pPr>
            <w:r>
              <w:rPr>
                <w:b w:val="0"/>
                <w:sz w:val="16"/>
                <w:szCs w:val="16"/>
              </w:rPr>
              <w:t>7</w:t>
            </w:r>
          </w:p>
        </w:tc>
        <w:tc>
          <w:tcPr>
            <w:tcW w:w="1370"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1</w:t>
            </w:r>
            <w:r>
              <w:rPr>
                <w:b w:val="0"/>
                <w:sz w:val="16"/>
                <w:szCs w:val="16"/>
              </w:rPr>
              <w:t>2</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1</w:t>
            </w:r>
            <w:r>
              <w:rPr>
                <w:b w:val="0"/>
                <w:sz w:val="16"/>
                <w:szCs w:val="16"/>
              </w:rPr>
              <w:t>7</w:t>
            </w:r>
          </w:p>
        </w:tc>
        <w:tc>
          <w:tcPr>
            <w:tcW w:w="1371" w:type="dxa"/>
            <w:vAlign w:val="center"/>
          </w:tcPr>
          <w:p w:rsidR="007B3E55" w:rsidRPr="00BD67CB" w:rsidRDefault="007B3E55" w:rsidP="00614C04">
            <w:pPr>
              <w:pStyle w:val="Heading2"/>
              <w:spacing w:before="40" w:after="40"/>
              <w:jc w:val="center"/>
              <w:rPr>
                <w:b w:val="0"/>
                <w:sz w:val="16"/>
                <w:szCs w:val="16"/>
              </w:rPr>
            </w:pPr>
            <w:r w:rsidRPr="00BD67CB">
              <w:rPr>
                <w:b w:val="0"/>
                <w:sz w:val="16"/>
                <w:szCs w:val="16"/>
              </w:rPr>
              <w:t>2</w:t>
            </w:r>
            <w:r>
              <w:rPr>
                <w:b w:val="0"/>
                <w:sz w:val="16"/>
                <w:szCs w:val="16"/>
              </w:rPr>
              <w:t>3</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40</w:t>
            </w:r>
          </w:p>
        </w:tc>
      </w:tr>
      <w:tr w:rsidR="007B3E55">
        <w:trPr>
          <w:jc w:val="center"/>
        </w:trPr>
        <w:tc>
          <w:tcPr>
            <w:tcW w:w="1225" w:type="dxa"/>
            <w:vAlign w:val="center"/>
          </w:tcPr>
          <w:p w:rsidR="007B3E55" w:rsidRPr="00BD67CB" w:rsidRDefault="007B3E55" w:rsidP="00614C04">
            <w:pPr>
              <w:pStyle w:val="Heading2"/>
              <w:spacing w:before="40" w:after="40"/>
              <w:jc w:val="both"/>
              <w:rPr>
                <w:sz w:val="16"/>
                <w:szCs w:val="16"/>
              </w:rPr>
            </w:pPr>
            <w:smartTag w:uri="urn:schemas-microsoft-com:office:smarttags" w:element="place">
              <w:smartTag w:uri="urn:schemas-microsoft-com:office:smarttags" w:element="country-region">
                <w:r>
                  <w:rPr>
                    <w:sz w:val="16"/>
                    <w:szCs w:val="16"/>
                  </w:rPr>
                  <w:t>Canada</w:t>
                </w:r>
              </w:smartTag>
            </w:smartTag>
            <w:r>
              <w:rPr>
                <w:sz w:val="16"/>
                <w:szCs w:val="16"/>
              </w:rPr>
              <w:t xml:space="preserve"> </w:t>
            </w:r>
          </w:p>
        </w:tc>
        <w:tc>
          <w:tcPr>
            <w:tcW w:w="1350" w:type="dxa"/>
            <w:vAlign w:val="center"/>
          </w:tcPr>
          <w:p w:rsidR="007B3E55" w:rsidRPr="00BD67CB" w:rsidRDefault="007B3E55" w:rsidP="00614C04">
            <w:pPr>
              <w:pStyle w:val="Heading2"/>
              <w:spacing w:before="40" w:after="40"/>
              <w:jc w:val="center"/>
              <w:rPr>
                <w:b w:val="0"/>
                <w:sz w:val="16"/>
                <w:szCs w:val="16"/>
              </w:rPr>
            </w:pPr>
            <w:r>
              <w:rPr>
                <w:b w:val="0"/>
                <w:sz w:val="16"/>
                <w:szCs w:val="16"/>
              </w:rPr>
              <w:t>7</w:t>
            </w:r>
          </w:p>
        </w:tc>
        <w:tc>
          <w:tcPr>
            <w:tcW w:w="1370" w:type="dxa"/>
            <w:vAlign w:val="center"/>
          </w:tcPr>
          <w:p w:rsidR="007B3E55" w:rsidRPr="00BD67CB" w:rsidRDefault="007B3E55" w:rsidP="00614C04">
            <w:pPr>
              <w:pStyle w:val="Heading2"/>
              <w:spacing w:before="40" w:after="40"/>
              <w:jc w:val="center"/>
              <w:rPr>
                <w:b w:val="0"/>
                <w:sz w:val="16"/>
                <w:szCs w:val="16"/>
              </w:rPr>
            </w:pPr>
            <w:r>
              <w:rPr>
                <w:b w:val="0"/>
                <w:sz w:val="16"/>
                <w:szCs w:val="16"/>
              </w:rPr>
              <w:t>12</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17</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24</w:t>
            </w:r>
          </w:p>
        </w:tc>
        <w:tc>
          <w:tcPr>
            <w:tcW w:w="1371" w:type="dxa"/>
            <w:vAlign w:val="center"/>
          </w:tcPr>
          <w:p w:rsidR="007B3E55" w:rsidRPr="00BD67CB" w:rsidRDefault="007B3E55" w:rsidP="00614C04">
            <w:pPr>
              <w:pStyle w:val="Heading2"/>
              <w:spacing w:before="40" w:after="40"/>
              <w:jc w:val="center"/>
              <w:rPr>
                <w:b w:val="0"/>
                <w:sz w:val="16"/>
                <w:szCs w:val="16"/>
              </w:rPr>
            </w:pPr>
            <w:r>
              <w:rPr>
                <w:b w:val="0"/>
                <w:sz w:val="16"/>
                <w:szCs w:val="16"/>
              </w:rPr>
              <w:t>40</w:t>
            </w:r>
          </w:p>
        </w:tc>
      </w:tr>
    </w:tbl>
    <w:p w:rsidR="007B3E55" w:rsidRPr="003C4D82" w:rsidRDefault="007B3E55" w:rsidP="007B3E55">
      <w:pPr>
        <w:pStyle w:val="Heading2"/>
        <w:spacing w:before="120"/>
        <w:ind w:left="1260" w:right="371" w:hanging="900"/>
        <w:jc w:val="both"/>
        <w:rPr>
          <w:b w:val="0"/>
          <w:sz w:val="16"/>
          <w:szCs w:val="16"/>
        </w:rPr>
      </w:pPr>
      <w:r w:rsidRPr="003C4D82">
        <w:rPr>
          <w:b w:val="0"/>
          <w:sz w:val="16"/>
          <w:szCs w:val="16"/>
        </w:rPr>
        <w:t xml:space="preserve">Sources: </w:t>
      </w:r>
      <w:r w:rsidRPr="003C4D82">
        <w:rPr>
          <w:b w:val="0"/>
          <w:sz w:val="16"/>
          <w:szCs w:val="16"/>
        </w:rPr>
        <w:tab/>
      </w:r>
      <w:smartTag w:uri="urn:schemas-microsoft-com:office:smarttags" w:element="country-region">
        <w:r w:rsidRPr="003C4D82">
          <w:rPr>
            <w:b w:val="0"/>
            <w:sz w:val="16"/>
            <w:szCs w:val="16"/>
          </w:rPr>
          <w:t>UK</w:t>
        </w:r>
      </w:smartTag>
      <w:r w:rsidRPr="003C4D82">
        <w:rPr>
          <w:b w:val="0"/>
          <w:sz w:val="16"/>
          <w:szCs w:val="16"/>
        </w:rPr>
        <w:t xml:space="preserve"> (Table 2.2ts in DWP (20</w:t>
      </w:r>
      <w:r>
        <w:rPr>
          <w:b w:val="0"/>
          <w:sz w:val="16"/>
          <w:szCs w:val="16"/>
        </w:rPr>
        <w:t>11</w:t>
      </w:r>
      <w:r w:rsidRPr="003C4D82">
        <w:rPr>
          <w:b w:val="0"/>
          <w:sz w:val="16"/>
          <w:szCs w:val="16"/>
        </w:rPr>
        <w:t>) for 20</w:t>
      </w:r>
      <w:r>
        <w:rPr>
          <w:b w:val="0"/>
          <w:sz w:val="16"/>
          <w:szCs w:val="16"/>
        </w:rPr>
        <w:t>10</w:t>
      </w:r>
      <w:r w:rsidRPr="003C4D82">
        <w:rPr>
          <w:b w:val="0"/>
          <w:sz w:val="16"/>
          <w:szCs w:val="16"/>
        </w:rPr>
        <w:t xml:space="preserve">); </w:t>
      </w:r>
      <w:smartTag w:uri="urn:schemas-microsoft-com:office:smarttags" w:element="country-region">
        <w:r w:rsidRPr="003C4D82">
          <w:rPr>
            <w:b w:val="0"/>
            <w:sz w:val="16"/>
            <w:szCs w:val="16"/>
          </w:rPr>
          <w:t>Australia</w:t>
        </w:r>
      </w:smartTag>
      <w:r w:rsidRPr="003C4D82">
        <w:rPr>
          <w:b w:val="0"/>
          <w:sz w:val="16"/>
          <w:szCs w:val="16"/>
        </w:rPr>
        <w:t xml:space="preserve"> (Table 1 in </w:t>
      </w:r>
      <w:smartTag w:uri="urn:schemas-microsoft-com:office:smarttags" w:element="stockticker">
        <w:r w:rsidRPr="003C4D82">
          <w:rPr>
            <w:b w:val="0"/>
            <w:sz w:val="16"/>
            <w:szCs w:val="16"/>
          </w:rPr>
          <w:t>ABS</w:t>
        </w:r>
      </w:smartTag>
      <w:r w:rsidRPr="003C4D82">
        <w:rPr>
          <w:b w:val="0"/>
          <w:sz w:val="16"/>
          <w:szCs w:val="16"/>
        </w:rPr>
        <w:t xml:space="preserve"> (20</w:t>
      </w:r>
      <w:r>
        <w:rPr>
          <w:b w:val="0"/>
          <w:sz w:val="16"/>
          <w:szCs w:val="16"/>
        </w:rPr>
        <w:t>11</w:t>
      </w:r>
      <w:r w:rsidRPr="003C4D82">
        <w:rPr>
          <w:b w:val="0"/>
          <w:sz w:val="16"/>
          <w:szCs w:val="16"/>
        </w:rPr>
        <w:t>) for 20</w:t>
      </w:r>
      <w:r>
        <w:rPr>
          <w:b w:val="0"/>
          <w:sz w:val="16"/>
          <w:szCs w:val="16"/>
        </w:rPr>
        <w:t>10</w:t>
      </w:r>
      <w:r w:rsidRPr="003C4D82">
        <w:rPr>
          <w:b w:val="0"/>
          <w:sz w:val="16"/>
          <w:szCs w:val="16"/>
        </w:rPr>
        <w:t xml:space="preserve">); </w:t>
      </w:r>
      <w:smartTag w:uri="urn:schemas-microsoft-com:office:smarttags" w:element="country-region">
        <w:r w:rsidRPr="003C4D82">
          <w:rPr>
            <w:b w:val="0"/>
            <w:sz w:val="16"/>
            <w:szCs w:val="16"/>
          </w:rPr>
          <w:t>Canada</w:t>
        </w:r>
      </w:smartTag>
      <w:r w:rsidRPr="003C4D82">
        <w:rPr>
          <w:b w:val="0"/>
          <w:sz w:val="16"/>
          <w:szCs w:val="16"/>
        </w:rPr>
        <w:t xml:space="preserve"> (Table </w:t>
      </w:r>
      <w:r>
        <w:rPr>
          <w:b w:val="0"/>
          <w:sz w:val="16"/>
          <w:szCs w:val="16"/>
        </w:rPr>
        <w:t>202-0606</w:t>
      </w:r>
      <w:r w:rsidRPr="003C4D82">
        <w:rPr>
          <w:b w:val="0"/>
          <w:sz w:val="16"/>
          <w:szCs w:val="16"/>
        </w:rPr>
        <w:t xml:space="preserve"> in Statistics </w:t>
      </w:r>
      <w:smartTag w:uri="urn:schemas-microsoft-com:office:smarttags" w:element="place">
        <w:smartTag w:uri="urn:schemas-microsoft-com:office:smarttags" w:element="country-region">
          <w:r w:rsidRPr="003C4D82">
            <w:rPr>
              <w:b w:val="0"/>
              <w:sz w:val="16"/>
              <w:szCs w:val="16"/>
            </w:rPr>
            <w:t>Canada</w:t>
          </w:r>
        </w:smartTag>
      </w:smartTag>
      <w:r w:rsidRPr="003C4D82">
        <w:rPr>
          <w:b w:val="0"/>
          <w:sz w:val="16"/>
          <w:szCs w:val="16"/>
        </w:rPr>
        <w:t xml:space="preserve"> (20</w:t>
      </w:r>
      <w:r>
        <w:rPr>
          <w:b w:val="0"/>
          <w:sz w:val="16"/>
          <w:szCs w:val="16"/>
        </w:rPr>
        <w:t>11</w:t>
      </w:r>
      <w:r w:rsidRPr="003C4D82">
        <w:rPr>
          <w:b w:val="0"/>
          <w:sz w:val="16"/>
          <w:szCs w:val="16"/>
        </w:rPr>
        <w:t>) for 200</w:t>
      </w:r>
      <w:r>
        <w:rPr>
          <w:b w:val="0"/>
          <w:sz w:val="16"/>
          <w:szCs w:val="16"/>
        </w:rPr>
        <w:t>9</w:t>
      </w:r>
      <w:r w:rsidRPr="003C4D82">
        <w:rPr>
          <w:b w:val="0"/>
          <w:sz w:val="16"/>
          <w:szCs w:val="16"/>
        </w:rPr>
        <w:t xml:space="preserve">).  </w:t>
      </w:r>
    </w:p>
    <w:p w:rsidR="007B3E55" w:rsidRDefault="007B3E55" w:rsidP="007B3E55">
      <w:pPr>
        <w:pStyle w:val="Heading2"/>
        <w:jc w:val="both"/>
        <w:rPr>
          <w:b w:val="0"/>
          <w:sz w:val="20"/>
          <w:szCs w:val="20"/>
        </w:rPr>
      </w:pPr>
    </w:p>
    <w:p w:rsidR="007B3E55" w:rsidRDefault="007B3E55" w:rsidP="007B3E55">
      <w:pPr>
        <w:pStyle w:val="Heading2"/>
        <w:jc w:val="both"/>
        <w:rPr>
          <w:b w:val="0"/>
          <w:sz w:val="20"/>
          <w:szCs w:val="20"/>
        </w:rPr>
      </w:pPr>
    </w:p>
    <w:p w:rsidR="007B3E55" w:rsidRPr="001F42D8" w:rsidRDefault="007B3E55" w:rsidP="007B3E55">
      <w:pPr>
        <w:pStyle w:val="Heading2"/>
        <w:jc w:val="both"/>
        <w:rPr>
          <w:sz w:val="24"/>
        </w:rPr>
      </w:pPr>
      <w:r>
        <w:br w:type="page"/>
      </w:r>
      <w:bookmarkEnd w:id="74"/>
      <w:r w:rsidRPr="001F42D8">
        <w:rPr>
          <w:sz w:val="24"/>
        </w:rPr>
        <w:lastRenderedPageBreak/>
        <w:t>The re-distribution of income: market income, government cash benefits, income tax</w:t>
      </w:r>
      <w:r>
        <w:rPr>
          <w:sz w:val="24"/>
        </w:rPr>
        <w:t>,</w:t>
      </w:r>
      <w:r w:rsidRPr="001F42D8">
        <w:rPr>
          <w:sz w:val="24"/>
        </w:rPr>
        <w:t xml:space="preserve"> consumption tax</w:t>
      </w:r>
      <w:r>
        <w:rPr>
          <w:sz w:val="24"/>
        </w:rPr>
        <w:t xml:space="preserve"> and publicly provided services</w:t>
      </w:r>
    </w:p>
    <w:p w:rsidR="007B3E55" w:rsidRPr="001F42D8" w:rsidRDefault="007B3E55" w:rsidP="007B3E55">
      <w:pPr>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The income that households receive from wages and salaries, from investments and from people running their own businesses (market income) is redistributed through government intervention via ta</w:t>
      </w:r>
      <w:r>
        <w:rPr>
          <w:rFonts w:cs="Arial"/>
          <w:sz w:val="20"/>
          <w:szCs w:val="22"/>
          <w:lang w:val="en-NZ"/>
        </w:rPr>
        <w:t xml:space="preserve">xation and social expenditure. This reduces the income inequality that would otherwise exist.  </w:t>
      </w:r>
      <w:r w:rsidRPr="001F42D8">
        <w:rPr>
          <w:rFonts w:cs="Arial"/>
          <w:sz w:val="20"/>
          <w:szCs w:val="22"/>
          <w:lang w:val="en-NZ"/>
        </w:rPr>
        <w:t>This section provides an indication of the extent of the redistribution</w:t>
      </w:r>
      <w:r w:rsidR="00AE44C0">
        <w:rPr>
          <w:rFonts w:cs="Arial"/>
          <w:sz w:val="20"/>
          <w:szCs w:val="22"/>
          <w:lang w:val="en-NZ"/>
        </w:rPr>
        <w:t xml:space="preserve"> and the impact on inequality.</w:t>
      </w:r>
      <w:r w:rsidRPr="001F42D8">
        <w:rPr>
          <w:rFonts w:cs="Arial"/>
          <w:sz w:val="20"/>
          <w:szCs w:val="22"/>
          <w:lang w:val="en-NZ"/>
        </w:rPr>
        <w:t xml:space="preserve"> </w:t>
      </w:r>
    </w:p>
    <w:p w:rsidR="007B3E55" w:rsidRDefault="007B3E55" w:rsidP="007B3E55">
      <w:pPr>
        <w:jc w:val="both"/>
        <w:rPr>
          <w:rFonts w:cs="Arial"/>
          <w:sz w:val="20"/>
          <w:szCs w:val="22"/>
          <w:lang w:val="en-NZ"/>
        </w:rPr>
      </w:pPr>
      <w:r w:rsidRPr="001F42D8">
        <w:rPr>
          <w:rFonts w:cs="Arial"/>
          <w:sz w:val="20"/>
          <w:szCs w:val="22"/>
          <w:lang w:val="en-NZ"/>
        </w:rPr>
        <w:t xml:space="preserve"> </w:t>
      </w:r>
    </w:p>
    <w:p w:rsidR="00AE44C0" w:rsidRPr="00AE44C0" w:rsidRDefault="00AE44C0" w:rsidP="007B3E55">
      <w:pPr>
        <w:jc w:val="both"/>
        <w:rPr>
          <w:rFonts w:cs="Arial"/>
          <w:b/>
          <w:sz w:val="20"/>
          <w:szCs w:val="22"/>
          <w:lang w:val="en-NZ"/>
        </w:rPr>
      </w:pPr>
      <w:r w:rsidRPr="00AE44C0">
        <w:rPr>
          <w:rFonts w:cs="Arial"/>
          <w:b/>
          <w:sz w:val="20"/>
          <w:szCs w:val="22"/>
          <w:lang w:val="en-NZ"/>
        </w:rPr>
        <w:t>The extent of the redistribution of income</w:t>
      </w:r>
    </w:p>
    <w:p w:rsidR="00AE44C0" w:rsidRPr="001F42D8" w:rsidRDefault="00AE44C0" w:rsidP="007B3E55">
      <w:pPr>
        <w:jc w:val="both"/>
        <w:rPr>
          <w:rFonts w:cs="Arial"/>
          <w:sz w:val="20"/>
          <w:szCs w:val="22"/>
          <w:lang w:val="en-NZ"/>
        </w:rPr>
      </w:pPr>
    </w:p>
    <w:p w:rsidR="007B3E55" w:rsidRDefault="007B3E55" w:rsidP="007B3E55">
      <w:pPr>
        <w:jc w:val="both"/>
        <w:rPr>
          <w:rFonts w:cs="Arial"/>
          <w:sz w:val="20"/>
          <w:szCs w:val="22"/>
          <w:lang w:val="en-NZ"/>
        </w:rPr>
      </w:pPr>
      <w:r w:rsidRPr="001F42D8">
        <w:rPr>
          <w:rFonts w:cs="Arial"/>
          <w:sz w:val="20"/>
          <w:szCs w:val="22"/>
          <w:lang w:val="en-NZ"/>
        </w:rPr>
        <w:t>In interpreting the findings in this section it is important to note that market income is not the counterfactual or ‘natural state’ that would exist if there was no government intervention.  The existence of taxes, government expenditure and the apparatus of the welfare state influences citizens’ behaviour in relation to labour market participation, living arrangements, and so on.  The analysis can be taken as an indication of the extent of redistribution given that we live in a redistributive welfare state.</w:t>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r>
        <w:rPr>
          <w:rFonts w:cs="Arial"/>
          <w:sz w:val="20"/>
          <w:szCs w:val="22"/>
          <w:lang w:val="en-NZ"/>
        </w:rPr>
        <w:t xml:space="preserve">A useful way of looking at the extent of redistribution is to look at the </w:t>
      </w:r>
      <w:r w:rsidRPr="001F42D8">
        <w:rPr>
          <w:rFonts w:cs="Arial"/>
          <w:sz w:val="20"/>
          <w:szCs w:val="22"/>
          <w:lang w:val="en-NZ"/>
        </w:rPr>
        <w:t xml:space="preserve">difference between income taxes paid and </w:t>
      </w:r>
      <w:r>
        <w:rPr>
          <w:rFonts w:cs="Arial"/>
          <w:sz w:val="20"/>
          <w:szCs w:val="22"/>
          <w:lang w:val="en-NZ"/>
        </w:rPr>
        <w:t>transfers received for households in different income deciles.  ‘Transfers’ refers to tax credits and government cash benefits such as the Accommodation Supplement, New Zealand Superannuation, working age welfare benefits, special needs grants, and so on.</w:t>
      </w:r>
      <w:r w:rsidRPr="001F42D8">
        <w:rPr>
          <w:rFonts w:cs="Arial"/>
          <w:sz w:val="20"/>
          <w:szCs w:val="22"/>
          <w:lang w:val="en-NZ"/>
        </w:rPr>
        <w:t xml:space="preserve"> </w:t>
      </w:r>
      <w:r>
        <w:rPr>
          <w:rFonts w:cs="Arial"/>
          <w:sz w:val="20"/>
          <w:szCs w:val="22"/>
          <w:lang w:val="en-NZ"/>
        </w:rPr>
        <w:t xml:space="preserve">  </w:t>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r>
        <w:rPr>
          <w:rFonts w:cs="Arial"/>
          <w:sz w:val="20"/>
          <w:szCs w:val="22"/>
          <w:lang w:val="en-NZ"/>
        </w:rPr>
        <w:t xml:space="preserve">For many households, the amount they receive in transfers is greater than what they pay in income tax.  They have a negative net tax liability. </w:t>
      </w:r>
    </w:p>
    <w:p w:rsidR="007B3E55" w:rsidRPr="00DF71C7" w:rsidRDefault="007B3E55" w:rsidP="007B3E55">
      <w:pPr>
        <w:jc w:val="both"/>
        <w:rPr>
          <w:rFonts w:ascii="Arial Mäori" w:hAnsi="Arial Mäori"/>
        </w:rPr>
      </w:pPr>
    </w:p>
    <w:p w:rsidR="007B3E55" w:rsidRPr="00495DE6" w:rsidRDefault="007B3E55" w:rsidP="007B3E55">
      <w:pPr>
        <w:jc w:val="both"/>
        <w:rPr>
          <w:rFonts w:ascii="Arial Mäori" w:hAnsi="Arial Mäori"/>
        </w:rPr>
      </w:pPr>
      <w:r>
        <w:rPr>
          <w:rFonts w:cs="Arial"/>
          <w:color w:val="000000"/>
          <w:sz w:val="20"/>
        </w:rPr>
        <w:t>One group with negative net tax liability is low- to middle-income households with dependent children.  For example, single-earner families with two children can earn up to around $55,000 pa before they pay any net tax.  Around half of all households with children receive more in welfare benefits and tax credits than they pay in income tax.</w:t>
      </w:r>
    </w:p>
    <w:p w:rsidR="007B3E55" w:rsidRDefault="007B3E55" w:rsidP="007B3E55">
      <w:pPr>
        <w:jc w:val="both"/>
        <w:rPr>
          <w:rFonts w:cs="Arial"/>
          <w:color w:val="000000"/>
          <w:sz w:val="20"/>
        </w:rPr>
      </w:pPr>
    </w:p>
    <w:p w:rsidR="007B3E55" w:rsidRDefault="007B3E55" w:rsidP="007B3E55">
      <w:pPr>
        <w:jc w:val="both"/>
        <w:rPr>
          <w:rFonts w:cs="Arial"/>
          <w:color w:val="000000"/>
          <w:sz w:val="20"/>
        </w:rPr>
      </w:pPr>
      <w:r>
        <w:rPr>
          <w:rFonts w:cs="Arial"/>
          <w:color w:val="000000"/>
          <w:sz w:val="20"/>
        </w:rPr>
        <w:t>‘Working-age’ working households without dependent children have a positive income tax liability whatever their income.  The vast majority of older New Zealanders (aged 65+) live in households where there is a negative income tax liability – the income tax they pay is less than the value of New Zealand Superannuation (NZS) they receive.</w:t>
      </w:r>
    </w:p>
    <w:p w:rsidR="007B3E55" w:rsidRPr="00823CAD" w:rsidRDefault="007B3E55" w:rsidP="007B3E55">
      <w:pPr>
        <w:ind w:left="4950"/>
        <w:jc w:val="center"/>
        <w:rPr>
          <w:rFonts w:cs="Arial"/>
          <w:b/>
          <w:color w:val="000000"/>
          <w:sz w:val="16"/>
          <w:szCs w:val="16"/>
        </w:rPr>
      </w:pPr>
      <w:r>
        <w:rPr>
          <w:rFonts w:cs="Arial"/>
          <w:b/>
          <w:color w:val="000000"/>
          <w:sz w:val="16"/>
          <w:szCs w:val="16"/>
        </w:rPr>
        <w:t>F</w:t>
      </w:r>
      <w:r w:rsidRPr="00823CAD">
        <w:rPr>
          <w:rFonts w:cs="Arial"/>
          <w:b/>
          <w:color w:val="000000"/>
          <w:sz w:val="16"/>
          <w:szCs w:val="16"/>
        </w:rPr>
        <w:t>igure B.5</w:t>
      </w:r>
    </w:p>
    <w:p w:rsidR="007B3E55" w:rsidRPr="00823CAD" w:rsidRDefault="00EC0BE0" w:rsidP="007B3E55">
      <w:pPr>
        <w:ind w:left="4950"/>
        <w:jc w:val="center"/>
        <w:rPr>
          <w:rFonts w:cs="Arial"/>
          <w:b/>
          <w:color w:val="000000"/>
          <w:sz w:val="16"/>
          <w:szCs w:val="16"/>
        </w:rPr>
      </w:pPr>
      <w:r>
        <w:rPr>
          <w:noProof/>
          <w:lang w:val="en-US"/>
        </w:rPr>
        <w:drawing>
          <wp:anchor distT="0" distB="0" distL="274320" distR="0" simplePos="0" relativeHeight="251651584" behindDoc="0" locked="0" layoutInCell="1" allowOverlap="1">
            <wp:simplePos x="0" y="0"/>
            <wp:positionH relativeFrom="column">
              <wp:posOffset>2961005</wp:posOffset>
            </wp:positionH>
            <wp:positionV relativeFrom="paragraph">
              <wp:posOffset>173355</wp:posOffset>
            </wp:positionV>
            <wp:extent cx="2768600" cy="1793240"/>
            <wp:effectExtent l="0" t="0" r="0" b="0"/>
            <wp:wrapSquare wrapText="lef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srcRect/>
                    <a:stretch>
                      <a:fillRect/>
                    </a:stretch>
                  </pic:blipFill>
                  <pic:spPr bwMode="auto">
                    <a:xfrm>
                      <a:off x="0" y="0"/>
                      <a:ext cx="2768600" cy="1793240"/>
                    </a:xfrm>
                    <a:prstGeom prst="rect">
                      <a:avLst/>
                    </a:prstGeom>
                    <a:noFill/>
                    <a:ln w="9525">
                      <a:noFill/>
                      <a:miter lim="800000"/>
                      <a:headEnd/>
                      <a:tailEnd/>
                    </a:ln>
                  </pic:spPr>
                </pic:pic>
              </a:graphicData>
            </a:graphic>
          </wp:anchor>
        </w:drawing>
      </w:r>
      <w:r w:rsidR="007B3E55" w:rsidRPr="00823CAD">
        <w:rPr>
          <w:rFonts w:cs="Arial"/>
          <w:b/>
          <w:color w:val="000000"/>
          <w:sz w:val="16"/>
          <w:szCs w:val="16"/>
        </w:rPr>
        <w:t>Income tax less gov</w:t>
      </w:r>
      <w:r w:rsidR="007B3E55">
        <w:rPr>
          <w:rFonts w:cs="Arial"/>
          <w:b/>
          <w:color w:val="000000"/>
          <w:sz w:val="16"/>
          <w:szCs w:val="16"/>
        </w:rPr>
        <w:t>t</w:t>
      </w:r>
      <w:r w:rsidR="007B3E55" w:rsidRPr="00823CAD">
        <w:rPr>
          <w:rFonts w:cs="Arial"/>
          <w:b/>
          <w:color w:val="000000"/>
          <w:sz w:val="16"/>
          <w:szCs w:val="16"/>
        </w:rPr>
        <w:t xml:space="preserve"> cash transfers: HES 2010</w:t>
      </w:r>
    </w:p>
    <w:p w:rsidR="007B3E55" w:rsidRDefault="007B3E55" w:rsidP="007B3E55">
      <w:pPr>
        <w:jc w:val="both"/>
        <w:rPr>
          <w:rFonts w:cs="Arial"/>
          <w:color w:val="000000"/>
          <w:sz w:val="20"/>
        </w:rPr>
      </w:pPr>
      <w:r>
        <w:rPr>
          <w:rFonts w:cs="Arial"/>
          <w:sz w:val="20"/>
        </w:rPr>
        <w:t>When all</w:t>
      </w:r>
      <w:r w:rsidRPr="001B4C44">
        <w:rPr>
          <w:rFonts w:cs="Arial"/>
          <w:sz w:val="20"/>
        </w:rPr>
        <w:t xml:space="preserve"> households </w:t>
      </w:r>
      <w:r>
        <w:rPr>
          <w:rFonts w:cs="Arial"/>
          <w:sz w:val="20"/>
        </w:rPr>
        <w:t xml:space="preserve">are </w:t>
      </w:r>
      <w:r w:rsidRPr="001B4C44">
        <w:rPr>
          <w:rFonts w:cs="Arial"/>
          <w:sz w:val="20"/>
        </w:rPr>
        <w:t>counted</w:t>
      </w:r>
      <w:r>
        <w:rPr>
          <w:rFonts w:cs="Arial"/>
          <w:sz w:val="20"/>
        </w:rPr>
        <w:t xml:space="preserve"> (working age with children, working age without children, and 65+ households)</w:t>
      </w:r>
      <w:r w:rsidRPr="001B4C44">
        <w:rPr>
          <w:rFonts w:cs="Arial"/>
          <w:sz w:val="20"/>
        </w:rPr>
        <w:t>, and looking at households grouped in deciles rather than</w:t>
      </w:r>
      <w:r>
        <w:rPr>
          <w:rFonts w:cs="Arial"/>
          <w:sz w:val="20"/>
        </w:rPr>
        <w:t xml:space="preserve"> looking</w:t>
      </w:r>
      <w:r w:rsidRPr="001B4C44">
        <w:rPr>
          <w:rFonts w:cs="Arial"/>
          <w:sz w:val="20"/>
        </w:rPr>
        <w:t xml:space="preserve"> at individual households, the total income tax paid by each of the bottom </w:t>
      </w:r>
      <w:r>
        <w:rPr>
          <w:rFonts w:cs="Arial"/>
          <w:sz w:val="20"/>
        </w:rPr>
        <w:t>five</w:t>
      </w:r>
      <w:r w:rsidRPr="001B4C44">
        <w:rPr>
          <w:rFonts w:cs="Arial"/>
          <w:sz w:val="20"/>
        </w:rPr>
        <w:t xml:space="preserve"> deciles is less than the total transfers </w:t>
      </w:r>
      <w:r>
        <w:rPr>
          <w:rFonts w:cs="Arial"/>
          <w:sz w:val="20"/>
        </w:rPr>
        <w:t>received</w:t>
      </w:r>
      <w:r w:rsidRPr="001B4C44">
        <w:rPr>
          <w:rFonts w:cs="Arial"/>
          <w:sz w:val="20"/>
        </w:rPr>
        <w:t xml:space="preserve"> (tax credits, welfare benefits, NZS and so on).  </w:t>
      </w:r>
      <w:r>
        <w:rPr>
          <w:rFonts w:cs="Arial"/>
          <w:sz w:val="20"/>
        </w:rPr>
        <w:t xml:space="preserve">See </w:t>
      </w:r>
      <w:r w:rsidRPr="00BE192A">
        <w:rPr>
          <w:rFonts w:cs="Arial"/>
          <w:b/>
          <w:sz w:val="20"/>
        </w:rPr>
        <w:t>Figure B.5</w:t>
      </w:r>
      <w:r>
        <w:rPr>
          <w:rFonts w:cs="Arial"/>
          <w:b/>
          <w:sz w:val="20"/>
        </w:rPr>
        <w:t>.</w:t>
      </w:r>
      <w:r w:rsidRPr="001B4C44">
        <w:rPr>
          <w:rFonts w:cs="Arial"/>
          <w:sz w:val="20"/>
        </w:rPr>
        <w:t xml:space="preserve">  It is only for each of the top f</w:t>
      </w:r>
      <w:r>
        <w:rPr>
          <w:rFonts w:cs="Arial"/>
          <w:sz w:val="20"/>
        </w:rPr>
        <w:t>ive</w:t>
      </w:r>
      <w:r w:rsidRPr="001B4C44">
        <w:rPr>
          <w:rFonts w:cs="Arial"/>
          <w:sz w:val="20"/>
        </w:rPr>
        <w:t xml:space="preserve"> deciles that total income tax paid is greater than transfers received.</w:t>
      </w:r>
      <w:r w:rsidRPr="001F42D8">
        <w:rPr>
          <w:rStyle w:val="FootnoteReference"/>
          <w:rFonts w:cs="Arial"/>
          <w:sz w:val="20"/>
          <w:szCs w:val="22"/>
          <w:lang w:val="en-NZ"/>
        </w:rPr>
        <w:footnoteReference w:id="33"/>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p>
    <w:p w:rsidR="007B3E55" w:rsidRDefault="007B3E55" w:rsidP="007B3E55">
      <w:pPr>
        <w:jc w:val="both"/>
        <w:rPr>
          <w:rFonts w:cs="Arial"/>
          <w:color w:val="000000"/>
          <w:sz w:val="20"/>
        </w:rPr>
      </w:pPr>
      <w:r>
        <w:rPr>
          <w:rFonts w:cs="Arial"/>
          <w:color w:val="000000"/>
          <w:sz w:val="20"/>
        </w:rPr>
        <w:t>At an individual level in 2009, the top 10% of earners paid 44% of all income tax.  When transfers are taken into account, the top 10% of earners paid around 76% of net income tax.</w:t>
      </w:r>
      <w:r>
        <w:rPr>
          <w:rStyle w:val="FootnoteReference"/>
          <w:rFonts w:cs="Arial"/>
          <w:color w:val="000000"/>
          <w:sz w:val="20"/>
        </w:rPr>
        <w:footnoteReference w:id="34"/>
      </w:r>
      <w:r>
        <w:rPr>
          <w:rFonts w:cs="Arial"/>
          <w:color w:val="000000"/>
          <w:sz w:val="20"/>
        </w:rPr>
        <w:t xml:space="preserve">  The October 2010 tax changes will have reduced these figures a little, but the high-level story remains unchanged.</w:t>
      </w:r>
    </w:p>
    <w:p w:rsidR="007B3E55" w:rsidRPr="006F11DF" w:rsidRDefault="007B3E55" w:rsidP="007B3E55">
      <w:pPr>
        <w:jc w:val="both"/>
        <w:rPr>
          <w:rFonts w:cs="Arial"/>
          <w:color w:val="000000"/>
          <w:sz w:val="20"/>
        </w:rPr>
      </w:pPr>
    </w:p>
    <w:p w:rsidR="007B3E55" w:rsidRDefault="007B3E55" w:rsidP="007B3E55">
      <w:pPr>
        <w:jc w:val="both"/>
        <w:rPr>
          <w:rFonts w:cs="Arial"/>
          <w:sz w:val="20"/>
          <w:szCs w:val="22"/>
          <w:lang w:val="en-NZ"/>
        </w:rPr>
      </w:pPr>
    </w:p>
    <w:p w:rsidR="00E94D11" w:rsidRPr="00A841E9" w:rsidRDefault="00E94D11" w:rsidP="00E94D11">
      <w:pPr>
        <w:jc w:val="both"/>
        <w:rPr>
          <w:b/>
          <w:sz w:val="20"/>
          <w:szCs w:val="22"/>
          <w:lang w:val="en-NZ"/>
        </w:rPr>
      </w:pPr>
      <w:r w:rsidRPr="00A841E9">
        <w:rPr>
          <w:b/>
          <w:sz w:val="20"/>
          <w:szCs w:val="22"/>
          <w:lang w:val="en-NZ"/>
        </w:rPr>
        <w:lastRenderedPageBreak/>
        <w:t>The inequality-reducing impact of taxes and transfers</w:t>
      </w:r>
    </w:p>
    <w:p w:rsidR="00E94D11" w:rsidRDefault="00E94D11" w:rsidP="00E94D11">
      <w:pPr>
        <w:jc w:val="both"/>
        <w:rPr>
          <w:sz w:val="20"/>
          <w:szCs w:val="22"/>
          <w:lang w:val="en-NZ"/>
        </w:rPr>
      </w:pPr>
    </w:p>
    <w:p w:rsidR="00E94D11" w:rsidRDefault="00E94D11" w:rsidP="00E94D11">
      <w:pPr>
        <w:jc w:val="both"/>
        <w:rPr>
          <w:sz w:val="20"/>
          <w:szCs w:val="22"/>
          <w:lang w:val="en-NZ"/>
        </w:rPr>
      </w:pPr>
      <w:r w:rsidRPr="000F5021">
        <w:rPr>
          <w:b/>
          <w:sz w:val="20"/>
          <w:szCs w:val="22"/>
          <w:lang w:val="en-NZ"/>
        </w:rPr>
        <w:t xml:space="preserve">Figure </w:t>
      </w:r>
      <w:r w:rsidR="00AE44C0">
        <w:rPr>
          <w:b/>
          <w:sz w:val="20"/>
          <w:szCs w:val="22"/>
          <w:lang w:val="en-NZ"/>
        </w:rPr>
        <w:t>B.6</w:t>
      </w:r>
      <w:r>
        <w:rPr>
          <w:sz w:val="20"/>
          <w:szCs w:val="22"/>
          <w:lang w:val="en-NZ"/>
        </w:rPr>
        <w:t xml:space="preserve"> and </w:t>
      </w:r>
      <w:r w:rsidRPr="000F5021">
        <w:rPr>
          <w:b/>
          <w:sz w:val="20"/>
          <w:szCs w:val="22"/>
          <w:lang w:val="en-NZ"/>
        </w:rPr>
        <w:t xml:space="preserve">Table </w:t>
      </w:r>
      <w:r w:rsidR="00AE44C0">
        <w:rPr>
          <w:b/>
          <w:sz w:val="20"/>
          <w:szCs w:val="22"/>
          <w:lang w:val="en-NZ"/>
        </w:rPr>
        <w:t>B.10</w:t>
      </w:r>
      <w:r>
        <w:rPr>
          <w:sz w:val="20"/>
          <w:szCs w:val="22"/>
          <w:lang w:val="en-NZ"/>
        </w:rPr>
        <w:t xml:space="preserve"> show the inequality-reducing impact of taxes and transfers by comparing the Gini scores for household market income and household disposable income – that is for incomes before and after taxes and transfers.</w:t>
      </w:r>
    </w:p>
    <w:p w:rsidR="00E94D11" w:rsidRDefault="00E94D11" w:rsidP="00E94D11">
      <w:pPr>
        <w:jc w:val="both"/>
        <w:rPr>
          <w:sz w:val="20"/>
          <w:szCs w:val="22"/>
          <w:lang w:val="en-NZ"/>
        </w:rPr>
      </w:pPr>
    </w:p>
    <w:p w:rsidR="00E94D11" w:rsidRDefault="00E94D11" w:rsidP="00E94D11">
      <w:pPr>
        <w:jc w:val="center"/>
        <w:rPr>
          <w:b/>
          <w:sz w:val="18"/>
          <w:szCs w:val="18"/>
          <w:lang w:val="en-NZ"/>
        </w:rPr>
      </w:pPr>
      <w:r w:rsidRPr="00A841E9">
        <w:rPr>
          <w:b/>
          <w:sz w:val="18"/>
          <w:szCs w:val="18"/>
          <w:lang w:val="en-NZ"/>
        </w:rPr>
        <w:t xml:space="preserve">Figure </w:t>
      </w:r>
      <w:r w:rsidR="00093050">
        <w:rPr>
          <w:b/>
          <w:sz w:val="18"/>
          <w:szCs w:val="18"/>
          <w:lang w:val="en-NZ"/>
        </w:rPr>
        <w:t>B.6</w:t>
      </w:r>
    </w:p>
    <w:p w:rsidR="00E94D11" w:rsidRPr="00A841E9" w:rsidRDefault="00E94D11" w:rsidP="00E94D11">
      <w:pPr>
        <w:jc w:val="center"/>
        <w:rPr>
          <w:b/>
          <w:sz w:val="18"/>
          <w:szCs w:val="18"/>
          <w:lang w:val="en-NZ"/>
        </w:rPr>
      </w:pPr>
      <w:r>
        <w:rPr>
          <w:b/>
          <w:sz w:val="18"/>
          <w:szCs w:val="18"/>
          <w:lang w:val="en-NZ"/>
        </w:rPr>
        <w:t>Gini scores (x100) for market and disposable household income, 1986 to 2011 (18-64 yrs)</w:t>
      </w:r>
    </w:p>
    <w:p w:rsidR="00E94D11" w:rsidRPr="00591DD4" w:rsidRDefault="00EC0BE0" w:rsidP="00E94D11">
      <w:pPr>
        <w:jc w:val="center"/>
        <w:rPr>
          <w:sz w:val="20"/>
          <w:szCs w:val="22"/>
          <w:lang w:val="en-NZ"/>
        </w:rPr>
      </w:pPr>
      <w:r>
        <w:rPr>
          <w:noProof/>
          <w:lang w:val="en-US"/>
        </w:rPr>
        <w:drawing>
          <wp:inline distT="0" distB="0" distL="0" distR="0">
            <wp:extent cx="33147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p w:rsidR="00E94D11" w:rsidRDefault="00E94D11" w:rsidP="00E94D11">
      <w:pPr>
        <w:jc w:val="center"/>
        <w:rPr>
          <w:b/>
          <w:sz w:val="18"/>
          <w:szCs w:val="18"/>
          <w:lang w:val="en-NZ"/>
        </w:rPr>
      </w:pPr>
    </w:p>
    <w:p w:rsidR="00E94D11" w:rsidRDefault="00E94D11" w:rsidP="00E94D11">
      <w:pPr>
        <w:jc w:val="center"/>
        <w:rPr>
          <w:b/>
          <w:sz w:val="18"/>
          <w:szCs w:val="18"/>
          <w:lang w:val="en-NZ"/>
        </w:rPr>
      </w:pPr>
      <w:r>
        <w:rPr>
          <w:b/>
          <w:sz w:val="18"/>
          <w:szCs w:val="18"/>
          <w:lang w:val="en-NZ"/>
        </w:rPr>
        <w:t>Table</w:t>
      </w:r>
      <w:r w:rsidRPr="00A841E9">
        <w:rPr>
          <w:b/>
          <w:sz w:val="18"/>
          <w:szCs w:val="18"/>
          <w:lang w:val="en-NZ"/>
        </w:rPr>
        <w:t xml:space="preserve"> </w:t>
      </w:r>
      <w:r w:rsidR="00093548">
        <w:rPr>
          <w:b/>
          <w:sz w:val="18"/>
          <w:szCs w:val="18"/>
          <w:lang w:val="en-NZ"/>
        </w:rPr>
        <w:t>B.10</w:t>
      </w:r>
    </w:p>
    <w:p w:rsidR="00E94D11" w:rsidRDefault="00E94D11" w:rsidP="00E94D11">
      <w:pPr>
        <w:spacing w:after="120"/>
        <w:jc w:val="center"/>
        <w:rPr>
          <w:b/>
          <w:sz w:val="18"/>
          <w:szCs w:val="18"/>
          <w:lang w:val="en-NZ"/>
        </w:rPr>
      </w:pPr>
      <w:r>
        <w:rPr>
          <w:b/>
          <w:sz w:val="18"/>
          <w:szCs w:val="18"/>
          <w:lang w:val="en-NZ"/>
        </w:rPr>
        <w:t>Gini scores (x100) for market and disposable household income, 1986 to 2011 (18-64 yrs)</w:t>
      </w:r>
    </w:p>
    <w:tbl>
      <w:tblPr>
        <w:tblStyle w:val="TableGrid"/>
        <w:tblW w:w="0" w:type="auto"/>
        <w:tblInd w:w="1998" w:type="dxa"/>
        <w:tblLook w:val="01E0"/>
      </w:tblPr>
      <w:tblGrid>
        <w:gridCol w:w="1453"/>
        <w:gridCol w:w="1454"/>
        <w:gridCol w:w="1454"/>
        <w:gridCol w:w="1039"/>
      </w:tblGrid>
      <w:tr w:rsidR="00E94D11">
        <w:tc>
          <w:tcPr>
            <w:tcW w:w="1453" w:type="dxa"/>
            <w:vAlign w:val="center"/>
          </w:tcPr>
          <w:p w:rsidR="00E94D11" w:rsidRPr="00664C0C" w:rsidRDefault="00E94D11" w:rsidP="00CA1769">
            <w:pPr>
              <w:spacing w:before="40" w:after="40"/>
              <w:jc w:val="center"/>
              <w:rPr>
                <w:b/>
                <w:sz w:val="16"/>
                <w:szCs w:val="16"/>
                <w:lang w:val="en-NZ"/>
              </w:rPr>
            </w:pPr>
            <w:r w:rsidRPr="00664C0C">
              <w:rPr>
                <w:b/>
                <w:sz w:val="16"/>
                <w:szCs w:val="16"/>
                <w:lang w:val="en-NZ"/>
              </w:rPr>
              <w:t>HES year</w:t>
            </w:r>
          </w:p>
        </w:tc>
        <w:tc>
          <w:tcPr>
            <w:tcW w:w="1454" w:type="dxa"/>
            <w:vAlign w:val="center"/>
          </w:tcPr>
          <w:p w:rsidR="00E94D11" w:rsidRPr="00664C0C" w:rsidRDefault="00E94D11" w:rsidP="00CA1769">
            <w:pPr>
              <w:spacing w:before="40" w:after="40"/>
              <w:jc w:val="center"/>
              <w:rPr>
                <w:b/>
                <w:sz w:val="16"/>
                <w:szCs w:val="16"/>
                <w:lang w:val="en-NZ"/>
              </w:rPr>
            </w:pPr>
            <w:r w:rsidRPr="00664C0C">
              <w:rPr>
                <w:b/>
                <w:sz w:val="16"/>
                <w:szCs w:val="16"/>
                <w:lang w:val="en-NZ"/>
              </w:rPr>
              <w:t>Before</w:t>
            </w:r>
            <w:r>
              <w:rPr>
                <w:b/>
                <w:sz w:val="16"/>
                <w:szCs w:val="16"/>
                <w:lang w:val="en-NZ"/>
              </w:rPr>
              <w:t xml:space="preserve"> taxes and transfers (market income)</w:t>
            </w:r>
          </w:p>
        </w:tc>
        <w:tc>
          <w:tcPr>
            <w:tcW w:w="1454" w:type="dxa"/>
            <w:vAlign w:val="center"/>
          </w:tcPr>
          <w:p w:rsidR="00E94D11" w:rsidRPr="00664C0C" w:rsidRDefault="00E94D11" w:rsidP="00CA1769">
            <w:pPr>
              <w:spacing w:before="40" w:after="40"/>
              <w:jc w:val="center"/>
              <w:rPr>
                <w:b/>
                <w:sz w:val="16"/>
                <w:szCs w:val="16"/>
                <w:lang w:val="en-NZ"/>
              </w:rPr>
            </w:pPr>
            <w:r w:rsidRPr="00664C0C">
              <w:rPr>
                <w:b/>
                <w:sz w:val="16"/>
                <w:szCs w:val="16"/>
                <w:lang w:val="en-NZ"/>
              </w:rPr>
              <w:t>After</w:t>
            </w:r>
            <w:r>
              <w:rPr>
                <w:b/>
                <w:sz w:val="16"/>
                <w:szCs w:val="16"/>
                <w:lang w:val="en-NZ"/>
              </w:rPr>
              <w:t xml:space="preserve"> taxes and transfers (disposable income)</w:t>
            </w:r>
          </w:p>
        </w:tc>
        <w:tc>
          <w:tcPr>
            <w:tcW w:w="1039" w:type="dxa"/>
            <w:vAlign w:val="center"/>
          </w:tcPr>
          <w:p w:rsidR="00E94D11" w:rsidRPr="00664C0C" w:rsidRDefault="00E94D11" w:rsidP="00CA1769">
            <w:pPr>
              <w:spacing w:before="40" w:after="40"/>
              <w:jc w:val="center"/>
              <w:rPr>
                <w:b/>
                <w:sz w:val="16"/>
                <w:szCs w:val="16"/>
                <w:lang w:val="en-NZ"/>
              </w:rPr>
            </w:pPr>
            <w:r w:rsidRPr="00664C0C">
              <w:rPr>
                <w:b/>
                <w:sz w:val="16"/>
                <w:szCs w:val="16"/>
                <w:lang w:val="en-NZ"/>
              </w:rPr>
              <w:t>Reduction</w:t>
            </w:r>
            <w:r>
              <w:rPr>
                <w:b/>
                <w:sz w:val="16"/>
                <w:szCs w:val="16"/>
                <w:lang w:val="en-NZ"/>
              </w:rPr>
              <w:t xml:space="preserve"> (%)</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1986</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36.4</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26.4</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27</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1991</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42.4</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31.3</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26</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1996</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43.1</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32.9</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24</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2001</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43.1</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33.1</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23</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2004</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41.7</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32.9</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21</w:t>
            </w:r>
          </w:p>
        </w:tc>
      </w:tr>
      <w:tr w:rsidR="00E94D11">
        <w:tc>
          <w:tcPr>
            <w:tcW w:w="1453" w:type="dxa"/>
            <w:vAlign w:val="center"/>
          </w:tcPr>
          <w:p w:rsidR="00E94D11" w:rsidRPr="00664C0C" w:rsidRDefault="00E94D11" w:rsidP="00CA1769">
            <w:pPr>
              <w:spacing w:before="40" w:after="40"/>
              <w:jc w:val="center"/>
              <w:rPr>
                <w:sz w:val="16"/>
                <w:szCs w:val="16"/>
                <w:lang w:val="en-NZ"/>
              </w:rPr>
            </w:pPr>
            <w:r w:rsidRPr="00664C0C">
              <w:rPr>
                <w:sz w:val="16"/>
                <w:szCs w:val="16"/>
                <w:lang w:val="en-NZ"/>
              </w:rPr>
              <w:t>2009</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40.3</w:t>
            </w:r>
          </w:p>
        </w:tc>
        <w:tc>
          <w:tcPr>
            <w:tcW w:w="1454" w:type="dxa"/>
            <w:vAlign w:val="center"/>
          </w:tcPr>
          <w:p w:rsidR="00E94D11" w:rsidRPr="00664C0C" w:rsidRDefault="00E94D11" w:rsidP="00CA1769">
            <w:pPr>
              <w:spacing w:before="40" w:after="40"/>
              <w:jc w:val="center"/>
              <w:rPr>
                <w:sz w:val="16"/>
                <w:szCs w:val="16"/>
                <w:lang w:val="en-NZ"/>
              </w:rPr>
            </w:pPr>
            <w:r>
              <w:rPr>
                <w:sz w:val="16"/>
                <w:szCs w:val="16"/>
                <w:lang w:val="en-NZ"/>
              </w:rPr>
              <w:t>32.3</w:t>
            </w:r>
          </w:p>
        </w:tc>
        <w:tc>
          <w:tcPr>
            <w:tcW w:w="1039" w:type="dxa"/>
            <w:vAlign w:val="center"/>
          </w:tcPr>
          <w:p w:rsidR="00E94D11" w:rsidRPr="00664C0C" w:rsidRDefault="00E94D11" w:rsidP="00CA1769">
            <w:pPr>
              <w:spacing w:before="40" w:after="40"/>
              <w:jc w:val="center"/>
              <w:rPr>
                <w:sz w:val="16"/>
                <w:szCs w:val="16"/>
                <w:lang w:val="en-NZ"/>
              </w:rPr>
            </w:pPr>
            <w:r>
              <w:rPr>
                <w:sz w:val="16"/>
                <w:szCs w:val="16"/>
                <w:lang w:val="en-NZ"/>
              </w:rPr>
              <w:t>20</w:t>
            </w:r>
          </w:p>
        </w:tc>
      </w:tr>
      <w:tr w:rsidR="00E94D11">
        <w:tc>
          <w:tcPr>
            <w:tcW w:w="1453" w:type="dxa"/>
            <w:vAlign w:val="center"/>
          </w:tcPr>
          <w:p w:rsidR="00E94D11" w:rsidRPr="00664C0C" w:rsidRDefault="00E94D11" w:rsidP="00CA1769">
            <w:pPr>
              <w:spacing w:before="40" w:after="40"/>
              <w:jc w:val="center"/>
              <w:rPr>
                <w:sz w:val="16"/>
                <w:szCs w:val="16"/>
                <w:lang w:val="en-NZ"/>
              </w:rPr>
            </w:pPr>
            <w:r>
              <w:rPr>
                <w:sz w:val="16"/>
                <w:szCs w:val="16"/>
                <w:lang w:val="en-NZ"/>
              </w:rPr>
              <w:t>2010</w:t>
            </w:r>
          </w:p>
        </w:tc>
        <w:tc>
          <w:tcPr>
            <w:tcW w:w="1454" w:type="dxa"/>
            <w:vAlign w:val="center"/>
          </w:tcPr>
          <w:p w:rsidR="00E94D11" w:rsidRDefault="00E94D11" w:rsidP="00CA1769">
            <w:pPr>
              <w:spacing w:before="40" w:after="40"/>
              <w:jc w:val="center"/>
              <w:rPr>
                <w:sz w:val="16"/>
                <w:szCs w:val="16"/>
                <w:lang w:val="en-NZ"/>
              </w:rPr>
            </w:pPr>
            <w:r>
              <w:rPr>
                <w:sz w:val="16"/>
                <w:szCs w:val="16"/>
                <w:lang w:val="en-NZ"/>
              </w:rPr>
              <w:t>38.3</w:t>
            </w:r>
          </w:p>
        </w:tc>
        <w:tc>
          <w:tcPr>
            <w:tcW w:w="1454" w:type="dxa"/>
            <w:vAlign w:val="center"/>
          </w:tcPr>
          <w:p w:rsidR="00E94D11" w:rsidRDefault="00E94D11" w:rsidP="00CA1769">
            <w:pPr>
              <w:spacing w:before="40" w:after="40"/>
              <w:jc w:val="center"/>
              <w:rPr>
                <w:sz w:val="16"/>
                <w:szCs w:val="16"/>
                <w:lang w:val="en-NZ"/>
              </w:rPr>
            </w:pPr>
            <w:r>
              <w:rPr>
                <w:sz w:val="16"/>
                <w:szCs w:val="16"/>
                <w:lang w:val="en-NZ"/>
              </w:rPr>
              <w:t>30.2</w:t>
            </w:r>
          </w:p>
        </w:tc>
        <w:tc>
          <w:tcPr>
            <w:tcW w:w="1039" w:type="dxa"/>
            <w:vAlign w:val="center"/>
          </w:tcPr>
          <w:p w:rsidR="00E94D11" w:rsidRDefault="00E94D11" w:rsidP="00CA1769">
            <w:pPr>
              <w:spacing w:before="40" w:after="40"/>
              <w:jc w:val="center"/>
              <w:rPr>
                <w:sz w:val="16"/>
                <w:szCs w:val="16"/>
                <w:lang w:val="en-NZ"/>
              </w:rPr>
            </w:pPr>
            <w:r>
              <w:rPr>
                <w:sz w:val="16"/>
                <w:szCs w:val="16"/>
                <w:lang w:val="en-NZ"/>
              </w:rPr>
              <w:t>21</w:t>
            </w:r>
          </w:p>
        </w:tc>
      </w:tr>
      <w:tr w:rsidR="00E94D11">
        <w:tc>
          <w:tcPr>
            <w:tcW w:w="1453" w:type="dxa"/>
            <w:vAlign w:val="center"/>
          </w:tcPr>
          <w:p w:rsidR="00E94D11" w:rsidRPr="00664C0C" w:rsidRDefault="00E94D11" w:rsidP="00CA1769">
            <w:pPr>
              <w:spacing w:before="40" w:after="40"/>
              <w:jc w:val="center"/>
              <w:rPr>
                <w:sz w:val="16"/>
                <w:szCs w:val="16"/>
                <w:lang w:val="en-NZ"/>
              </w:rPr>
            </w:pPr>
            <w:r>
              <w:rPr>
                <w:sz w:val="16"/>
                <w:szCs w:val="16"/>
                <w:lang w:val="en-NZ"/>
              </w:rPr>
              <w:t>2011</w:t>
            </w:r>
          </w:p>
        </w:tc>
        <w:tc>
          <w:tcPr>
            <w:tcW w:w="1454" w:type="dxa"/>
            <w:vAlign w:val="center"/>
          </w:tcPr>
          <w:p w:rsidR="00E94D11" w:rsidRDefault="00E94D11" w:rsidP="00CA1769">
            <w:pPr>
              <w:spacing w:before="40" w:after="40"/>
              <w:jc w:val="center"/>
              <w:rPr>
                <w:sz w:val="16"/>
                <w:szCs w:val="16"/>
                <w:lang w:val="en-NZ"/>
              </w:rPr>
            </w:pPr>
            <w:r>
              <w:rPr>
                <w:sz w:val="16"/>
                <w:szCs w:val="16"/>
                <w:lang w:val="en-NZ"/>
              </w:rPr>
              <w:t>42.2</w:t>
            </w:r>
          </w:p>
        </w:tc>
        <w:tc>
          <w:tcPr>
            <w:tcW w:w="1454" w:type="dxa"/>
            <w:vAlign w:val="center"/>
          </w:tcPr>
          <w:p w:rsidR="00E94D11" w:rsidRDefault="00E94D11" w:rsidP="00CA1769">
            <w:pPr>
              <w:spacing w:before="40" w:after="40"/>
              <w:jc w:val="center"/>
              <w:rPr>
                <w:sz w:val="16"/>
                <w:szCs w:val="16"/>
                <w:lang w:val="en-NZ"/>
              </w:rPr>
            </w:pPr>
            <w:r>
              <w:rPr>
                <w:sz w:val="16"/>
                <w:szCs w:val="16"/>
                <w:lang w:val="en-NZ"/>
              </w:rPr>
              <w:t>33.5</w:t>
            </w:r>
          </w:p>
        </w:tc>
        <w:tc>
          <w:tcPr>
            <w:tcW w:w="1039" w:type="dxa"/>
            <w:vAlign w:val="center"/>
          </w:tcPr>
          <w:p w:rsidR="00E94D11" w:rsidRDefault="00E94D11" w:rsidP="00CA1769">
            <w:pPr>
              <w:spacing w:before="40" w:after="40"/>
              <w:jc w:val="center"/>
              <w:rPr>
                <w:sz w:val="16"/>
                <w:szCs w:val="16"/>
                <w:lang w:val="en-NZ"/>
              </w:rPr>
            </w:pPr>
            <w:r>
              <w:rPr>
                <w:sz w:val="16"/>
                <w:szCs w:val="16"/>
                <w:lang w:val="en-NZ"/>
              </w:rPr>
              <w:t>21</w:t>
            </w:r>
          </w:p>
        </w:tc>
      </w:tr>
    </w:tbl>
    <w:p w:rsidR="00E94D11" w:rsidRPr="00B16CE7" w:rsidRDefault="00E94D11" w:rsidP="00E94D11">
      <w:pPr>
        <w:jc w:val="center"/>
        <w:rPr>
          <w:sz w:val="18"/>
          <w:szCs w:val="18"/>
        </w:rPr>
      </w:pPr>
    </w:p>
    <w:p w:rsidR="00E94D11" w:rsidRPr="00B3126B" w:rsidRDefault="00E94D11" w:rsidP="00E94D11">
      <w:pPr>
        <w:spacing w:after="60"/>
        <w:ind w:left="2340" w:right="1271" w:hanging="720"/>
        <w:jc w:val="both"/>
        <w:rPr>
          <w:sz w:val="16"/>
          <w:szCs w:val="16"/>
        </w:rPr>
      </w:pPr>
      <w:r w:rsidRPr="00B3126B">
        <w:rPr>
          <w:sz w:val="16"/>
          <w:szCs w:val="16"/>
        </w:rPr>
        <w:t xml:space="preserve">Source: </w:t>
      </w:r>
      <w:r w:rsidRPr="00B3126B">
        <w:rPr>
          <w:sz w:val="16"/>
          <w:szCs w:val="16"/>
        </w:rPr>
        <w:tab/>
        <w:t xml:space="preserve">HES-based analysis </w:t>
      </w:r>
      <w:r>
        <w:rPr>
          <w:sz w:val="16"/>
          <w:szCs w:val="16"/>
        </w:rPr>
        <w:t>sent to OECD by Statistics New Z</w:t>
      </w:r>
      <w:r w:rsidRPr="00B3126B">
        <w:rPr>
          <w:sz w:val="16"/>
          <w:szCs w:val="16"/>
        </w:rPr>
        <w:t xml:space="preserve">ealand for the </w:t>
      </w:r>
      <w:r>
        <w:rPr>
          <w:sz w:val="16"/>
          <w:szCs w:val="16"/>
        </w:rPr>
        <w:t xml:space="preserve"> 2010 </w:t>
      </w:r>
      <w:r w:rsidRPr="00B3126B">
        <w:rPr>
          <w:sz w:val="16"/>
          <w:szCs w:val="16"/>
        </w:rPr>
        <w:t>OECD Incomes Questionnaire</w:t>
      </w:r>
      <w:r>
        <w:rPr>
          <w:sz w:val="16"/>
          <w:szCs w:val="16"/>
        </w:rPr>
        <w:t>.</w:t>
      </w:r>
    </w:p>
    <w:p w:rsidR="00E94D11" w:rsidRDefault="00E94D11" w:rsidP="00E94D11">
      <w:pPr>
        <w:jc w:val="center"/>
      </w:pPr>
    </w:p>
    <w:p w:rsidR="00E94D11" w:rsidRDefault="00E94D11" w:rsidP="00E94D11">
      <w:pPr>
        <w:jc w:val="both"/>
        <w:rPr>
          <w:rFonts w:cs="Arial"/>
          <w:sz w:val="20"/>
          <w:szCs w:val="22"/>
          <w:lang w:val="en-NZ"/>
        </w:rPr>
      </w:pPr>
      <w:r>
        <w:rPr>
          <w:rFonts w:cs="Arial"/>
          <w:sz w:val="20"/>
          <w:szCs w:val="22"/>
          <w:lang w:val="en-NZ"/>
        </w:rPr>
        <w:t>For working-age New Zealanders (aged 18 to 6</w:t>
      </w:r>
      <w:r w:rsidR="00AE44C0">
        <w:rPr>
          <w:rFonts w:cs="Arial"/>
          <w:sz w:val="20"/>
          <w:szCs w:val="22"/>
          <w:lang w:val="en-NZ"/>
        </w:rPr>
        <w:t>4</w:t>
      </w:r>
      <w:r>
        <w:rPr>
          <w:rFonts w:cs="Arial"/>
          <w:sz w:val="20"/>
          <w:szCs w:val="22"/>
          <w:lang w:val="en-NZ"/>
        </w:rPr>
        <w:t xml:space="preserve"> years) in 2009, the household market income Gini was 40.3, reducing to 32.3 after taxes and transfers.  This 20% reduction is similar to Ireland (19%) and Canada (21%), a little less than Australia (23%) and the UK (24%), and much lower than many European countries such as Sweden, Norway, France and Austria (30-32% reductions).  The average OECD reduction is 24%.  </w:t>
      </w:r>
    </w:p>
    <w:p w:rsidR="00E94D11" w:rsidRDefault="00E94D11" w:rsidP="00E94D11">
      <w:pPr>
        <w:jc w:val="both"/>
        <w:rPr>
          <w:rFonts w:cs="Arial"/>
          <w:sz w:val="20"/>
          <w:szCs w:val="22"/>
          <w:lang w:val="en-NZ"/>
        </w:rPr>
      </w:pPr>
    </w:p>
    <w:p w:rsidR="00AE44C0" w:rsidRDefault="00AE44C0" w:rsidP="00E94D11">
      <w:pPr>
        <w:jc w:val="both"/>
        <w:rPr>
          <w:rFonts w:cs="Arial"/>
          <w:sz w:val="20"/>
          <w:szCs w:val="22"/>
          <w:lang w:val="en-NZ"/>
        </w:rPr>
      </w:pPr>
    </w:p>
    <w:p w:rsidR="00E94D11" w:rsidRDefault="00E94D11" w:rsidP="00E94D11">
      <w:pPr>
        <w:jc w:val="both"/>
        <w:rPr>
          <w:rFonts w:cs="Arial"/>
          <w:sz w:val="20"/>
          <w:szCs w:val="22"/>
          <w:lang w:val="en-NZ"/>
        </w:rPr>
      </w:pPr>
      <w:r>
        <w:br w:type="page"/>
      </w:r>
    </w:p>
    <w:p w:rsidR="00AE44C0" w:rsidRPr="00AE44C0" w:rsidRDefault="00AE44C0" w:rsidP="007B3E55">
      <w:pPr>
        <w:jc w:val="both"/>
        <w:rPr>
          <w:rFonts w:cs="Arial"/>
          <w:b/>
          <w:sz w:val="20"/>
          <w:szCs w:val="22"/>
          <w:lang w:val="en-NZ"/>
        </w:rPr>
      </w:pPr>
      <w:r w:rsidRPr="00AE44C0">
        <w:rPr>
          <w:rFonts w:cs="Arial"/>
          <w:b/>
          <w:sz w:val="20"/>
          <w:szCs w:val="22"/>
          <w:lang w:val="en-NZ"/>
        </w:rPr>
        <w:t>‘Final household income</w:t>
      </w:r>
      <w:r>
        <w:rPr>
          <w:rFonts w:cs="Arial"/>
          <w:b/>
          <w:sz w:val="20"/>
          <w:szCs w:val="22"/>
          <w:lang w:val="en-NZ"/>
        </w:rPr>
        <w:t>’</w:t>
      </w:r>
    </w:p>
    <w:p w:rsidR="00AE44C0" w:rsidRDefault="00AE44C0" w:rsidP="007B3E55">
      <w:pPr>
        <w:jc w:val="both"/>
        <w:rPr>
          <w:rFonts w:cs="Arial"/>
          <w:sz w:val="20"/>
          <w:szCs w:val="22"/>
          <w:lang w:val="en-NZ"/>
        </w:rPr>
      </w:pPr>
    </w:p>
    <w:p w:rsidR="007B3E55" w:rsidRPr="001F42D8" w:rsidRDefault="007B3E55" w:rsidP="007B3E55">
      <w:pPr>
        <w:jc w:val="both"/>
        <w:rPr>
          <w:rFonts w:cs="Arial"/>
          <w:sz w:val="20"/>
          <w:szCs w:val="22"/>
          <w:lang w:val="en-NZ"/>
        </w:rPr>
      </w:pPr>
      <w:r w:rsidRPr="001F42D8">
        <w:rPr>
          <w:rFonts w:cs="Arial"/>
          <w:sz w:val="20"/>
          <w:szCs w:val="22"/>
          <w:lang w:val="en-NZ"/>
        </w:rPr>
        <w:t>Figure B.</w:t>
      </w:r>
      <w:r>
        <w:rPr>
          <w:rFonts w:cs="Arial"/>
          <w:sz w:val="20"/>
          <w:szCs w:val="22"/>
          <w:lang w:val="en-NZ"/>
        </w:rPr>
        <w:t>5</w:t>
      </w:r>
      <w:r w:rsidRPr="001F42D8">
        <w:rPr>
          <w:rFonts w:cs="Arial"/>
          <w:sz w:val="20"/>
          <w:szCs w:val="22"/>
          <w:lang w:val="en-NZ"/>
        </w:rPr>
        <w:t xml:space="preserve"> tells only a part of the government transfer story.  Households also receive government-funded health and education services which means that they do not have to pay for them directly from their own income.  These services can be seen as a form of income or in-kind government benefit to be counted along with any cash benefits received.  Households also pay consumption taxes (mainly the goods and services tax (GST)) when they spend money on goods and services.</w:t>
      </w:r>
    </w:p>
    <w:p w:rsidR="007B3E55" w:rsidRPr="001F42D8" w:rsidRDefault="007B3E55" w:rsidP="007B3E55">
      <w:pPr>
        <w:jc w:val="both"/>
        <w:rPr>
          <w:rFonts w:cs="Arial"/>
          <w:sz w:val="20"/>
          <w:szCs w:val="22"/>
          <w:lang w:val="en-NZ"/>
        </w:rPr>
      </w:pPr>
    </w:p>
    <w:p w:rsidR="007B3E55" w:rsidRPr="00823CAD" w:rsidRDefault="007B3E55" w:rsidP="007B3E55">
      <w:pPr>
        <w:jc w:val="both"/>
        <w:rPr>
          <w:rFonts w:cs="Arial"/>
          <w:b/>
          <w:color w:val="000000"/>
          <w:sz w:val="16"/>
          <w:szCs w:val="16"/>
        </w:rPr>
      </w:pPr>
      <w:r>
        <w:rPr>
          <w:rFonts w:cs="Arial"/>
          <w:b/>
          <w:noProof/>
          <w:color w:val="000000"/>
          <w:sz w:val="16"/>
          <w:szCs w:val="16"/>
          <w:lang w:val="en-US"/>
        </w:rPr>
        <w:pict>
          <v:shape id="_x0000_s1203" type="#_x0000_t202" style="position:absolute;left:0;text-align:left;margin-left:394.55pt;margin-top:85.05pt;width:190.5pt;height:24pt;z-index:251652608;mso-wrap-distance-left:14.4pt;mso-wrap-distance-right:0;mso-position-horizontal:right" stroked="f">
            <v:textbox style="mso-next-textbox:#_x0000_s1203">
              <w:txbxContent>
                <w:p w:rsidR="00DE4A2A" w:rsidRDefault="00DE4A2A" w:rsidP="007B3E55">
                  <w:pPr>
                    <w:jc w:val="center"/>
                    <w:rPr>
                      <w:b/>
                      <w:sz w:val="16"/>
                      <w:szCs w:val="16"/>
                      <w:lang w:val="en-NZ"/>
                    </w:rPr>
                  </w:pPr>
                  <w:r w:rsidRPr="0025092A">
                    <w:rPr>
                      <w:b/>
                      <w:sz w:val="16"/>
                      <w:szCs w:val="16"/>
                      <w:lang w:val="en-NZ"/>
                    </w:rPr>
                    <w:t>Figure B.</w:t>
                  </w:r>
                  <w:r>
                    <w:rPr>
                      <w:b/>
                      <w:sz w:val="16"/>
                      <w:szCs w:val="16"/>
                      <w:lang w:val="en-NZ"/>
                    </w:rPr>
                    <w:t>7</w:t>
                  </w:r>
                </w:p>
                <w:p w:rsidR="00DE4A2A" w:rsidRPr="0025092A" w:rsidRDefault="00DE4A2A" w:rsidP="007B3E55">
                  <w:pPr>
                    <w:jc w:val="center"/>
                    <w:rPr>
                      <w:b/>
                      <w:sz w:val="16"/>
                      <w:szCs w:val="16"/>
                      <w:lang w:val="en-NZ"/>
                    </w:rPr>
                  </w:pPr>
                  <w:r>
                    <w:rPr>
                      <w:b/>
                      <w:sz w:val="16"/>
                      <w:szCs w:val="16"/>
                      <w:lang w:val="en-NZ"/>
                    </w:rPr>
                    <w:t>Redistribution of market income: HES 1998</w:t>
                  </w:r>
                </w:p>
              </w:txbxContent>
            </v:textbox>
            <w10:wrap type="square" side="left"/>
          </v:shape>
        </w:pict>
      </w:r>
      <w:r w:rsidRPr="001F42D8">
        <w:rPr>
          <w:rFonts w:cs="Arial"/>
          <w:sz w:val="20"/>
          <w:szCs w:val="22"/>
          <w:lang w:val="en-NZ"/>
        </w:rPr>
        <w:t xml:space="preserve">In this broader framework the concept of ‘final household income’ is sometimes used as a means of taking into account cash and in-kind income from the market and the government and consumption taxes as well as income taxes.  Crawford and Johnston (2004) have shown that, using a ‘final household income’ approach, there is further redistribution from more well-off households to less well-off households because households in the higher income deciles pay more consumption tax and also receive less in the way of in-kind benefits from education and health spending combined.  They conclude that ‘final incomes are more equally distributed than disposable incomes’ (p29).  </w:t>
      </w:r>
    </w:p>
    <w:p w:rsidR="007B3E55" w:rsidRPr="007A748A" w:rsidRDefault="007B3E55" w:rsidP="007B3E55">
      <w:pPr>
        <w:ind w:left="4950"/>
        <w:jc w:val="center"/>
        <w:rPr>
          <w:u w:val="single"/>
        </w:rPr>
      </w:pPr>
    </w:p>
    <w:p w:rsidR="007B3E55" w:rsidRDefault="00EC0BE0" w:rsidP="007B3E55">
      <w:pPr>
        <w:jc w:val="both"/>
        <w:rPr>
          <w:rFonts w:cs="Arial"/>
          <w:sz w:val="20"/>
          <w:szCs w:val="22"/>
          <w:lang w:val="en-NZ"/>
        </w:rPr>
      </w:pPr>
      <w:r>
        <w:rPr>
          <w:noProof/>
          <w:lang w:val="en-US"/>
        </w:rPr>
        <w:drawing>
          <wp:anchor distT="0" distB="0" distL="182880" distR="0" simplePos="0" relativeHeight="251653632" behindDoc="0" locked="0" layoutInCell="1" allowOverlap="1">
            <wp:simplePos x="0" y="0"/>
            <wp:positionH relativeFrom="column">
              <wp:align>right</wp:align>
            </wp:positionH>
            <wp:positionV relativeFrom="paragraph">
              <wp:posOffset>0</wp:posOffset>
            </wp:positionV>
            <wp:extent cx="2581275" cy="1600200"/>
            <wp:effectExtent l="0" t="0" r="0" b="0"/>
            <wp:wrapSquare wrapText="lef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srcRect/>
                    <a:stretch>
                      <a:fillRect/>
                    </a:stretch>
                  </pic:blipFill>
                  <pic:spPr bwMode="auto">
                    <a:xfrm>
                      <a:off x="0" y="0"/>
                      <a:ext cx="2581275" cy="1600200"/>
                    </a:xfrm>
                    <a:prstGeom prst="rect">
                      <a:avLst/>
                    </a:prstGeom>
                    <a:noFill/>
                    <a:ln w="9525">
                      <a:noFill/>
                      <a:miter lim="800000"/>
                      <a:headEnd/>
                      <a:tailEnd/>
                    </a:ln>
                  </pic:spPr>
                </pic:pic>
              </a:graphicData>
            </a:graphic>
          </wp:anchor>
        </w:drawing>
      </w:r>
      <w:r w:rsidR="007B3E55" w:rsidRPr="001F42D8">
        <w:rPr>
          <w:rFonts w:cs="Arial"/>
          <w:sz w:val="20"/>
          <w:szCs w:val="22"/>
          <w:lang w:val="en-NZ"/>
        </w:rPr>
        <w:t xml:space="preserve">This finding is illustrated in </w:t>
      </w:r>
      <w:r w:rsidR="007B3E55" w:rsidRPr="001F42D8">
        <w:rPr>
          <w:rFonts w:cs="Arial"/>
          <w:b/>
          <w:sz w:val="20"/>
          <w:szCs w:val="22"/>
          <w:lang w:val="en-NZ"/>
        </w:rPr>
        <w:t>Figure B.</w:t>
      </w:r>
      <w:r w:rsidR="00093050">
        <w:rPr>
          <w:rFonts w:cs="Arial"/>
          <w:b/>
          <w:sz w:val="20"/>
          <w:szCs w:val="22"/>
          <w:lang w:val="en-NZ"/>
        </w:rPr>
        <w:t>7</w:t>
      </w:r>
      <w:r w:rsidR="007B3E55" w:rsidRPr="001F42D8">
        <w:rPr>
          <w:rFonts w:cs="Arial"/>
          <w:sz w:val="20"/>
          <w:szCs w:val="22"/>
          <w:lang w:val="en-NZ"/>
        </w:rPr>
        <w:t xml:space="preserve"> which compares the redistribution using both the narrower and broader frameworks for 1998.  </w:t>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r w:rsidRPr="00357D77">
        <w:rPr>
          <w:rFonts w:cs="Arial"/>
          <w:sz w:val="20"/>
          <w:szCs w:val="22"/>
          <w:lang w:val="en-NZ"/>
        </w:rPr>
        <w:t xml:space="preserve">The large </w:t>
      </w:r>
      <w:r>
        <w:rPr>
          <w:rFonts w:cs="Arial"/>
          <w:sz w:val="20"/>
          <w:szCs w:val="22"/>
          <w:lang w:val="en-NZ"/>
        </w:rPr>
        <w:t xml:space="preserve">additional </w:t>
      </w:r>
      <w:r w:rsidRPr="00357D77">
        <w:rPr>
          <w:rFonts w:cs="Arial"/>
          <w:sz w:val="20"/>
          <w:szCs w:val="22"/>
          <w:lang w:val="en-NZ"/>
        </w:rPr>
        <w:t>transfer to low</w:t>
      </w:r>
      <w:r>
        <w:rPr>
          <w:rFonts w:cs="Arial"/>
          <w:sz w:val="20"/>
          <w:szCs w:val="22"/>
          <w:lang w:val="en-NZ"/>
        </w:rPr>
        <w:t>-</w:t>
      </w:r>
      <w:r w:rsidRPr="00357D77">
        <w:rPr>
          <w:rFonts w:cs="Arial"/>
          <w:sz w:val="20"/>
          <w:szCs w:val="22"/>
          <w:lang w:val="en-NZ"/>
        </w:rPr>
        <w:t xml:space="preserve"> to middle</w:t>
      </w:r>
      <w:r>
        <w:rPr>
          <w:rFonts w:cs="Arial"/>
          <w:sz w:val="20"/>
          <w:szCs w:val="22"/>
          <w:lang w:val="en-NZ"/>
        </w:rPr>
        <w:t>-</w:t>
      </w:r>
      <w:r w:rsidRPr="00357D77">
        <w:rPr>
          <w:rFonts w:cs="Arial"/>
          <w:sz w:val="20"/>
          <w:szCs w:val="22"/>
          <w:lang w:val="en-NZ"/>
        </w:rPr>
        <w:t xml:space="preserve">income households through the Working for Families package in 2005 to 2007 </w:t>
      </w:r>
      <w:r>
        <w:rPr>
          <w:rFonts w:cs="Arial"/>
          <w:sz w:val="20"/>
          <w:szCs w:val="22"/>
          <w:lang w:val="en-NZ"/>
        </w:rPr>
        <w:t>and the tax switch changes in October 2010 are</w:t>
      </w:r>
      <w:r w:rsidRPr="00357D77">
        <w:rPr>
          <w:rFonts w:cs="Arial"/>
          <w:sz w:val="20"/>
          <w:szCs w:val="22"/>
          <w:lang w:val="en-NZ"/>
        </w:rPr>
        <w:t xml:space="preserve"> not captured in their analysis, and the base data is now a decade out of date.  Their gene</w:t>
      </w:r>
      <w:r>
        <w:rPr>
          <w:rFonts w:cs="Arial"/>
          <w:sz w:val="20"/>
          <w:szCs w:val="22"/>
          <w:lang w:val="en-NZ"/>
        </w:rPr>
        <w:t>ral point remains valid however, and is consistent with other similar research from other OECD countries.</w:t>
      </w:r>
      <w:r>
        <w:rPr>
          <w:rStyle w:val="FootnoteReference"/>
          <w:rFonts w:cs="Arial"/>
          <w:sz w:val="20"/>
          <w:szCs w:val="22"/>
          <w:lang w:val="en-NZ"/>
        </w:rPr>
        <w:footnoteReference w:id="35"/>
      </w:r>
      <w:r>
        <w:rPr>
          <w:rFonts w:cs="Arial"/>
          <w:sz w:val="20"/>
          <w:szCs w:val="22"/>
          <w:lang w:val="en-NZ"/>
        </w:rPr>
        <w:t xml:space="preserve"> </w:t>
      </w:r>
    </w:p>
    <w:p w:rsidR="007B3E55" w:rsidRPr="00B00B02" w:rsidRDefault="007B3E55" w:rsidP="007B3E55">
      <w:pPr>
        <w:ind w:left="4140"/>
        <w:jc w:val="both"/>
        <w:rPr>
          <w:rFonts w:cs="Arial"/>
          <w:sz w:val="16"/>
          <w:szCs w:val="16"/>
          <w:lang w:val="en-NZ"/>
        </w:rPr>
      </w:pPr>
      <w:r w:rsidRPr="00B00B02">
        <w:rPr>
          <w:rFonts w:cs="Arial"/>
          <w:sz w:val="16"/>
          <w:szCs w:val="16"/>
          <w:u w:val="single"/>
          <w:lang w:val="en-NZ"/>
        </w:rPr>
        <w:t>Source</w:t>
      </w:r>
      <w:r w:rsidRPr="00B00B02">
        <w:rPr>
          <w:rFonts w:cs="Arial"/>
          <w:sz w:val="16"/>
          <w:szCs w:val="16"/>
          <w:lang w:val="en-NZ"/>
        </w:rPr>
        <w:t>:  Crawford and Johnston (2004), Appendix Tables 17-20.</w:t>
      </w:r>
    </w:p>
    <w:p w:rsidR="007B3E55" w:rsidRDefault="007B3E55" w:rsidP="007B3E55">
      <w:pPr>
        <w:jc w:val="both"/>
        <w:rPr>
          <w:rFonts w:cs="Arial"/>
          <w:sz w:val="20"/>
          <w:szCs w:val="22"/>
          <w:lang w:val="en-NZ"/>
        </w:rPr>
      </w:pPr>
    </w:p>
    <w:p w:rsidR="007B3E55" w:rsidRDefault="007B3E55" w:rsidP="007B3E55">
      <w:pPr>
        <w:jc w:val="both"/>
        <w:rPr>
          <w:rFonts w:cs="Arial"/>
          <w:sz w:val="20"/>
          <w:szCs w:val="22"/>
          <w:lang w:val="en-NZ"/>
        </w:rPr>
      </w:pPr>
      <w:r>
        <w:rPr>
          <w:rFonts w:cs="Arial"/>
          <w:sz w:val="20"/>
          <w:szCs w:val="22"/>
          <w:lang w:val="en-NZ"/>
        </w:rPr>
        <w:t>A recent example is an OECD study</w:t>
      </w:r>
      <w:r>
        <w:rPr>
          <w:rStyle w:val="FootnoteReference"/>
          <w:rFonts w:cs="Arial"/>
          <w:sz w:val="20"/>
          <w:szCs w:val="22"/>
          <w:lang w:val="en-NZ"/>
        </w:rPr>
        <w:footnoteReference w:id="36"/>
      </w:r>
      <w:r>
        <w:rPr>
          <w:rFonts w:cs="Arial"/>
          <w:sz w:val="20"/>
          <w:szCs w:val="22"/>
          <w:lang w:val="en-NZ"/>
        </w:rPr>
        <w:t xml:space="preserve"> on the equality-enhancing impact of taxes and cash transfers and of government services.  The study found that:</w:t>
      </w:r>
    </w:p>
    <w:p w:rsidR="007B3E55" w:rsidRDefault="007B3E55" w:rsidP="007B3E55">
      <w:pPr>
        <w:numPr>
          <w:ilvl w:val="0"/>
          <w:numId w:val="46"/>
        </w:numPr>
        <w:spacing w:before="120"/>
        <w:jc w:val="both"/>
        <w:rPr>
          <w:rFonts w:cs="Arial"/>
          <w:sz w:val="20"/>
        </w:rPr>
      </w:pPr>
      <w:r>
        <w:rPr>
          <w:rFonts w:cs="Arial"/>
          <w:sz w:val="20"/>
        </w:rPr>
        <w:t>public expenditure on the provision of social services (mainly health and education) significantly reduces inequality within countries and reduces the range of inequality otherwise found across countries</w:t>
      </w:r>
    </w:p>
    <w:p w:rsidR="007B3E55" w:rsidRDefault="007B3E55" w:rsidP="007B3E55">
      <w:pPr>
        <w:numPr>
          <w:ilvl w:val="0"/>
          <w:numId w:val="46"/>
        </w:numPr>
        <w:spacing w:before="120"/>
        <w:jc w:val="both"/>
        <w:rPr>
          <w:rFonts w:cs="Arial"/>
          <w:sz w:val="20"/>
        </w:rPr>
      </w:pPr>
      <w:r>
        <w:rPr>
          <w:rFonts w:cs="Arial"/>
          <w:sz w:val="20"/>
        </w:rPr>
        <w:t>the size of the reduction in inequality from government in-kind services is on average less than that achieved by income taxes and transfers, but is still significant – it is around a quarter when using the inter-quintile share and a half when using the Gini coefficient</w:t>
      </w:r>
      <w:r>
        <w:rPr>
          <w:rStyle w:val="FootnoteReference"/>
          <w:rFonts w:cs="Arial"/>
          <w:sz w:val="20"/>
        </w:rPr>
        <w:footnoteReference w:id="37"/>
      </w:r>
    </w:p>
    <w:p w:rsidR="007B3E55" w:rsidRDefault="007B3E55" w:rsidP="007B3E55">
      <w:pPr>
        <w:numPr>
          <w:ilvl w:val="0"/>
          <w:numId w:val="46"/>
        </w:numPr>
        <w:spacing w:before="120"/>
        <w:jc w:val="both"/>
        <w:rPr>
          <w:rFonts w:cs="Arial"/>
          <w:sz w:val="20"/>
        </w:rPr>
      </w:pPr>
      <w:r>
        <w:rPr>
          <w:rFonts w:cs="Arial"/>
          <w:sz w:val="20"/>
        </w:rPr>
        <w:t>the inequality-reducing impact of the countries’ tax and transfer systems is more variable across countries than the impact of public services</w:t>
      </w:r>
    </w:p>
    <w:p w:rsidR="007B3E55" w:rsidRDefault="007B3E55" w:rsidP="007B3E55">
      <w:pPr>
        <w:numPr>
          <w:ilvl w:val="0"/>
          <w:numId w:val="46"/>
        </w:numPr>
        <w:spacing w:before="120"/>
        <w:jc w:val="both"/>
        <w:rPr>
          <w:rFonts w:cs="Arial"/>
          <w:sz w:val="20"/>
        </w:rPr>
      </w:pPr>
      <w:r>
        <w:rPr>
          <w:rFonts w:cs="Arial"/>
          <w:sz w:val="20"/>
        </w:rPr>
        <w:t>the ranking of countries on inequality does not change very much when moving from a household disposable income measure to the broader measure that includes public services (correlation ~ 0.95).</w:t>
      </w:r>
    </w:p>
    <w:p w:rsidR="007B3E55" w:rsidRDefault="00CC17AF" w:rsidP="007B3E55">
      <w:pPr>
        <w:jc w:val="center"/>
        <w:rPr>
          <w:lang w:val="en-NZ"/>
        </w:rPr>
        <w:sectPr w:rsidR="007B3E55" w:rsidSect="00D16CD9">
          <w:headerReference w:type="default" r:id="rId33"/>
          <w:footerReference w:type="even" r:id="rId34"/>
          <w:footerReference w:type="default" r:id="rId35"/>
          <w:pgSz w:w="11909" w:h="16834" w:code="9"/>
          <w:pgMar w:top="1440" w:right="1584" w:bottom="1440" w:left="1584" w:header="706" w:footer="706" w:gutter="0"/>
          <w:cols w:space="720"/>
        </w:sectPr>
      </w:pPr>
      <w:r>
        <w:rPr>
          <w:lang w:val="en-NZ"/>
        </w:rPr>
        <w:br w:type="page"/>
      </w:r>
    </w:p>
    <w:p w:rsidR="007B3E55" w:rsidRPr="001F6116" w:rsidRDefault="007B3E55" w:rsidP="007B3E55">
      <w:pPr>
        <w:jc w:val="center"/>
        <w:rPr>
          <w:b/>
          <w:sz w:val="32"/>
          <w:szCs w:val="32"/>
        </w:rPr>
      </w:pPr>
      <w:bookmarkStart w:id="75" w:name="_Toc115142502"/>
      <w:r w:rsidRPr="001F6116">
        <w:rPr>
          <w:b/>
          <w:sz w:val="32"/>
          <w:szCs w:val="32"/>
        </w:rPr>
        <w:lastRenderedPageBreak/>
        <w:t xml:space="preserve">Section C </w:t>
      </w:r>
    </w:p>
    <w:p w:rsidR="007B3E55" w:rsidRPr="001F6116" w:rsidRDefault="007B3E55" w:rsidP="007B3E55">
      <w:pPr>
        <w:pStyle w:val="Heading1"/>
        <w:jc w:val="center"/>
        <w:rPr>
          <w:sz w:val="32"/>
        </w:rPr>
      </w:pPr>
      <w:r w:rsidRPr="001F6116">
        <w:rPr>
          <w:sz w:val="32"/>
        </w:rPr>
        <w:t>Trends in key labour market, demographic</w:t>
      </w:r>
      <w:r>
        <w:rPr>
          <w:sz w:val="32"/>
        </w:rPr>
        <w:t>, housing costs</w:t>
      </w:r>
      <w:r w:rsidRPr="001F6116">
        <w:rPr>
          <w:sz w:val="32"/>
        </w:rPr>
        <w:t xml:space="preserve"> and social assistance variables</w:t>
      </w:r>
    </w:p>
    <w:p w:rsidR="007B3E55" w:rsidRDefault="007B3E55" w:rsidP="007B3E55">
      <w:pPr>
        <w:jc w:val="both"/>
        <w:rPr>
          <w:rFonts w:cs="Arial"/>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This report is essentially descriptive.  It does not attempt, for example, to give a detailed explanation of changes in the income distribution by drawing on what we know about the impacts of key labour market, demographic, macro-economic and geo-political factors and of tax and social assistance policy settings.</w:t>
      </w:r>
      <w:r w:rsidRPr="00357D77">
        <w:rPr>
          <w:rStyle w:val="FootnoteReference"/>
          <w:rFonts w:cs="Arial"/>
          <w:sz w:val="20"/>
          <w:szCs w:val="22"/>
          <w:lang w:val="en-NZ"/>
        </w:rPr>
        <w:t xml:space="preserve"> </w:t>
      </w:r>
      <w:r w:rsidRPr="00357D77">
        <w:rPr>
          <w:rStyle w:val="FootnoteReference"/>
          <w:rFonts w:cs="Arial"/>
          <w:sz w:val="20"/>
          <w:szCs w:val="22"/>
          <w:lang w:val="en-NZ"/>
        </w:rPr>
        <w:footnoteReference w:id="38"/>
      </w:r>
      <w:r w:rsidRPr="00357D77">
        <w:rPr>
          <w:rFonts w:cs="Arial"/>
          <w:sz w:val="20"/>
          <w:szCs w:val="22"/>
          <w:lang w:val="en-NZ"/>
        </w:rPr>
        <w:t xml:space="preserve">  </w:t>
      </w:r>
    </w:p>
    <w:p w:rsidR="007B3E55" w:rsidRPr="00357D77" w:rsidRDefault="007B3E55" w:rsidP="007B3E55">
      <w:pPr>
        <w:jc w:val="both"/>
        <w:rPr>
          <w:rFonts w:cs="Arial"/>
          <w:sz w:val="20"/>
          <w:szCs w:val="22"/>
          <w:lang w:val="en-NZ"/>
        </w:rPr>
      </w:pPr>
      <w:r>
        <w:rPr>
          <w:rFonts w:cs="Arial"/>
          <w:sz w:val="20"/>
          <w:szCs w:val="22"/>
          <w:lang w:val="en-NZ"/>
        </w:rPr>
        <w:t xml:space="preserve"> </w:t>
      </w:r>
    </w:p>
    <w:p w:rsidR="007B3E55" w:rsidRPr="00357D77" w:rsidRDefault="007B3E55" w:rsidP="007B3E55">
      <w:pPr>
        <w:jc w:val="both"/>
        <w:rPr>
          <w:rFonts w:cs="Arial"/>
          <w:sz w:val="20"/>
          <w:szCs w:val="22"/>
          <w:lang w:val="en-NZ"/>
        </w:rPr>
      </w:pPr>
      <w:r w:rsidRPr="00357D77">
        <w:rPr>
          <w:rFonts w:cs="Arial"/>
          <w:sz w:val="20"/>
          <w:szCs w:val="22"/>
          <w:lang w:val="en-NZ"/>
        </w:rPr>
        <w:t>This section however goes a little beyond description by providing information on trends in some key variables which clearly impact on the income distribution.  These trends provide the basis for a high-level account of changes in the middle and at the lower end of the distribution in line with the main themes and focus of this paper.</w:t>
      </w:r>
    </w:p>
    <w:p w:rsidR="007B3E55" w:rsidRPr="00357D77" w:rsidRDefault="007B3E55" w:rsidP="007B3E55">
      <w:pPr>
        <w:jc w:val="both"/>
        <w:rPr>
          <w:rFonts w:cs="Arial"/>
          <w:sz w:val="20"/>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 xml:space="preserve">At a high level, the trend in real </w:t>
      </w:r>
      <w:smartTag w:uri="urn:schemas-microsoft-com:office:smarttags" w:element="stockticker">
        <w:r w:rsidRPr="00357D77">
          <w:rPr>
            <w:rFonts w:cs="Arial"/>
            <w:sz w:val="20"/>
            <w:szCs w:val="22"/>
            <w:lang w:val="en-NZ"/>
          </w:rPr>
          <w:t>GDP</w:t>
        </w:r>
      </w:smartTag>
      <w:r w:rsidRPr="00357D77">
        <w:rPr>
          <w:rFonts w:cs="Arial"/>
          <w:sz w:val="20"/>
          <w:szCs w:val="22"/>
          <w:lang w:val="en-NZ"/>
        </w:rPr>
        <w:t xml:space="preserve"> per capita sets the context, although the relationship of the </w:t>
      </w:r>
      <w:smartTag w:uri="urn:schemas-microsoft-com:office:smarttags" w:element="stockticker">
        <w:r w:rsidRPr="00357D77">
          <w:rPr>
            <w:rFonts w:cs="Arial"/>
            <w:sz w:val="20"/>
            <w:szCs w:val="22"/>
            <w:lang w:val="en-NZ"/>
          </w:rPr>
          <w:t>GDP</w:t>
        </w:r>
      </w:smartTag>
      <w:r w:rsidRPr="00357D77">
        <w:rPr>
          <w:rFonts w:cs="Arial"/>
          <w:sz w:val="20"/>
          <w:szCs w:val="22"/>
          <w:lang w:val="en-NZ"/>
        </w:rPr>
        <w:t xml:space="preserve"> trend to that of disposable household income is not simple or direct.  There are many mediating and modifying factors that impact on how the cake is divided up across households, independent of the size of the cake itself.  </w:t>
      </w:r>
    </w:p>
    <w:p w:rsidR="007B3E55" w:rsidRPr="00357D77" w:rsidRDefault="007B3E55" w:rsidP="007B3E55">
      <w:pPr>
        <w:jc w:val="both"/>
        <w:rPr>
          <w:rFonts w:cs="Arial"/>
          <w:sz w:val="20"/>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 xml:space="preserve">From a distributional perspective a rough rule of thumb is that </w:t>
      </w:r>
      <w:r w:rsidRPr="00FB29B3">
        <w:rPr>
          <w:rFonts w:cs="Arial"/>
          <w:sz w:val="20"/>
          <w:szCs w:val="22"/>
          <w:u w:val="single"/>
          <w:lang w:val="en-NZ"/>
        </w:rPr>
        <w:t>median household incomes</w:t>
      </w:r>
      <w:r w:rsidRPr="00357D77">
        <w:rPr>
          <w:rFonts w:cs="Arial"/>
          <w:sz w:val="20"/>
          <w:szCs w:val="22"/>
          <w:lang w:val="en-NZ"/>
        </w:rPr>
        <w:t xml:space="preserve"> for the population as a whole generally foll</w:t>
      </w:r>
      <w:r>
        <w:rPr>
          <w:rFonts w:cs="Arial"/>
          <w:sz w:val="20"/>
          <w:szCs w:val="22"/>
          <w:lang w:val="en-NZ"/>
        </w:rPr>
        <w:t>ow the trend for incomes of two-parent-with-dependent-</w:t>
      </w:r>
      <w:r w:rsidRPr="00357D77">
        <w:rPr>
          <w:rFonts w:cs="Arial"/>
          <w:sz w:val="20"/>
          <w:szCs w:val="22"/>
          <w:lang w:val="en-NZ"/>
        </w:rPr>
        <w:t>children households.  This group made up around half of those in both the second and middle quintiles from the mid 1990s to 20</w:t>
      </w:r>
      <w:r>
        <w:rPr>
          <w:rFonts w:cs="Arial"/>
          <w:sz w:val="20"/>
          <w:szCs w:val="22"/>
          <w:lang w:val="en-NZ"/>
        </w:rPr>
        <w:t>10</w:t>
      </w:r>
      <w:r w:rsidRPr="00357D77">
        <w:rPr>
          <w:rFonts w:cs="Arial"/>
          <w:sz w:val="20"/>
          <w:szCs w:val="22"/>
          <w:lang w:val="en-NZ"/>
        </w:rPr>
        <w:t xml:space="preserve"> and an even greater proportion during the 1980s.  In other words, this group dominates the income distribution from P20 to P60, and changes for this group impact quite significantly on overall household income trends.  The median income of this household type is very close to the overall median income in the 1982-20</w:t>
      </w:r>
      <w:r>
        <w:rPr>
          <w:rFonts w:cs="Arial"/>
          <w:sz w:val="20"/>
          <w:szCs w:val="22"/>
          <w:lang w:val="en-NZ"/>
        </w:rPr>
        <w:t>10</w:t>
      </w:r>
      <w:r w:rsidRPr="00357D77">
        <w:rPr>
          <w:rFonts w:cs="Arial"/>
          <w:sz w:val="20"/>
          <w:szCs w:val="22"/>
          <w:lang w:val="en-NZ"/>
        </w:rPr>
        <w:t xml:space="preserve"> period (see Figure D.</w:t>
      </w:r>
      <w:r>
        <w:rPr>
          <w:rFonts w:cs="Arial"/>
          <w:sz w:val="20"/>
          <w:szCs w:val="22"/>
          <w:lang w:val="en-NZ"/>
        </w:rPr>
        <w:t>8</w:t>
      </w:r>
      <w:r w:rsidRPr="00357D77">
        <w:rPr>
          <w:rFonts w:cs="Arial"/>
          <w:sz w:val="20"/>
          <w:szCs w:val="22"/>
          <w:lang w:val="en-NZ"/>
        </w:rPr>
        <w:t xml:space="preserve"> in the next section).  </w:t>
      </w:r>
    </w:p>
    <w:p w:rsidR="007B3E55" w:rsidRPr="00357D77" w:rsidRDefault="007B3E55" w:rsidP="007B3E55">
      <w:pPr>
        <w:jc w:val="both"/>
        <w:rPr>
          <w:rFonts w:cs="Arial"/>
          <w:sz w:val="20"/>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The two factors that impact the most on the incomes of two parent with dependent children households are average wage rates and the total hours worked by the two parents.  The total number of hours worked is in turn related to the overall employment rate and to social norms, especially in relation to labour force participation for mothers of dependent children.  This section therefore reports on the employment rate (by sex), net average ordinary time weekly earnings (NAOTWE), and the hours worked in two parent with children households.  The trend in median household income is strongly influenced by trends in these factors.</w:t>
      </w:r>
      <w:r w:rsidRPr="00357D77">
        <w:rPr>
          <w:rStyle w:val="FootnoteReference"/>
          <w:rFonts w:cs="Arial"/>
          <w:sz w:val="20"/>
          <w:szCs w:val="22"/>
          <w:lang w:val="en-NZ"/>
        </w:rPr>
        <w:footnoteReference w:id="39"/>
      </w:r>
      <w:r w:rsidRPr="00357D77">
        <w:rPr>
          <w:rFonts w:cs="Arial"/>
          <w:sz w:val="20"/>
          <w:szCs w:val="22"/>
          <w:lang w:val="en-NZ"/>
        </w:rPr>
        <w:t xml:space="preserve">   </w:t>
      </w:r>
    </w:p>
    <w:p w:rsidR="007B3E55" w:rsidRPr="00357D77" w:rsidRDefault="007B3E55" w:rsidP="007B3E55">
      <w:pPr>
        <w:jc w:val="both"/>
        <w:rPr>
          <w:rFonts w:cs="Arial"/>
          <w:sz w:val="20"/>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 xml:space="preserve">The </w:t>
      </w:r>
      <w:r w:rsidRPr="00FB29B3">
        <w:rPr>
          <w:rFonts w:cs="Arial"/>
          <w:sz w:val="20"/>
          <w:szCs w:val="22"/>
          <w:u w:val="single"/>
          <w:lang w:val="en-NZ"/>
        </w:rPr>
        <w:t>lower part of the income distribution</w:t>
      </w:r>
      <w:r w:rsidRPr="00357D77">
        <w:rPr>
          <w:rFonts w:cs="Arial"/>
          <w:sz w:val="20"/>
          <w:szCs w:val="22"/>
          <w:lang w:val="en-NZ"/>
        </w:rPr>
        <w:t xml:space="preserve"> includes those from households whose main income is from paid employment (‘the working poor’) and those from households whose main income is from income-tested benefits or New Zealand Superannuation (NZS).  Trends in the numbers below typical low-income thresholds (ie trends in poverty rates) are therefore strongly influenced by three sets of factors: (a) average wage levels and employment rates; (b) (trends in) the levels of social assistance; and (c) trends in the numbers in receipt of social assistance.   Social assistance is taken here to refer to the main income-tested benefits for those under 65, together with the Family Tax Credit (FTC) (formerly Family Support (FS)) and In-Work Tax Credit where there are dependent children, and NZS for those aged 65+.</w:t>
      </w:r>
    </w:p>
    <w:p w:rsidR="007B3E55" w:rsidRPr="00FA27DD" w:rsidRDefault="007B3E55" w:rsidP="007B3E55">
      <w:pPr>
        <w:jc w:val="both"/>
        <w:rPr>
          <w:rFonts w:cs="Arial"/>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 xml:space="preserve">This section therefore also reports on trends in the total number receiving a main benefit, the real value of the main benefits plus FTC/FS where relevant, and the unemployment rate.  Section I reports on trends in the value of NZS relative to the median. </w:t>
      </w:r>
    </w:p>
    <w:p w:rsidR="007B3E55" w:rsidRDefault="007B3E55" w:rsidP="007B3E55">
      <w:pPr>
        <w:jc w:val="both"/>
        <w:rPr>
          <w:rFonts w:cs="Arial"/>
          <w:szCs w:val="22"/>
          <w:lang w:val="en-NZ"/>
        </w:rPr>
      </w:pPr>
    </w:p>
    <w:p w:rsidR="007B3E55" w:rsidRPr="00357D77" w:rsidRDefault="007B3E55" w:rsidP="007B3E55">
      <w:pPr>
        <w:jc w:val="both"/>
        <w:rPr>
          <w:rFonts w:cs="Arial"/>
          <w:sz w:val="20"/>
          <w:szCs w:val="22"/>
          <w:lang w:val="en-NZ"/>
        </w:rPr>
      </w:pPr>
      <w:r w:rsidRPr="00357D77">
        <w:rPr>
          <w:rFonts w:cs="Arial"/>
          <w:sz w:val="20"/>
          <w:szCs w:val="22"/>
          <w:lang w:val="en-NZ"/>
        </w:rPr>
        <w:t>This report promotes the value of using household incomes after deducting housing costs (</w:t>
      </w:r>
      <w:smartTag w:uri="urn:schemas-microsoft-com:office:smarttags" w:element="stockticker">
        <w:r w:rsidRPr="00357D77">
          <w:rPr>
            <w:rFonts w:cs="Arial"/>
            <w:sz w:val="20"/>
            <w:szCs w:val="22"/>
            <w:lang w:val="en-NZ"/>
          </w:rPr>
          <w:t>AHC</w:t>
        </w:r>
      </w:smartTag>
      <w:r w:rsidRPr="00357D77">
        <w:rPr>
          <w:rFonts w:cs="Arial"/>
          <w:sz w:val="20"/>
          <w:szCs w:val="22"/>
          <w:lang w:val="en-NZ"/>
        </w:rPr>
        <w:t xml:space="preserve">) as the preferred approach for comparing the material wellbeing of different subgroups of the </w:t>
      </w:r>
      <w:r w:rsidRPr="00357D77">
        <w:rPr>
          <w:rFonts w:cs="Arial"/>
          <w:sz w:val="20"/>
          <w:szCs w:val="22"/>
          <w:lang w:val="en-NZ"/>
        </w:rPr>
        <w:lastRenderedPageBreak/>
        <w:t xml:space="preserve">population.  This section therefore also reports on trends in gross expenditure on accommodation as proportion of household income. </w:t>
      </w:r>
    </w:p>
    <w:p w:rsidR="007B3E55" w:rsidRDefault="007B3E55" w:rsidP="007B3E55">
      <w:pPr>
        <w:jc w:val="both"/>
        <w:rPr>
          <w:rFonts w:cs="Arial"/>
          <w:b/>
          <w:szCs w:val="22"/>
          <w:lang w:val="en-NZ"/>
        </w:rPr>
      </w:pPr>
    </w:p>
    <w:p w:rsidR="007B3E55" w:rsidRPr="00357D77" w:rsidRDefault="007B3E55" w:rsidP="007B3E55">
      <w:pPr>
        <w:jc w:val="both"/>
        <w:rPr>
          <w:rFonts w:cs="Arial"/>
          <w:b/>
          <w:sz w:val="20"/>
          <w:szCs w:val="22"/>
          <w:lang w:val="en-NZ"/>
        </w:rPr>
      </w:pPr>
      <w:r w:rsidRPr="00357D77">
        <w:rPr>
          <w:rFonts w:cs="Arial"/>
          <w:b/>
          <w:sz w:val="20"/>
          <w:szCs w:val="22"/>
          <w:lang w:val="en-NZ"/>
        </w:rPr>
        <w:t xml:space="preserve">Trends in </w:t>
      </w:r>
      <w:smartTag w:uri="urn:schemas-microsoft-com:office:smarttags" w:element="stockticker">
        <w:r w:rsidRPr="00357D77">
          <w:rPr>
            <w:rFonts w:cs="Arial"/>
            <w:b/>
            <w:sz w:val="20"/>
            <w:szCs w:val="22"/>
            <w:lang w:val="en-NZ"/>
          </w:rPr>
          <w:t>GDP</w:t>
        </w:r>
      </w:smartTag>
      <w:r w:rsidRPr="00357D77">
        <w:rPr>
          <w:rFonts w:cs="Arial"/>
          <w:b/>
          <w:sz w:val="20"/>
          <w:szCs w:val="22"/>
          <w:lang w:val="en-NZ"/>
        </w:rPr>
        <w:t>, employment, unemployment and weekly earnings</w:t>
      </w:r>
    </w:p>
    <w:p w:rsidR="007B3E55" w:rsidRPr="00357D77" w:rsidRDefault="007B3E55" w:rsidP="007B3E55">
      <w:pPr>
        <w:jc w:val="both"/>
        <w:rPr>
          <w:rFonts w:cs="Arial"/>
          <w:b/>
          <w:sz w:val="20"/>
          <w:szCs w:val="22"/>
          <w:lang w:val="en-NZ"/>
        </w:rPr>
      </w:pPr>
    </w:p>
    <w:p w:rsidR="007B3E55" w:rsidRDefault="007B3E55" w:rsidP="007B3E55">
      <w:pPr>
        <w:jc w:val="both"/>
        <w:rPr>
          <w:rFonts w:cs="Arial"/>
          <w:sz w:val="20"/>
          <w:szCs w:val="22"/>
          <w:lang w:val="en-NZ"/>
        </w:rPr>
      </w:pPr>
      <w:r w:rsidRPr="00357D77">
        <w:rPr>
          <w:rFonts w:cs="Arial"/>
          <w:b/>
          <w:sz w:val="20"/>
          <w:szCs w:val="22"/>
          <w:lang w:val="en-NZ"/>
        </w:rPr>
        <w:t>Figure C.1</w:t>
      </w:r>
      <w:r w:rsidRPr="00357D77">
        <w:rPr>
          <w:rFonts w:cs="Arial"/>
          <w:sz w:val="20"/>
          <w:szCs w:val="22"/>
          <w:lang w:val="en-NZ"/>
        </w:rPr>
        <w:t xml:space="preserve"> shows the pattern of the business cycle </w:t>
      </w:r>
      <w:r>
        <w:rPr>
          <w:rFonts w:cs="Arial"/>
          <w:sz w:val="20"/>
          <w:szCs w:val="22"/>
          <w:lang w:val="en-NZ"/>
        </w:rPr>
        <w:t xml:space="preserve">from </w:t>
      </w:r>
      <w:r w:rsidRPr="00357D77">
        <w:rPr>
          <w:rFonts w:cs="Arial"/>
          <w:sz w:val="20"/>
          <w:szCs w:val="22"/>
          <w:lang w:val="en-NZ"/>
        </w:rPr>
        <w:t>1982 to 20</w:t>
      </w:r>
      <w:r>
        <w:rPr>
          <w:rFonts w:cs="Arial"/>
          <w:sz w:val="20"/>
          <w:szCs w:val="22"/>
          <w:lang w:val="en-NZ"/>
        </w:rPr>
        <w:t>1</w:t>
      </w:r>
      <w:r w:rsidR="009E47BC">
        <w:rPr>
          <w:rFonts w:cs="Arial"/>
          <w:sz w:val="20"/>
          <w:szCs w:val="22"/>
          <w:lang w:val="en-NZ"/>
        </w:rPr>
        <w:t>1</w:t>
      </w:r>
      <w:r>
        <w:rPr>
          <w:rFonts w:cs="Arial"/>
          <w:sz w:val="20"/>
          <w:szCs w:val="22"/>
          <w:lang w:val="en-NZ"/>
        </w:rPr>
        <w:t xml:space="preserve"> </w:t>
      </w:r>
      <w:r w:rsidRPr="00357D77">
        <w:rPr>
          <w:rFonts w:cs="Arial"/>
          <w:sz w:val="20"/>
          <w:szCs w:val="22"/>
          <w:lang w:val="en-NZ"/>
        </w:rPr>
        <w:t xml:space="preserve">in terms of annual </w:t>
      </w:r>
      <w:smartTag w:uri="urn:schemas-microsoft-com:office:smarttags" w:element="stockticker">
        <w:r w:rsidRPr="00357D77">
          <w:rPr>
            <w:rFonts w:cs="Arial"/>
            <w:sz w:val="20"/>
            <w:szCs w:val="22"/>
            <w:lang w:val="en-NZ"/>
          </w:rPr>
          <w:t>GDP</w:t>
        </w:r>
      </w:smartTag>
      <w:r w:rsidRPr="00357D77">
        <w:rPr>
          <w:rFonts w:cs="Arial"/>
          <w:sz w:val="20"/>
          <w:szCs w:val="22"/>
          <w:lang w:val="en-NZ"/>
        </w:rPr>
        <w:t xml:space="preserve"> growth and the HLFS unemployment rate.  The 20</w:t>
      </w:r>
      <w:r>
        <w:rPr>
          <w:rFonts w:cs="Arial"/>
          <w:sz w:val="20"/>
          <w:szCs w:val="22"/>
          <w:lang w:val="en-NZ"/>
        </w:rPr>
        <w:t>1</w:t>
      </w:r>
      <w:r w:rsidR="009E47BC">
        <w:rPr>
          <w:rFonts w:cs="Arial"/>
          <w:sz w:val="20"/>
          <w:szCs w:val="22"/>
          <w:lang w:val="en-NZ"/>
        </w:rPr>
        <w:t>1</w:t>
      </w:r>
      <w:r w:rsidRPr="00357D77">
        <w:rPr>
          <w:rFonts w:cs="Arial"/>
          <w:sz w:val="20"/>
          <w:szCs w:val="22"/>
          <w:lang w:val="en-NZ"/>
        </w:rPr>
        <w:t xml:space="preserve"> HES interviews were carried out from July 20</w:t>
      </w:r>
      <w:r w:rsidR="009E47BC">
        <w:rPr>
          <w:rFonts w:cs="Arial"/>
          <w:sz w:val="20"/>
          <w:szCs w:val="22"/>
          <w:lang w:val="en-NZ"/>
        </w:rPr>
        <w:t>10</w:t>
      </w:r>
      <w:r w:rsidRPr="00357D77">
        <w:rPr>
          <w:rFonts w:cs="Arial"/>
          <w:sz w:val="20"/>
          <w:szCs w:val="22"/>
          <w:lang w:val="en-NZ"/>
        </w:rPr>
        <w:t xml:space="preserve"> to June 20</w:t>
      </w:r>
      <w:r>
        <w:rPr>
          <w:rFonts w:cs="Arial"/>
          <w:sz w:val="20"/>
          <w:szCs w:val="22"/>
          <w:lang w:val="en-NZ"/>
        </w:rPr>
        <w:t>1</w:t>
      </w:r>
      <w:r w:rsidR="009E47BC">
        <w:rPr>
          <w:rFonts w:cs="Arial"/>
          <w:sz w:val="20"/>
          <w:szCs w:val="22"/>
          <w:lang w:val="en-NZ"/>
        </w:rPr>
        <w:t>1</w:t>
      </w:r>
      <w:r w:rsidRPr="00357D77">
        <w:rPr>
          <w:rFonts w:cs="Arial"/>
          <w:sz w:val="20"/>
          <w:szCs w:val="22"/>
          <w:lang w:val="en-NZ"/>
        </w:rPr>
        <w:t xml:space="preserve">.  </w:t>
      </w:r>
      <w:r>
        <w:rPr>
          <w:rFonts w:cs="Arial"/>
          <w:sz w:val="20"/>
          <w:szCs w:val="22"/>
          <w:lang w:val="en-NZ"/>
        </w:rPr>
        <w:t>The incomes reported by households in the survey are for the twelve months prior to the interview.  Those interviewed in July 20</w:t>
      </w:r>
      <w:r w:rsidR="009E47BC">
        <w:rPr>
          <w:rFonts w:cs="Arial"/>
          <w:sz w:val="20"/>
          <w:szCs w:val="22"/>
          <w:lang w:val="en-NZ"/>
        </w:rPr>
        <w:t>10</w:t>
      </w:r>
      <w:r>
        <w:rPr>
          <w:rFonts w:cs="Arial"/>
          <w:sz w:val="20"/>
          <w:szCs w:val="22"/>
          <w:lang w:val="en-NZ"/>
        </w:rPr>
        <w:t xml:space="preserve"> would therefore be reporting on incomes in the period from August 200</w:t>
      </w:r>
      <w:r w:rsidR="009E47BC">
        <w:rPr>
          <w:rFonts w:cs="Arial"/>
          <w:sz w:val="20"/>
          <w:szCs w:val="22"/>
          <w:lang w:val="en-NZ"/>
        </w:rPr>
        <w:t>9</w:t>
      </w:r>
      <w:r>
        <w:rPr>
          <w:rFonts w:cs="Arial"/>
          <w:sz w:val="20"/>
          <w:szCs w:val="22"/>
          <w:lang w:val="en-NZ"/>
        </w:rPr>
        <w:t xml:space="preserve"> to July 20</w:t>
      </w:r>
      <w:r w:rsidR="009E47BC">
        <w:rPr>
          <w:rFonts w:cs="Arial"/>
          <w:sz w:val="20"/>
          <w:szCs w:val="22"/>
          <w:lang w:val="en-NZ"/>
        </w:rPr>
        <w:t>10, and so on.</w:t>
      </w:r>
      <w:r w:rsidR="00783C2B">
        <w:rPr>
          <w:rFonts w:cs="Arial"/>
          <w:sz w:val="20"/>
          <w:szCs w:val="22"/>
          <w:lang w:val="en-NZ"/>
        </w:rPr>
        <w:t xml:space="preserve"> </w:t>
      </w:r>
      <w:r>
        <w:rPr>
          <w:rFonts w:cs="Arial"/>
          <w:sz w:val="20"/>
          <w:szCs w:val="22"/>
          <w:lang w:val="en-NZ"/>
        </w:rPr>
        <w:t xml:space="preserve">  </w:t>
      </w:r>
      <w:r w:rsidR="009E47BC">
        <w:rPr>
          <w:rFonts w:cs="Arial"/>
          <w:sz w:val="20"/>
          <w:szCs w:val="22"/>
          <w:lang w:val="en-NZ"/>
        </w:rPr>
        <w:t xml:space="preserve">The 2011 HES is the first in the HES series </w:t>
      </w:r>
      <w:r w:rsidR="00783C2B">
        <w:rPr>
          <w:rFonts w:cs="Arial"/>
          <w:sz w:val="20"/>
          <w:szCs w:val="22"/>
          <w:lang w:val="en-NZ"/>
        </w:rPr>
        <w:t xml:space="preserve">in which the incomes could be expected </w:t>
      </w:r>
      <w:r w:rsidR="009E47BC">
        <w:rPr>
          <w:rFonts w:cs="Arial"/>
          <w:sz w:val="20"/>
          <w:szCs w:val="22"/>
          <w:lang w:val="en-NZ"/>
        </w:rPr>
        <w:t>to fully reflect the impact of the global financial crisis and the economic downturn.</w:t>
      </w:r>
    </w:p>
    <w:p w:rsidR="007B3E55" w:rsidRDefault="007B3E55" w:rsidP="007B3E55">
      <w:pPr>
        <w:jc w:val="both"/>
        <w:rPr>
          <w:rFonts w:cs="Arial"/>
          <w:sz w:val="20"/>
          <w:szCs w:val="22"/>
          <w:lang w:val="en-NZ"/>
        </w:rPr>
      </w:pPr>
    </w:p>
    <w:p w:rsidR="007B3E55" w:rsidRDefault="007B3E55" w:rsidP="007B3E55">
      <w:pPr>
        <w:jc w:val="center"/>
        <w:rPr>
          <w:rFonts w:cs="Arial"/>
          <w:szCs w:val="22"/>
          <w:lang w:val="en-NZ"/>
        </w:rPr>
      </w:pPr>
    </w:p>
    <w:p w:rsidR="007B3E55" w:rsidRPr="00357D77" w:rsidRDefault="007B3E55" w:rsidP="007B3E55">
      <w:pPr>
        <w:jc w:val="center"/>
        <w:rPr>
          <w:rFonts w:cs="Arial"/>
          <w:b/>
          <w:sz w:val="18"/>
          <w:lang w:val="en-NZ"/>
        </w:rPr>
      </w:pPr>
      <w:r w:rsidRPr="00357D77">
        <w:rPr>
          <w:rFonts w:cs="Arial"/>
          <w:b/>
          <w:sz w:val="18"/>
          <w:lang w:val="en-NZ"/>
        </w:rPr>
        <w:t>Figure C.1</w:t>
      </w:r>
    </w:p>
    <w:p w:rsidR="007B3E55" w:rsidRPr="00357D77" w:rsidRDefault="007B3E55" w:rsidP="007B3E55">
      <w:pPr>
        <w:jc w:val="center"/>
        <w:rPr>
          <w:rFonts w:cs="Arial"/>
          <w:b/>
          <w:sz w:val="18"/>
          <w:lang w:val="en-NZ"/>
        </w:rPr>
      </w:pPr>
      <w:r w:rsidRPr="00357D77">
        <w:rPr>
          <w:rFonts w:cs="Arial"/>
          <w:b/>
          <w:sz w:val="18"/>
          <w:lang w:val="en-NZ"/>
        </w:rPr>
        <w:t xml:space="preserve">Real </w:t>
      </w:r>
      <w:smartTag w:uri="urn:schemas-microsoft-com:office:smarttags" w:element="stockticker">
        <w:r w:rsidRPr="00357D77">
          <w:rPr>
            <w:rFonts w:cs="Arial"/>
            <w:b/>
            <w:sz w:val="18"/>
            <w:lang w:val="en-NZ"/>
          </w:rPr>
          <w:t>GDP</w:t>
        </w:r>
      </w:smartTag>
      <w:r w:rsidRPr="00357D77">
        <w:rPr>
          <w:rFonts w:cs="Arial"/>
          <w:b/>
          <w:sz w:val="18"/>
          <w:lang w:val="en-NZ"/>
        </w:rPr>
        <w:t xml:space="preserve"> annual changes and unemployment rates, 1990 to 20</w:t>
      </w:r>
      <w:r>
        <w:rPr>
          <w:rFonts w:cs="Arial"/>
          <w:b/>
          <w:sz w:val="18"/>
          <w:lang w:val="en-NZ"/>
        </w:rPr>
        <w:t>11</w:t>
      </w:r>
    </w:p>
    <w:p w:rsidR="007B3E55" w:rsidRPr="00E455F9" w:rsidRDefault="00EC0BE0" w:rsidP="007B3E55">
      <w:pPr>
        <w:jc w:val="center"/>
      </w:pPr>
      <w:r>
        <w:rPr>
          <w:noProof/>
          <w:lang w:val="en-US"/>
        </w:rPr>
        <w:drawing>
          <wp:inline distT="0" distB="0" distL="0" distR="0">
            <wp:extent cx="4552950" cy="280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4552950" cy="2809875"/>
                    </a:xfrm>
                    <a:prstGeom prst="rect">
                      <a:avLst/>
                    </a:prstGeom>
                    <a:noFill/>
                    <a:ln w="9525">
                      <a:noFill/>
                      <a:miter lim="800000"/>
                      <a:headEnd/>
                      <a:tailEnd/>
                    </a:ln>
                  </pic:spPr>
                </pic:pic>
              </a:graphicData>
            </a:graphic>
          </wp:inline>
        </w:drawing>
      </w:r>
    </w:p>
    <w:p w:rsidR="007B3E55" w:rsidRPr="00D51DA1" w:rsidRDefault="007B3E55" w:rsidP="007B3E55">
      <w:pPr>
        <w:pStyle w:val="Heading2"/>
        <w:tabs>
          <w:tab w:val="left" w:pos="1440"/>
        </w:tabs>
        <w:jc w:val="both"/>
        <w:rPr>
          <w:sz w:val="16"/>
          <w:szCs w:val="16"/>
        </w:rPr>
      </w:pPr>
      <w:r>
        <w:tab/>
      </w:r>
    </w:p>
    <w:p w:rsidR="007B3E55" w:rsidRPr="00357D77" w:rsidRDefault="007B3E55" w:rsidP="007B3E55">
      <w:pPr>
        <w:spacing w:line="240" w:lineRule="exact"/>
        <w:jc w:val="center"/>
        <w:rPr>
          <w:rFonts w:cs="Arial"/>
          <w:b/>
          <w:sz w:val="18"/>
          <w:lang w:val="en-NZ"/>
        </w:rPr>
      </w:pPr>
      <w:r w:rsidRPr="00357D77">
        <w:rPr>
          <w:rFonts w:cs="Arial"/>
          <w:b/>
          <w:sz w:val="18"/>
          <w:lang w:val="en-NZ"/>
        </w:rPr>
        <w:t>Figure C.2</w:t>
      </w:r>
    </w:p>
    <w:p w:rsidR="007B3E55" w:rsidRPr="00357D77" w:rsidRDefault="007B3E55" w:rsidP="007B3E55">
      <w:pPr>
        <w:jc w:val="center"/>
        <w:rPr>
          <w:b/>
          <w:sz w:val="18"/>
        </w:rPr>
      </w:pPr>
      <w:r w:rsidRPr="00357D77">
        <w:rPr>
          <w:b/>
          <w:sz w:val="18"/>
        </w:rPr>
        <w:t>Employment rate (15-64yrs), 1986 to 20</w:t>
      </w:r>
      <w:r>
        <w:rPr>
          <w:b/>
          <w:sz w:val="18"/>
        </w:rPr>
        <w:t>10</w:t>
      </w:r>
      <w:r w:rsidRPr="00357D77">
        <w:rPr>
          <w:b/>
          <w:sz w:val="18"/>
        </w:rPr>
        <w:t xml:space="preserve"> </w:t>
      </w:r>
    </w:p>
    <w:p w:rsidR="007B3E55" w:rsidRPr="00A14A83" w:rsidRDefault="00EC0BE0" w:rsidP="007B3E55">
      <w:pPr>
        <w:jc w:val="center"/>
      </w:pPr>
      <w:r>
        <w:rPr>
          <w:noProof/>
          <w:lang w:val="en-US"/>
        </w:rPr>
        <w:drawing>
          <wp:inline distT="0" distB="0" distL="0" distR="0">
            <wp:extent cx="3829050" cy="2524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3829050" cy="2524125"/>
                    </a:xfrm>
                    <a:prstGeom prst="rect">
                      <a:avLst/>
                    </a:prstGeom>
                    <a:noFill/>
                    <a:ln w="9525">
                      <a:noFill/>
                      <a:miter lim="800000"/>
                      <a:headEnd/>
                      <a:tailEnd/>
                    </a:ln>
                  </pic:spPr>
                </pic:pic>
              </a:graphicData>
            </a:graphic>
          </wp:inline>
        </w:drawing>
      </w:r>
    </w:p>
    <w:p w:rsidR="00783C2B" w:rsidRPr="00783C2B" w:rsidRDefault="007B3E55" w:rsidP="00783C2B">
      <w:pPr>
        <w:jc w:val="both"/>
        <w:rPr>
          <w:rFonts w:cs="Arial"/>
          <w:sz w:val="20"/>
          <w:szCs w:val="22"/>
          <w:lang w:val="en-NZ"/>
        </w:rPr>
      </w:pPr>
      <w:r>
        <w:rPr>
          <w:rFonts w:cs="Arial"/>
          <w:sz w:val="20"/>
          <w:szCs w:val="22"/>
          <w:lang w:val="en-NZ"/>
        </w:rPr>
        <w:br w:type="page"/>
      </w:r>
      <w:r w:rsidRPr="00FB72B4">
        <w:rPr>
          <w:rFonts w:cs="Arial"/>
          <w:b/>
          <w:sz w:val="20"/>
          <w:szCs w:val="22"/>
          <w:lang w:val="en-NZ"/>
        </w:rPr>
        <w:lastRenderedPageBreak/>
        <w:t>Figure C.3</w:t>
      </w:r>
      <w:r>
        <w:rPr>
          <w:rFonts w:cs="Arial"/>
          <w:sz w:val="20"/>
          <w:szCs w:val="22"/>
          <w:lang w:val="en-NZ"/>
        </w:rPr>
        <w:t xml:space="preserve"> </w:t>
      </w:r>
      <w:r w:rsidR="00783C2B">
        <w:rPr>
          <w:rFonts w:cs="Arial"/>
          <w:sz w:val="20"/>
          <w:szCs w:val="22"/>
          <w:lang w:val="en-NZ"/>
        </w:rPr>
        <w:t xml:space="preserve">shows the trend in </w:t>
      </w:r>
      <w:r>
        <w:rPr>
          <w:rFonts w:cs="Arial"/>
          <w:sz w:val="20"/>
          <w:szCs w:val="22"/>
          <w:lang w:val="en-NZ"/>
        </w:rPr>
        <w:t>after-</w:t>
      </w:r>
      <w:r w:rsidRPr="00357D77">
        <w:rPr>
          <w:rFonts w:cs="Arial"/>
          <w:sz w:val="20"/>
          <w:szCs w:val="22"/>
          <w:lang w:val="en-NZ"/>
        </w:rPr>
        <w:t>tax wages</w:t>
      </w:r>
      <w:r w:rsidR="00783C2B">
        <w:rPr>
          <w:rFonts w:cs="Arial"/>
          <w:sz w:val="20"/>
          <w:szCs w:val="22"/>
          <w:lang w:val="en-NZ"/>
        </w:rPr>
        <w:t xml:space="preserve"> in real terms.  They grew 24% in real terms from 1994 to 2011.  Gross (before tax wages grew only by 18% in the period.  In contrast m</w:t>
      </w:r>
      <w:r w:rsidR="00783C2B">
        <w:rPr>
          <w:rFonts w:cs="Arial"/>
          <w:sz w:val="20"/>
        </w:rPr>
        <w:t>edian household incomes grew 46% in real terms.</w:t>
      </w:r>
    </w:p>
    <w:p w:rsidR="00783C2B" w:rsidRPr="00357D77" w:rsidRDefault="00783C2B" w:rsidP="007B3E55">
      <w:pPr>
        <w:jc w:val="both"/>
        <w:rPr>
          <w:rFonts w:cs="Arial"/>
          <w:sz w:val="20"/>
          <w:szCs w:val="22"/>
          <w:lang w:val="en-NZ"/>
        </w:rPr>
      </w:pPr>
    </w:p>
    <w:p w:rsidR="007B3E55" w:rsidRDefault="007B3E55" w:rsidP="007B3E55">
      <w:pPr>
        <w:spacing w:line="240" w:lineRule="exact"/>
        <w:jc w:val="center"/>
        <w:rPr>
          <w:rFonts w:cs="Arial"/>
          <w:b/>
          <w:sz w:val="18"/>
          <w:lang w:val="en-NZ"/>
        </w:rPr>
      </w:pPr>
    </w:p>
    <w:p w:rsidR="007B3E55" w:rsidRPr="00357D77" w:rsidRDefault="007B3E55" w:rsidP="007B3E55">
      <w:pPr>
        <w:spacing w:line="240" w:lineRule="exact"/>
        <w:jc w:val="center"/>
        <w:rPr>
          <w:rFonts w:cs="Arial"/>
          <w:b/>
          <w:sz w:val="18"/>
          <w:lang w:val="en-NZ"/>
        </w:rPr>
      </w:pPr>
      <w:r w:rsidRPr="00357D77">
        <w:rPr>
          <w:rFonts w:cs="Arial"/>
          <w:b/>
          <w:sz w:val="18"/>
          <w:lang w:val="en-NZ"/>
        </w:rPr>
        <w:t>Figure C.3</w:t>
      </w:r>
    </w:p>
    <w:p w:rsidR="007B3E55" w:rsidRPr="00357D77" w:rsidRDefault="007B3E55" w:rsidP="007B3E55">
      <w:pPr>
        <w:jc w:val="center"/>
        <w:rPr>
          <w:b/>
          <w:sz w:val="18"/>
        </w:rPr>
      </w:pPr>
      <w:r w:rsidRPr="00357D77">
        <w:rPr>
          <w:b/>
          <w:sz w:val="18"/>
        </w:rPr>
        <w:t>Net average ordinary time weekly earnings ($</w:t>
      </w:r>
      <w:r>
        <w:rPr>
          <w:b/>
          <w:sz w:val="18"/>
        </w:rPr>
        <w:t xml:space="preserve"> </w:t>
      </w:r>
      <w:r w:rsidRPr="00357D77">
        <w:rPr>
          <w:b/>
          <w:sz w:val="18"/>
        </w:rPr>
        <w:t xml:space="preserve">Dec </w:t>
      </w:r>
      <w:r>
        <w:rPr>
          <w:b/>
          <w:sz w:val="18"/>
        </w:rPr>
        <w:t>2011</w:t>
      </w:r>
      <w:r w:rsidRPr="00357D77">
        <w:rPr>
          <w:b/>
          <w:sz w:val="18"/>
        </w:rPr>
        <w:t xml:space="preserve">) </w:t>
      </w:r>
    </w:p>
    <w:p w:rsidR="007B3E55" w:rsidRPr="00E455F9" w:rsidRDefault="00EC0BE0" w:rsidP="007B3E55">
      <w:pPr>
        <w:jc w:val="center"/>
      </w:pPr>
      <w:r>
        <w:rPr>
          <w:noProof/>
          <w:lang w:val="en-US"/>
        </w:rPr>
        <w:drawing>
          <wp:inline distT="0" distB="0" distL="0" distR="0">
            <wp:extent cx="3638550"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3638550" cy="2247900"/>
                    </a:xfrm>
                    <a:prstGeom prst="rect">
                      <a:avLst/>
                    </a:prstGeom>
                    <a:noFill/>
                    <a:ln w="9525">
                      <a:noFill/>
                      <a:miter lim="800000"/>
                      <a:headEnd/>
                      <a:tailEnd/>
                    </a:ln>
                  </pic:spPr>
                </pic:pic>
              </a:graphicData>
            </a:graphic>
          </wp:inline>
        </w:drawing>
      </w:r>
    </w:p>
    <w:p w:rsidR="007B3E55" w:rsidRDefault="007B3E55" w:rsidP="007B3E55">
      <w:pPr>
        <w:jc w:val="center"/>
      </w:pPr>
    </w:p>
    <w:p w:rsidR="007B3E55" w:rsidRDefault="007B3E55" w:rsidP="007B3E55">
      <w:pPr>
        <w:jc w:val="both"/>
        <w:rPr>
          <w:rFonts w:cs="Arial"/>
          <w:b/>
          <w:sz w:val="20"/>
          <w:szCs w:val="22"/>
          <w:lang w:val="en-NZ"/>
        </w:rPr>
      </w:pPr>
    </w:p>
    <w:p w:rsidR="007B3E55" w:rsidRPr="00357D77" w:rsidRDefault="007B3E55" w:rsidP="007B3E55">
      <w:pPr>
        <w:jc w:val="both"/>
        <w:rPr>
          <w:rFonts w:cs="Arial"/>
          <w:b/>
          <w:sz w:val="20"/>
          <w:szCs w:val="22"/>
          <w:lang w:val="en-NZ"/>
        </w:rPr>
      </w:pPr>
      <w:r w:rsidRPr="00357D77">
        <w:rPr>
          <w:rFonts w:cs="Arial"/>
          <w:b/>
          <w:sz w:val="20"/>
          <w:szCs w:val="22"/>
          <w:lang w:val="en-NZ"/>
        </w:rPr>
        <w:t>Incomes around the median</w:t>
      </w:r>
      <w:r>
        <w:rPr>
          <w:rFonts w:cs="Arial"/>
          <w:b/>
          <w:sz w:val="20"/>
          <w:szCs w:val="22"/>
          <w:lang w:val="en-NZ"/>
        </w:rPr>
        <w:t>:</w:t>
      </w:r>
      <w:r w:rsidRPr="00357D77">
        <w:rPr>
          <w:rFonts w:cs="Arial"/>
          <w:b/>
          <w:sz w:val="20"/>
          <w:szCs w:val="22"/>
          <w:lang w:val="en-NZ"/>
        </w:rPr>
        <w:t xml:space="preserve"> the longer</w:t>
      </w:r>
      <w:r>
        <w:rPr>
          <w:rFonts w:cs="Arial"/>
          <w:b/>
          <w:sz w:val="20"/>
          <w:szCs w:val="22"/>
          <w:lang w:val="en-NZ"/>
        </w:rPr>
        <w:t>-</w:t>
      </w:r>
      <w:r w:rsidRPr="00357D77">
        <w:rPr>
          <w:rFonts w:cs="Arial"/>
          <w:b/>
          <w:sz w:val="20"/>
          <w:szCs w:val="22"/>
          <w:lang w:val="en-NZ"/>
        </w:rPr>
        <w:t>term trend</w:t>
      </w:r>
    </w:p>
    <w:p w:rsidR="007B3E55" w:rsidRPr="00357D77" w:rsidRDefault="007B3E55" w:rsidP="007B3E55">
      <w:pPr>
        <w:jc w:val="both"/>
        <w:rPr>
          <w:rFonts w:cs="Arial"/>
          <w:b/>
          <w:sz w:val="20"/>
          <w:szCs w:val="22"/>
          <w:lang w:val="en-NZ"/>
        </w:rPr>
      </w:pPr>
    </w:p>
    <w:p w:rsidR="007B3E55" w:rsidRPr="00357D77" w:rsidRDefault="007B3E55" w:rsidP="007B3E55">
      <w:pPr>
        <w:jc w:val="both"/>
        <w:rPr>
          <w:sz w:val="20"/>
          <w:szCs w:val="22"/>
          <w:lang w:val="en-NZ"/>
        </w:rPr>
      </w:pPr>
      <w:r w:rsidRPr="00357D77">
        <w:rPr>
          <w:sz w:val="20"/>
          <w:szCs w:val="22"/>
          <w:lang w:val="en-NZ"/>
        </w:rPr>
        <w:t>Figure C.2</w:t>
      </w:r>
      <w:r w:rsidRPr="00357D77">
        <w:rPr>
          <w:b/>
          <w:sz w:val="20"/>
          <w:szCs w:val="22"/>
          <w:lang w:val="en-NZ"/>
        </w:rPr>
        <w:t xml:space="preserve"> </w:t>
      </w:r>
      <w:r w:rsidRPr="00357D77">
        <w:rPr>
          <w:sz w:val="20"/>
          <w:szCs w:val="22"/>
          <w:lang w:val="en-NZ"/>
        </w:rPr>
        <w:t>shows the trend in the proportion of the population aged 15-64 who are in paid employment for at least one hour per week (the ‘employment rate’).  After falling to a low in 1992 the employment rate rose through to 1996, faltered for two years then rose each year through to 2007, with a slower growth rate from 2004 to 2007.  Employment fell from 2007 to 20</w:t>
      </w:r>
      <w:r>
        <w:rPr>
          <w:sz w:val="20"/>
          <w:szCs w:val="22"/>
          <w:lang w:val="en-NZ"/>
        </w:rPr>
        <w:t>10</w:t>
      </w:r>
      <w:r w:rsidRPr="00357D77">
        <w:rPr>
          <w:sz w:val="20"/>
          <w:szCs w:val="22"/>
          <w:lang w:val="en-NZ"/>
        </w:rPr>
        <w:t xml:space="preserve">, </w:t>
      </w:r>
      <w:r>
        <w:rPr>
          <w:sz w:val="20"/>
          <w:szCs w:val="22"/>
          <w:lang w:val="en-NZ"/>
        </w:rPr>
        <w:t>returning to 2002 levels.</w:t>
      </w:r>
      <w:r w:rsidRPr="00357D77">
        <w:rPr>
          <w:sz w:val="20"/>
          <w:szCs w:val="22"/>
          <w:lang w:val="en-NZ"/>
        </w:rPr>
        <w:t xml:space="preserve">  The female employment rate </w:t>
      </w:r>
      <w:r w:rsidR="00783C2B">
        <w:rPr>
          <w:sz w:val="20"/>
          <w:szCs w:val="22"/>
          <w:lang w:val="en-NZ"/>
        </w:rPr>
        <w:t>was</w:t>
      </w:r>
      <w:r w:rsidRPr="00357D77">
        <w:rPr>
          <w:sz w:val="20"/>
          <w:szCs w:val="22"/>
          <w:lang w:val="en-NZ"/>
        </w:rPr>
        <w:t xml:space="preserve"> </w:t>
      </w:r>
      <w:r>
        <w:rPr>
          <w:sz w:val="20"/>
          <w:szCs w:val="22"/>
          <w:lang w:val="en-NZ"/>
        </w:rPr>
        <w:t xml:space="preserve">considerably </w:t>
      </w:r>
      <w:r w:rsidRPr="00357D77">
        <w:rPr>
          <w:sz w:val="20"/>
          <w:szCs w:val="22"/>
          <w:lang w:val="en-NZ"/>
        </w:rPr>
        <w:t>higher in 20</w:t>
      </w:r>
      <w:r>
        <w:rPr>
          <w:sz w:val="20"/>
          <w:szCs w:val="22"/>
          <w:lang w:val="en-NZ"/>
        </w:rPr>
        <w:t>10 (67%)</w:t>
      </w:r>
      <w:r w:rsidRPr="00357D77">
        <w:rPr>
          <w:sz w:val="20"/>
          <w:szCs w:val="22"/>
          <w:lang w:val="en-NZ"/>
        </w:rPr>
        <w:t xml:space="preserve"> compared with the mid 1980s</w:t>
      </w:r>
      <w:r>
        <w:rPr>
          <w:sz w:val="20"/>
          <w:szCs w:val="22"/>
          <w:lang w:val="en-NZ"/>
        </w:rPr>
        <w:t xml:space="preserve"> (60%)</w:t>
      </w:r>
      <w:r w:rsidRPr="00357D77">
        <w:rPr>
          <w:sz w:val="20"/>
          <w:szCs w:val="22"/>
          <w:lang w:val="en-NZ"/>
        </w:rPr>
        <w:t xml:space="preserve"> whereas male employment in 20</w:t>
      </w:r>
      <w:r>
        <w:rPr>
          <w:sz w:val="20"/>
          <w:szCs w:val="22"/>
          <w:lang w:val="en-NZ"/>
        </w:rPr>
        <w:t>10 (78%)</w:t>
      </w:r>
      <w:r w:rsidRPr="00357D77">
        <w:rPr>
          <w:sz w:val="20"/>
          <w:szCs w:val="22"/>
          <w:lang w:val="en-NZ"/>
        </w:rPr>
        <w:t xml:space="preserve"> </w:t>
      </w:r>
      <w:r w:rsidR="00783C2B">
        <w:rPr>
          <w:sz w:val="20"/>
          <w:szCs w:val="22"/>
          <w:lang w:val="en-NZ"/>
        </w:rPr>
        <w:t>was</w:t>
      </w:r>
      <w:r w:rsidRPr="00357D77">
        <w:rPr>
          <w:sz w:val="20"/>
          <w:szCs w:val="22"/>
          <w:lang w:val="en-NZ"/>
        </w:rPr>
        <w:t xml:space="preserve"> below what it was in the mid 1980s</w:t>
      </w:r>
      <w:r>
        <w:rPr>
          <w:sz w:val="20"/>
          <w:szCs w:val="22"/>
          <w:lang w:val="en-NZ"/>
        </w:rPr>
        <w:t xml:space="preserve"> (85%)</w:t>
      </w:r>
      <w:r w:rsidRPr="00357D77">
        <w:rPr>
          <w:sz w:val="20"/>
          <w:szCs w:val="22"/>
          <w:lang w:val="en-NZ"/>
        </w:rPr>
        <w:t>.</w:t>
      </w:r>
    </w:p>
    <w:p w:rsidR="007B3E55" w:rsidRPr="00357D77" w:rsidRDefault="007B3E55" w:rsidP="007B3E55">
      <w:pPr>
        <w:jc w:val="both"/>
        <w:rPr>
          <w:b/>
          <w:sz w:val="20"/>
          <w:szCs w:val="22"/>
          <w:lang w:val="en-NZ"/>
        </w:rPr>
      </w:pPr>
    </w:p>
    <w:p w:rsidR="007B3E55" w:rsidRPr="00357D77" w:rsidRDefault="007B3E55" w:rsidP="007B3E55">
      <w:pPr>
        <w:jc w:val="both"/>
        <w:rPr>
          <w:sz w:val="20"/>
          <w:szCs w:val="22"/>
          <w:lang w:val="en-NZ"/>
        </w:rPr>
      </w:pPr>
      <w:r w:rsidRPr="00357D77">
        <w:rPr>
          <w:b/>
          <w:sz w:val="20"/>
          <w:szCs w:val="22"/>
          <w:lang w:val="en-NZ"/>
        </w:rPr>
        <w:t>Figure C.4</w:t>
      </w:r>
      <w:r w:rsidRPr="00357D77">
        <w:rPr>
          <w:sz w:val="20"/>
          <w:szCs w:val="22"/>
          <w:lang w:val="en-NZ"/>
        </w:rPr>
        <w:t xml:space="preserve"> shows the increasing </w:t>
      </w:r>
      <w:r>
        <w:rPr>
          <w:sz w:val="20"/>
          <w:szCs w:val="22"/>
          <w:lang w:val="en-NZ"/>
        </w:rPr>
        <w:t>work intensity in two-</w:t>
      </w:r>
      <w:r w:rsidRPr="00357D77">
        <w:rPr>
          <w:sz w:val="20"/>
          <w:szCs w:val="22"/>
          <w:lang w:val="en-NZ"/>
        </w:rPr>
        <w:t>parent plus dependent children households, especially since the mid 1990s.</w:t>
      </w:r>
      <w:r w:rsidR="00783C2B">
        <w:rPr>
          <w:sz w:val="20"/>
          <w:szCs w:val="22"/>
          <w:lang w:val="en-NZ"/>
        </w:rPr>
        <w:t xml:space="preserve">  The</w:t>
      </w:r>
      <w:r>
        <w:rPr>
          <w:sz w:val="20"/>
          <w:szCs w:val="22"/>
          <w:lang w:val="en-NZ"/>
        </w:rPr>
        <w:t xml:space="preserve"> two-earner proportion in 201</w:t>
      </w:r>
      <w:r w:rsidR="00783C2B">
        <w:rPr>
          <w:sz w:val="20"/>
          <w:szCs w:val="22"/>
          <w:lang w:val="en-NZ"/>
        </w:rPr>
        <w:t>1 (68</w:t>
      </w:r>
      <w:r>
        <w:rPr>
          <w:sz w:val="20"/>
          <w:szCs w:val="22"/>
          <w:lang w:val="en-NZ"/>
        </w:rPr>
        <w:t>%) is a little above average for OECD countries (around 60%).</w:t>
      </w:r>
      <w:r>
        <w:rPr>
          <w:rStyle w:val="FootnoteReference"/>
          <w:sz w:val="20"/>
          <w:szCs w:val="22"/>
          <w:lang w:val="en-NZ"/>
        </w:rPr>
        <w:footnoteReference w:id="40"/>
      </w:r>
    </w:p>
    <w:p w:rsidR="007B3E55" w:rsidRDefault="007B3E55" w:rsidP="007B3E55">
      <w:pPr>
        <w:rPr>
          <w:lang w:val="en-NZ"/>
        </w:rPr>
      </w:pPr>
    </w:p>
    <w:p w:rsidR="007B3E55" w:rsidRPr="00357D77" w:rsidRDefault="007B3E55" w:rsidP="007B3E55">
      <w:pPr>
        <w:jc w:val="center"/>
        <w:rPr>
          <w:rFonts w:cs="Arial"/>
          <w:b/>
          <w:sz w:val="18"/>
          <w:lang w:val="en-NZ"/>
        </w:rPr>
      </w:pPr>
      <w:r w:rsidRPr="00357D77">
        <w:rPr>
          <w:rFonts w:cs="Arial"/>
          <w:b/>
          <w:sz w:val="18"/>
          <w:lang w:val="en-NZ"/>
        </w:rPr>
        <w:t>Figure C.4</w:t>
      </w:r>
    </w:p>
    <w:p w:rsidR="007B3E55" w:rsidRPr="00357D77" w:rsidRDefault="007B3E55" w:rsidP="007B3E55">
      <w:pPr>
        <w:jc w:val="center"/>
        <w:rPr>
          <w:b/>
          <w:sz w:val="20"/>
        </w:rPr>
      </w:pPr>
      <w:r w:rsidRPr="00357D77">
        <w:rPr>
          <w:b/>
          <w:sz w:val="18"/>
        </w:rPr>
        <w:t>Proportion of two parent HHs by hours of paid employment (where at least one is FT)</w:t>
      </w:r>
    </w:p>
    <w:p w:rsidR="007B3E55" w:rsidRPr="00CB068C" w:rsidRDefault="00EC0BE0" w:rsidP="007B3E55">
      <w:pPr>
        <w:jc w:val="center"/>
      </w:pPr>
      <w:r>
        <w:rPr>
          <w:noProof/>
          <w:lang w:val="en-US"/>
        </w:rPr>
        <w:drawing>
          <wp:inline distT="0" distB="0" distL="0" distR="0">
            <wp:extent cx="3438525" cy="211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3438525" cy="2114550"/>
                    </a:xfrm>
                    <a:prstGeom prst="rect">
                      <a:avLst/>
                    </a:prstGeom>
                    <a:noFill/>
                    <a:ln w="9525">
                      <a:noFill/>
                      <a:miter lim="800000"/>
                      <a:headEnd/>
                      <a:tailEnd/>
                    </a:ln>
                  </pic:spPr>
                </pic:pic>
              </a:graphicData>
            </a:graphic>
          </wp:inline>
        </w:drawing>
      </w:r>
    </w:p>
    <w:p w:rsidR="007B3E55" w:rsidRDefault="007B3E55" w:rsidP="007B3E55">
      <w:pPr>
        <w:spacing w:before="120"/>
        <w:jc w:val="both"/>
        <w:rPr>
          <w:sz w:val="20"/>
          <w:szCs w:val="22"/>
          <w:lang w:val="en-NZ"/>
        </w:rPr>
      </w:pPr>
      <w:r w:rsidRPr="00357D77">
        <w:rPr>
          <w:sz w:val="20"/>
          <w:szCs w:val="22"/>
          <w:lang w:val="en-NZ"/>
        </w:rPr>
        <w:t xml:space="preserve">These factors together with the rising average wage point to median household incomes falling away in the early 1990s as employment declined, and rising from the mid 1990s through to 2004, with reasonably strong growth from 2001 to 2004 when all three factors lined up together to drive </w:t>
      </w:r>
      <w:r w:rsidRPr="00357D77">
        <w:rPr>
          <w:sz w:val="20"/>
          <w:szCs w:val="22"/>
          <w:lang w:val="en-NZ"/>
        </w:rPr>
        <w:lastRenderedPageBreak/>
        <w:t xml:space="preserve">up income of two parent with dependent children households.  From 2004 to </w:t>
      </w:r>
      <w:r>
        <w:rPr>
          <w:sz w:val="20"/>
          <w:szCs w:val="22"/>
          <w:lang w:val="en-NZ"/>
        </w:rPr>
        <w:t>2007, the median incomes of two-</w:t>
      </w:r>
      <w:r w:rsidRPr="00357D77">
        <w:rPr>
          <w:sz w:val="20"/>
          <w:szCs w:val="22"/>
          <w:lang w:val="en-NZ"/>
        </w:rPr>
        <w:t>parent households could be expected not to change as greatly as their employment hours remained steady overall (Figure C.4</w:t>
      </w:r>
      <w:r>
        <w:rPr>
          <w:sz w:val="20"/>
          <w:szCs w:val="22"/>
          <w:lang w:val="en-NZ"/>
        </w:rPr>
        <w:t>), and the WFF package had only an negligible impact on the median.</w:t>
      </w:r>
      <w:r w:rsidRPr="00357D77">
        <w:rPr>
          <w:sz w:val="20"/>
          <w:szCs w:val="22"/>
          <w:lang w:val="en-NZ"/>
        </w:rPr>
        <w:t xml:space="preserve">  </w:t>
      </w:r>
    </w:p>
    <w:p w:rsidR="007B3E55" w:rsidRDefault="007B3E55" w:rsidP="007B3E55">
      <w:pPr>
        <w:jc w:val="both"/>
        <w:rPr>
          <w:sz w:val="20"/>
          <w:szCs w:val="22"/>
          <w:lang w:val="en-NZ"/>
        </w:rPr>
      </w:pPr>
    </w:p>
    <w:p w:rsidR="007B3E55" w:rsidRDefault="007B3E55" w:rsidP="007B3E55">
      <w:pPr>
        <w:jc w:val="both"/>
        <w:rPr>
          <w:sz w:val="20"/>
          <w:szCs w:val="22"/>
          <w:lang w:val="en-NZ"/>
        </w:rPr>
      </w:pPr>
      <w:r w:rsidRPr="00357D77">
        <w:rPr>
          <w:sz w:val="20"/>
          <w:szCs w:val="22"/>
          <w:lang w:val="en-NZ"/>
        </w:rPr>
        <w:t xml:space="preserve">The movement </w:t>
      </w:r>
      <w:r>
        <w:rPr>
          <w:sz w:val="20"/>
          <w:szCs w:val="22"/>
          <w:lang w:val="en-NZ"/>
        </w:rPr>
        <w:t xml:space="preserve">of the median </w:t>
      </w:r>
      <w:r w:rsidRPr="00357D77">
        <w:rPr>
          <w:sz w:val="20"/>
          <w:szCs w:val="22"/>
          <w:lang w:val="en-NZ"/>
        </w:rPr>
        <w:t>from 2007 t</w:t>
      </w:r>
      <w:r>
        <w:rPr>
          <w:sz w:val="20"/>
          <w:szCs w:val="22"/>
          <w:lang w:val="en-NZ"/>
        </w:rPr>
        <w:t>o</w:t>
      </w:r>
      <w:r w:rsidRPr="00357D77">
        <w:rPr>
          <w:sz w:val="20"/>
          <w:szCs w:val="22"/>
          <w:lang w:val="en-NZ"/>
        </w:rPr>
        <w:t xml:space="preserve"> 200</w:t>
      </w:r>
      <w:r>
        <w:rPr>
          <w:sz w:val="20"/>
          <w:szCs w:val="22"/>
          <w:lang w:val="en-NZ"/>
        </w:rPr>
        <w:t>9</w:t>
      </w:r>
      <w:r w:rsidRPr="00357D77">
        <w:rPr>
          <w:sz w:val="20"/>
          <w:szCs w:val="22"/>
          <w:lang w:val="en-NZ"/>
        </w:rPr>
        <w:t xml:space="preserve"> is not readily predictable from this high level model, especially given the volatility of the working hour arrangements for two parent families reported in recent years (</w:t>
      </w:r>
      <w:r>
        <w:rPr>
          <w:sz w:val="20"/>
          <w:szCs w:val="22"/>
          <w:lang w:val="en-NZ"/>
        </w:rPr>
        <w:t xml:space="preserve">more detailed figures behind </w:t>
      </w:r>
      <w:r w:rsidRPr="00357D77">
        <w:rPr>
          <w:sz w:val="20"/>
          <w:szCs w:val="22"/>
          <w:lang w:val="en-NZ"/>
        </w:rPr>
        <w:t>Figure C.</w:t>
      </w:r>
      <w:r>
        <w:rPr>
          <w:sz w:val="20"/>
          <w:szCs w:val="22"/>
          <w:lang w:val="en-NZ"/>
        </w:rPr>
        <w:t>4), and the personal tax changes introduced in October 2008 and April 2009.</w:t>
      </w:r>
      <w:r w:rsidRPr="00357D77">
        <w:rPr>
          <w:sz w:val="20"/>
          <w:szCs w:val="22"/>
          <w:lang w:val="en-NZ"/>
        </w:rPr>
        <w:t xml:space="preserve">  </w:t>
      </w:r>
      <w:r>
        <w:rPr>
          <w:sz w:val="20"/>
          <w:szCs w:val="22"/>
          <w:lang w:val="en-NZ"/>
        </w:rPr>
        <w:t xml:space="preserve"> For 2009 to 2010, the flat average wages (Figure C.3) and steady proportion of dual-earner two-parent households (Figure C.4) point to a ‘no change’ finding for the median.</w:t>
      </w:r>
    </w:p>
    <w:p w:rsidR="007B3E55" w:rsidRDefault="007B3E55" w:rsidP="007B3E55">
      <w:pPr>
        <w:jc w:val="both"/>
        <w:rPr>
          <w:sz w:val="20"/>
          <w:szCs w:val="22"/>
          <w:lang w:val="en-NZ"/>
        </w:rPr>
      </w:pPr>
    </w:p>
    <w:p w:rsidR="007B3E55" w:rsidRPr="00357D77" w:rsidRDefault="007B3E55" w:rsidP="007B3E55">
      <w:pPr>
        <w:jc w:val="both"/>
        <w:rPr>
          <w:rFonts w:cs="Arial"/>
          <w:b/>
          <w:sz w:val="20"/>
          <w:szCs w:val="22"/>
          <w:lang w:val="en-NZ"/>
        </w:rPr>
      </w:pPr>
      <w:r w:rsidRPr="00357D77">
        <w:rPr>
          <w:sz w:val="20"/>
          <w:szCs w:val="22"/>
          <w:lang w:val="en-NZ"/>
        </w:rPr>
        <w:t>See Figures D.1 and D.7 in the next section for the trends in median household incomes.</w:t>
      </w:r>
    </w:p>
    <w:p w:rsidR="007B3E55" w:rsidRPr="00357D77" w:rsidRDefault="007B3E55" w:rsidP="007B3E55">
      <w:pPr>
        <w:rPr>
          <w:rFonts w:cs="Arial"/>
          <w:b/>
          <w:sz w:val="20"/>
          <w:szCs w:val="22"/>
          <w:lang w:val="en-NZ"/>
        </w:rPr>
      </w:pPr>
    </w:p>
    <w:p w:rsidR="007B3E55" w:rsidRDefault="007B3E55" w:rsidP="007B3E55">
      <w:pPr>
        <w:rPr>
          <w:rFonts w:cs="Arial"/>
          <w:b/>
          <w:sz w:val="20"/>
          <w:szCs w:val="22"/>
          <w:lang w:val="en-NZ"/>
        </w:rPr>
      </w:pPr>
    </w:p>
    <w:p w:rsidR="007B3E55" w:rsidRPr="00357D77" w:rsidRDefault="007B3E55" w:rsidP="007B3E55">
      <w:pPr>
        <w:rPr>
          <w:sz w:val="20"/>
          <w:lang w:val="en-NZ"/>
        </w:rPr>
      </w:pPr>
      <w:r w:rsidRPr="00357D77">
        <w:rPr>
          <w:rFonts w:cs="Arial"/>
          <w:b/>
          <w:sz w:val="20"/>
          <w:szCs w:val="22"/>
          <w:lang w:val="en-NZ"/>
        </w:rPr>
        <w:t>Incomes at the lower end of the income distribution</w:t>
      </w:r>
    </w:p>
    <w:p w:rsidR="007B3E55" w:rsidRPr="00357D77" w:rsidRDefault="007B3E55" w:rsidP="007B3E55">
      <w:pPr>
        <w:spacing w:line="240" w:lineRule="exact"/>
        <w:jc w:val="both"/>
        <w:rPr>
          <w:rFonts w:cs="Arial"/>
          <w:b/>
          <w:sz w:val="18"/>
          <w:lang w:val="en-NZ"/>
        </w:rPr>
      </w:pPr>
    </w:p>
    <w:p w:rsidR="007B3E55" w:rsidRPr="00357D77" w:rsidRDefault="007B3E55" w:rsidP="007B3E55">
      <w:pPr>
        <w:jc w:val="both"/>
        <w:rPr>
          <w:rFonts w:cs="Arial"/>
          <w:sz w:val="20"/>
          <w:szCs w:val="22"/>
          <w:lang w:val="en-NZ"/>
        </w:rPr>
      </w:pPr>
      <w:r w:rsidRPr="00357D77">
        <w:rPr>
          <w:rFonts w:cs="Arial"/>
          <w:sz w:val="20"/>
          <w:szCs w:val="22"/>
          <w:lang w:val="en-NZ"/>
        </w:rPr>
        <w:t>Incomes at the lower end of the distribution are significantly affected by trends in the levels of social assistance delivered through income-tested benefits and child-related support, and trends in the numbers for whom social assistance income is their primary source of income.</w:t>
      </w:r>
    </w:p>
    <w:p w:rsidR="007B3E55" w:rsidRPr="00357D77" w:rsidRDefault="007B3E55" w:rsidP="007B3E55">
      <w:pPr>
        <w:jc w:val="both"/>
        <w:rPr>
          <w:rFonts w:cs="Arial"/>
          <w:sz w:val="20"/>
          <w:szCs w:val="22"/>
          <w:lang w:val="en-NZ"/>
        </w:rPr>
      </w:pPr>
    </w:p>
    <w:p w:rsidR="007B3E55" w:rsidRPr="00357D77" w:rsidRDefault="007B3E55" w:rsidP="007B3E55">
      <w:pPr>
        <w:jc w:val="both"/>
        <w:rPr>
          <w:rFonts w:cs="Arial"/>
          <w:sz w:val="20"/>
          <w:szCs w:val="22"/>
          <w:lang w:val="en-NZ"/>
        </w:rPr>
      </w:pPr>
      <w:r w:rsidRPr="00357D77">
        <w:rPr>
          <w:rFonts w:cs="Arial"/>
          <w:b/>
          <w:sz w:val="20"/>
          <w:szCs w:val="22"/>
          <w:lang w:val="en-NZ"/>
        </w:rPr>
        <w:t>Figure C.5</w:t>
      </w:r>
      <w:r w:rsidRPr="00357D77">
        <w:rPr>
          <w:rFonts w:cs="Arial"/>
          <w:sz w:val="20"/>
          <w:szCs w:val="22"/>
          <w:lang w:val="en-NZ"/>
        </w:rPr>
        <w:t xml:space="preserve"> shows the rise in the total number of people receiving a main benefit through to 1994, the further rise through to 1999</w:t>
      </w:r>
      <w:r>
        <w:rPr>
          <w:rFonts w:cs="Arial"/>
          <w:sz w:val="20"/>
          <w:szCs w:val="22"/>
          <w:lang w:val="en-NZ"/>
        </w:rPr>
        <w:t>,</w:t>
      </w:r>
      <w:r w:rsidRPr="00357D77">
        <w:rPr>
          <w:rFonts w:cs="Arial"/>
          <w:sz w:val="20"/>
          <w:szCs w:val="22"/>
          <w:lang w:val="en-NZ"/>
        </w:rPr>
        <w:t xml:space="preserve"> the steady decline </w:t>
      </w:r>
      <w:r>
        <w:rPr>
          <w:rFonts w:cs="Arial"/>
          <w:sz w:val="20"/>
          <w:szCs w:val="22"/>
          <w:lang w:val="en-NZ"/>
        </w:rPr>
        <w:t>to June 2008, and the rise through to June 20</w:t>
      </w:r>
      <w:r w:rsidR="00783C2B">
        <w:rPr>
          <w:rFonts w:cs="Arial"/>
          <w:sz w:val="20"/>
          <w:szCs w:val="22"/>
          <w:lang w:val="en-NZ"/>
        </w:rPr>
        <w:t>11</w:t>
      </w:r>
      <w:r>
        <w:rPr>
          <w:rFonts w:cs="Arial"/>
          <w:sz w:val="20"/>
          <w:szCs w:val="22"/>
          <w:lang w:val="en-NZ"/>
        </w:rPr>
        <w:t xml:space="preserve"> reflecting the recession and the </w:t>
      </w:r>
      <w:r w:rsidR="00783C2B">
        <w:rPr>
          <w:rFonts w:cs="Arial"/>
          <w:sz w:val="20"/>
          <w:szCs w:val="22"/>
          <w:lang w:val="en-NZ"/>
        </w:rPr>
        <w:t>global</w:t>
      </w:r>
      <w:r>
        <w:rPr>
          <w:rFonts w:cs="Arial"/>
          <w:sz w:val="20"/>
          <w:szCs w:val="22"/>
          <w:lang w:val="en-NZ"/>
        </w:rPr>
        <w:t xml:space="preserve"> financial crisis.</w:t>
      </w:r>
      <w:r w:rsidRPr="00357D77">
        <w:rPr>
          <w:rFonts w:cs="Arial"/>
          <w:sz w:val="20"/>
          <w:szCs w:val="22"/>
          <w:lang w:val="en-NZ"/>
        </w:rPr>
        <w:t xml:space="preserve">  Numbers in receipt of the unemployment benefit follow a trend that is a rough mirror image of the employment rate (Figure C.2).</w:t>
      </w:r>
    </w:p>
    <w:p w:rsidR="007B3E55" w:rsidRPr="00357D77" w:rsidRDefault="007B3E55" w:rsidP="007B3E55">
      <w:pPr>
        <w:spacing w:line="240" w:lineRule="exact"/>
        <w:jc w:val="both"/>
        <w:rPr>
          <w:rFonts w:cs="Arial"/>
          <w:sz w:val="18"/>
          <w:lang w:val="en-NZ"/>
        </w:rPr>
      </w:pPr>
    </w:p>
    <w:p w:rsidR="007B3E55" w:rsidRPr="00357D77" w:rsidRDefault="007B3E55" w:rsidP="007B3E55">
      <w:pPr>
        <w:jc w:val="center"/>
        <w:rPr>
          <w:rFonts w:cs="Arial"/>
          <w:b/>
          <w:sz w:val="18"/>
          <w:lang w:val="en-NZ"/>
        </w:rPr>
      </w:pPr>
      <w:r w:rsidRPr="00357D77">
        <w:rPr>
          <w:rFonts w:cs="Arial"/>
          <w:b/>
          <w:sz w:val="18"/>
          <w:lang w:val="en-NZ"/>
        </w:rPr>
        <w:t>Figure C.5</w:t>
      </w:r>
    </w:p>
    <w:p w:rsidR="007B3E55" w:rsidRDefault="007B3E55" w:rsidP="007B3E55">
      <w:pPr>
        <w:jc w:val="center"/>
        <w:rPr>
          <w:b/>
          <w:sz w:val="18"/>
        </w:rPr>
      </w:pPr>
      <w:r>
        <w:rPr>
          <w:b/>
          <w:sz w:val="18"/>
        </w:rPr>
        <w:t>Number of families / benefit units</w:t>
      </w:r>
      <w:r w:rsidRPr="00357D77">
        <w:rPr>
          <w:b/>
          <w:sz w:val="18"/>
        </w:rPr>
        <w:t xml:space="preserve"> in receipt of working age income-tested benefits, 1986 to 20</w:t>
      </w:r>
      <w:r>
        <w:rPr>
          <w:b/>
          <w:sz w:val="18"/>
        </w:rPr>
        <w:t>11:</w:t>
      </w:r>
    </w:p>
    <w:p w:rsidR="007B3E55" w:rsidRPr="00357D77" w:rsidRDefault="007B3E55" w:rsidP="007B3E55">
      <w:pPr>
        <w:jc w:val="center"/>
        <w:rPr>
          <w:b/>
          <w:sz w:val="18"/>
        </w:rPr>
      </w:pPr>
      <w:r w:rsidRPr="00357D77">
        <w:rPr>
          <w:b/>
          <w:sz w:val="18"/>
        </w:rPr>
        <w:t>(30 Jun</w:t>
      </w:r>
      <w:r>
        <w:rPr>
          <w:b/>
          <w:sz w:val="18"/>
        </w:rPr>
        <w:t>e figures</w:t>
      </w:r>
      <w:r w:rsidRPr="00357D77">
        <w:rPr>
          <w:b/>
          <w:sz w:val="18"/>
        </w:rPr>
        <w:t>)</w:t>
      </w:r>
    </w:p>
    <w:p w:rsidR="007B3E55" w:rsidRPr="003A6F04" w:rsidRDefault="00EC0BE0" w:rsidP="007B3E55">
      <w:pPr>
        <w:pStyle w:val="Heading2"/>
        <w:jc w:val="center"/>
        <w:rPr>
          <w:szCs w:val="20"/>
        </w:rPr>
      </w:pPr>
      <w:r>
        <w:rPr>
          <w:noProof/>
          <w:lang w:val="en-US"/>
        </w:rPr>
        <w:drawing>
          <wp:inline distT="0" distB="0" distL="0" distR="0">
            <wp:extent cx="4114800" cy="2543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4114800" cy="2543175"/>
                    </a:xfrm>
                    <a:prstGeom prst="rect">
                      <a:avLst/>
                    </a:prstGeom>
                    <a:noFill/>
                    <a:ln w="9525">
                      <a:noFill/>
                      <a:miter lim="800000"/>
                      <a:headEnd/>
                      <a:tailEnd/>
                    </a:ln>
                  </pic:spPr>
                </pic:pic>
              </a:graphicData>
            </a:graphic>
          </wp:inline>
        </w:drawing>
      </w:r>
    </w:p>
    <w:p w:rsidR="007B3E55" w:rsidRDefault="007B3E55" w:rsidP="007B3E55">
      <w:pPr>
        <w:jc w:val="both"/>
        <w:rPr>
          <w:b/>
          <w:lang w:val="en-NZ"/>
        </w:rPr>
      </w:pPr>
    </w:p>
    <w:p w:rsidR="007B3E55" w:rsidRPr="00357D77" w:rsidRDefault="007B3E55" w:rsidP="007B3E55">
      <w:pPr>
        <w:jc w:val="both"/>
        <w:rPr>
          <w:sz w:val="20"/>
          <w:lang w:val="en-NZ"/>
        </w:rPr>
      </w:pPr>
      <w:r w:rsidRPr="00357D77">
        <w:rPr>
          <w:sz w:val="20"/>
          <w:lang w:val="en-NZ"/>
        </w:rPr>
        <w:t>Figure C.</w:t>
      </w:r>
      <w:r>
        <w:rPr>
          <w:sz w:val="20"/>
          <w:lang w:val="en-NZ"/>
        </w:rPr>
        <w:t>5</w:t>
      </w:r>
      <w:r w:rsidRPr="00357D77">
        <w:rPr>
          <w:sz w:val="20"/>
          <w:lang w:val="en-NZ"/>
        </w:rPr>
        <w:t xml:space="preserve"> is based on the number of EFUs receiving an income-tested benefit.  </w:t>
      </w:r>
      <w:r w:rsidRPr="00357D77">
        <w:rPr>
          <w:b/>
          <w:sz w:val="20"/>
          <w:lang w:val="en-NZ"/>
        </w:rPr>
        <w:t>Table C.1</w:t>
      </w:r>
      <w:r w:rsidRPr="00357D77">
        <w:rPr>
          <w:sz w:val="20"/>
          <w:lang w:val="en-NZ"/>
        </w:rPr>
        <w:t xml:space="preserve"> </w:t>
      </w:r>
      <w:r>
        <w:rPr>
          <w:sz w:val="20"/>
          <w:lang w:val="en-NZ"/>
        </w:rPr>
        <w:t>(next page)</w:t>
      </w:r>
      <w:r w:rsidRPr="00357D77">
        <w:rPr>
          <w:sz w:val="20"/>
          <w:lang w:val="en-NZ"/>
        </w:rPr>
        <w:t xml:space="preserve"> shows </w:t>
      </w:r>
      <w:r>
        <w:rPr>
          <w:sz w:val="20"/>
          <w:lang w:val="en-NZ"/>
        </w:rPr>
        <w:t xml:space="preserve">the </w:t>
      </w:r>
      <w:r w:rsidRPr="00357D77">
        <w:rPr>
          <w:sz w:val="20"/>
          <w:lang w:val="en-NZ"/>
        </w:rPr>
        <w:t>total number of individuals in beneficiary families (EFUs) and the number of individuals receiving NZS.</w:t>
      </w:r>
    </w:p>
    <w:p w:rsidR="007B3E55" w:rsidRDefault="007B3E55" w:rsidP="007B3E55">
      <w:pPr>
        <w:jc w:val="center"/>
        <w:rPr>
          <w:rFonts w:cs="Arial"/>
          <w:b/>
          <w:sz w:val="20"/>
          <w:lang w:val="en-NZ"/>
        </w:rPr>
      </w:pPr>
    </w:p>
    <w:p w:rsidR="007B3E55" w:rsidRPr="008D05B5" w:rsidRDefault="007B3E55" w:rsidP="007B3E55">
      <w:pPr>
        <w:jc w:val="center"/>
        <w:rPr>
          <w:rFonts w:cs="Arial"/>
          <w:b/>
          <w:sz w:val="18"/>
          <w:szCs w:val="18"/>
          <w:lang w:val="en-NZ"/>
        </w:rPr>
      </w:pPr>
      <w:r>
        <w:rPr>
          <w:rFonts w:cs="Arial"/>
          <w:b/>
          <w:sz w:val="20"/>
          <w:lang w:val="en-NZ"/>
        </w:rPr>
        <w:br w:type="page"/>
      </w:r>
      <w:r w:rsidRPr="008D05B5">
        <w:rPr>
          <w:rFonts w:cs="Arial"/>
          <w:b/>
          <w:sz w:val="18"/>
          <w:szCs w:val="18"/>
          <w:lang w:val="en-NZ"/>
        </w:rPr>
        <w:lastRenderedPageBreak/>
        <w:t>Table C.1</w:t>
      </w:r>
    </w:p>
    <w:p w:rsidR="007B3E55" w:rsidRPr="008D05B5" w:rsidRDefault="007B3E55" w:rsidP="007B3E55">
      <w:pPr>
        <w:spacing w:after="120"/>
        <w:jc w:val="center"/>
        <w:rPr>
          <w:rFonts w:cs="Arial"/>
          <w:b/>
          <w:sz w:val="18"/>
          <w:szCs w:val="18"/>
          <w:lang w:val="en-NZ"/>
        </w:rPr>
      </w:pPr>
      <w:r w:rsidRPr="008D05B5">
        <w:rPr>
          <w:rFonts w:cs="Arial"/>
          <w:b/>
          <w:sz w:val="18"/>
          <w:szCs w:val="18"/>
          <w:lang w:val="en-NZ"/>
        </w:rPr>
        <w:t>Individuals in EFUs in receipt of an income-tested benefit or NZS (30 June)</w:t>
      </w:r>
    </w:p>
    <w:tbl>
      <w:tblPr>
        <w:tblStyle w:val="TableGrid"/>
        <w:tblW w:w="8730" w:type="dxa"/>
        <w:tblInd w:w="108" w:type="dxa"/>
        <w:tblLayout w:type="fixed"/>
        <w:tblLook w:val="01E0"/>
      </w:tblPr>
      <w:tblGrid>
        <w:gridCol w:w="810"/>
        <w:gridCol w:w="1080"/>
        <w:gridCol w:w="1170"/>
        <w:gridCol w:w="1260"/>
        <w:gridCol w:w="810"/>
        <w:gridCol w:w="1170"/>
        <w:gridCol w:w="1170"/>
        <w:gridCol w:w="1260"/>
      </w:tblGrid>
      <w:tr w:rsidR="007B3E55">
        <w:tc>
          <w:tcPr>
            <w:tcW w:w="810" w:type="dxa"/>
            <w:vAlign w:val="center"/>
          </w:tcPr>
          <w:p w:rsidR="007B3E55" w:rsidRPr="008D05B5" w:rsidRDefault="007B3E55" w:rsidP="00614C04">
            <w:pPr>
              <w:spacing w:before="60" w:after="60"/>
              <w:jc w:val="both"/>
              <w:rPr>
                <w:b/>
                <w:sz w:val="14"/>
                <w:szCs w:val="16"/>
                <w:lang w:val="en-NZ"/>
              </w:rPr>
            </w:pPr>
          </w:p>
        </w:tc>
        <w:tc>
          <w:tcPr>
            <w:tcW w:w="1080" w:type="dxa"/>
            <w:vAlign w:val="center"/>
          </w:tcPr>
          <w:p w:rsidR="007B3E55" w:rsidRPr="008D05B5" w:rsidRDefault="007B3E55" w:rsidP="00614C04">
            <w:pPr>
              <w:spacing w:before="60" w:after="60"/>
              <w:jc w:val="center"/>
              <w:rPr>
                <w:sz w:val="14"/>
                <w:szCs w:val="16"/>
                <w:lang w:val="en-NZ"/>
              </w:rPr>
            </w:pPr>
            <w:r w:rsidRPr="008D05B5">
              <w:rPr>
                <w:sz w:val="14"/>
                <w:szCs w:val="16"/>
                <w:lang w:val="en-NZ"/>
              </w:rPr>
              <w:t>Total working age EFUs in receipt of an income-tested benefit (000s)</w:t>
            </w:r>
          </w:p>
        </w:tc>
        <w:tc>
          <w:tcPr>
            <w:tcW w:w="1170" w:type="dxa"/>
            <w:vAlign w:val="center"/>
          </w:tcPr>
          <w:p w:rsidR="007B3E55" w:rsidRPr="008D05B5" w:rsidRDefault="007B3E55" w:rsidP="00614C04">
            <w:pPr>
              <w:spacing w:before="60"/>
              <w:jc w:val="center"/>
              <w:rPr>
                <w:sz w:val="14"/>
                <w:szCs w:val="16"/>
                <w:lang w:val="en-NZ"/>
              </w:rPr>
            </w:pPr>
            <w:r w:rsidRPr="008D05B5">
              <w:rPr>
                <w:sz w:val="14"/>
                <w:szCs w:val="16"/>
                <w:lang w:val="en-NZ"/>
              </w:rPr>
              <w:t>All people (adults and children) where prime recipient of an income-tested benefit is under 65</w:t>
            </w:r>
          </w:p>
          <w:p w:rsidR="007B3E55" w:rsidRPr="008D05B5" w:rsidRDefault="007B3E55" w:rsidP="00614C04">
            <w:pPr>
              <w:spacing w:after="60"/>
              <w:jc w:val="center"/>
              <w:rPr>
                <w:b/>
                <w:sz w:val="14"/>
                <w:szCs w:val="16"/>
                <w:lang w:val="en-NZ"/>
              </w:rPr>
            </w:pPr>
            <w:r w:rsidRPr="008D05B5">
              <w:rPr>
                <w:sz w:val="14"/>
                <w:szCs w:val="16"/>
                <w:lang w:val="en-NZ"/>
              </w:rPr>
              <w:t>(000s)</w:t>
            </w:r>
          </w:p>
        </w:tc>
        <w:tc>
          <w:tcPr>
            <w:tcW w:w="1260" w:type="dxa"/>
            <w:vAlign w:val="center"/>
          </w:tcPr>
          <w:p w:rsidR="007B3E55" w:rsidRPr="008D05B5" w:rsidRDefault="007B3E55" w:rsidP="00614C04">
            <w:pPr>
              <w:spacing w:before="60" w:after="60"/>
              <w:jc w:val="center"/>
              <w:rPr>
                <w:b/>
                <w:sz w:val="14"/>
                <w:szCs w:val="16"/>
                <w:lang w:val="en-NZ"/>
              </w:rPr>
            </w:pPr>
            <w:r w:rsidRPr="008D05B5">
              <w:rPr>
                <w:sz w:val="14"/>
                <w:szCs w:val="16"/>
                <w:lang w:val="en-NZ"/>
              </w:rPr>
              <w:t>Children (&lt;18) dependent on a recipient of an income-tested benefit, (000s)</w:t>
            </w:r>
          </w:p>
        </w:tc>
        <w:tc>
          <w:tcPr>
            <w:tcW w:w="810" w:type="dxa"/>
            <w:tcMar>
              <w:left w:w="58" w:type="dxa"/>
              <w:right w:w="58" w:type="dxa"/>
            </w:tcMar>
            <w:vAlign w:val="center"/>
          </w:tcPr>
          <w:p w:rsidR="007B3E55" w:rsidRPr="008D05B5" w:rsidRDefault="007B3E55" w:rsidP="00614C04">
            <w:pPr>
              <w:spacing w:before="60"/>
              <w:jc w:val="center"/>
              <w:rPr>
                <w:sz w:val="14"/>
                <w:szCs w:val="16"/>
                <w:lang w:val="en-NZ"/>
              </w:rPr>
            </w:pPr>
            <w:r w:rsidRPr="008D05B5">
              <w:rPr>
                <w:sz w:val="14"/>
                <w:szCs w:val="16"/>
                <w:lang w:val="en-NZ"/>
              </w:rPr>
              <w:t>NZS/VP recipients</w:t>
            </w:r>
          </w:p>
          <w:p w:rsidR="007B3E55" w:rsidRPr="008D05B5" w:rsidRDefault="007B3E55" w:rsidP="00614C04">
            <w:pPr>
              <w:spacing w:after="60"/>
              <w:jc w:val="center"/>
              <w:rPr>
                <w:b/>
                <w:sz w:val="14"/>
                <w:szCs w:val="16"/>
                <w:lang w:val="en-NZ"/>
              </w:rPr>
            </w:pPr>
            <w:r w:rsidRPr="008D05B5">
              <w:rPr>
                <w:sz w:val="14"/>
                <w:szCs w:val="16"/>
                <w:lang w:val="en-NZ"/>
              </w:rPr>
              <w:t>(000s)</w:t>
            </w:r>
          </w:p>
        </w:tc>
        <w:tc>
          <w:tcPr>
            <w:tcW w:w="1170" w:type="dxa"/>
            <w:vAlign w:val="center"/>
          </w:tcPr>
          <w:p w:rsidR="007B3E55" w:rsidRPr="008D05B5" w:rsidRDefault="007B3E55" w:rsidP="00614C04">
            <w:pPr>
              <w:spacing w:before="60" w:after="60"/>
              <w:jc w:val="center"/>
              <w:rPr>
                <w:sz w:val="14"/>
                <w:szCs w:val="16"/>
                <w:lang w:val="en-NZ"/>
              </w:rPr>
            </w:pPr>
            <w:r w:rsidRPr="008D05B5">
              <w:rPr>
                <w:sz w:val="14"/>
                <w:szCs w:val="16"/>
                <w:lang w:val="en-NZ"/>
              </w:rPr>
              <w:t xml:space="preserve">Proportion of children (&lt;18) dependent on a recipient of an income-tested benefit </w:t>
            </w:r>
          </w:p>
          <w:p w:rsidR="007B3E55" w:rsidRPr="008D05B5" w:rsidRDefault="007B3E55" w:rsidP="00614C04">
            <w:pPr>
              <w:spacing w:before="60" w:after="60"/>
              <w:jc w:val="center"/>
              <w:rPr>
                <w:sz w:val="14"/>
                <w:szCs w:val="16"/>
                <w:lang w:val="en-NZ"/>
              </w:rPr>
            </w:pPr>
            <w:r w:rsidRPr="008D05B5">
              <w:rPr>
                <w:sz w:val="14"/>
                <w:szCs w:val="16"/>
                <w:lang w:val="en-NZ"/>
              </w:rPr>
              <w:t>(%)</w:t>
            </w:r>
          </w:p>
        </w:tc>
        <w:tc>
          <w:tcPr>
            <w:tcW w:w="1170" w:type="dxa"/>
            <w:vAlign w:val="center"/>
          </w:tcPr>
          <w:p w:rsidR="007B3E55" w:rsidRPr="008D05B5" w:rsidRDefault="007B3E55" w:rsidP="00614C04">
            <w:pPr>
              <w:spacing w:before="60" w:after="60"/>
              <w:jc w:val="center"/>
              <w:rPr>
                <w:sz w:val="14"/>
                <w:szCs w:val="16"/>
                <w:lang w:val="en-NZ"/>
              </w:rPr>
            </w:pPr>
            <w:r w:rsidRPr="008D05B5">
              <w:rPr>
                <w:sz w:val="14"/>
                <w:szCs w:val="16"/>
                <w:lang w:val="en-NZ"/>
              </w:rPr>
              <w:t>Proportion of all people under 65 dependent on benefit receipt</w:t>
            </w:r>
          </w:p>
          <w:p w:rsidR="007B3E55" w:rsidRPr="008D05B5" w:rsidRDefault="007B3E55" w:rsidP="00614C04">
            <w:pPr>
              <w:spacing w:before="60" w:after="60"/>
              <w:jc w:val="center"/>
              <w:rPr>
                <w:sz w:val="14"/>
                <w:szCs w:val="16"/>
                <w:lang w:val="en-NZ"/>
              </w:rPr>
            </w:pPr>
            <w:r w:rsidRPr="008D05B5">
              <w:rPr>
                <w:sz w:val="14"/>
                <w:szCs w:val="16"/>
                <w:lang w:val="en-NZ"/>
              </w:rPr>
              <w:t>(%)</w:t>
            </w:r>
          </w:p>
        </w:tc>
        <w:tc>
          <w:tcPr>
            <w:tcW w:w="1260" w:type="dxa"/>
            <w:vAlign w:val="center"/>
          </w:tcPr>
          <w:p w:rsidR="007B3E55" w:rsidRPr="008D05B5" w:rsidRDefault="007B3E55" w:rsidP="00614C04">
            <w:pPr>
              <w:spacing w:before="60" w:after="60"/>
              <w:jc w:val="center"/>
              <w:rPr>
                <w:sz w:val="14"/>
                <w:szCs w:val="16"/>
                <w:lang w:val="en-NZ"/>
              </w:rPr>
            </w:pPr>
            <w:r w:rsidRPr="008D05B5">
              <w:rPr>
                <w:sz w:val="14"/>
                <w:szCs w:val="16"/>
                <w:lang w:val="en-NZ"/>
              </w:rPr>
              <w:t>Proportion of whole popln dependent on an  income-tested benefit or NZS/VP</w:t>
            </w:r>
          </w:p>
          <w:p w:rsidR="007B3E55" w:rsidRPr="008D05B5" w:rsidRDefault="007B3E55" w:rsidP="00614C04">
            <w:pPr>
              <w:spacing w:before="60" w:after="60"/>
              <w:jc w:val="center"/>
              <w:rPr>
                <w:sz w:val="14"/>
                <w:szCs w:val="16"/>
                <w:lang w:val="en-NZ"/>
              </w:rPr>
            </w:pPr>
            <w:r w:rsidRPr="008D05B5">
              <w:rPr>
                <w:sz w:val="14"/>
                <w:szCs w:val="16"/>
                <w:lang w:val="en-NZ"/>
              </w:rPr>
              <w:t>(%)</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1998</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368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701</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281</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477</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30</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21</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31</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1999</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372</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701</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277</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468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21</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30</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2000</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364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684</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271</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461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27</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20</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30</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2001</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354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662</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263</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454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26</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19</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29</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2002</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343</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638</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256</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458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18</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28</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2003</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334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622</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253</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467</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18</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27</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2004</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309</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584</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245</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473</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16</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26</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2005</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290</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548</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233</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484</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22</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15</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2006</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280</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523</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221</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498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14</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2007</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261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485</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205</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513</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19</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13</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2008</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258</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482</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201</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525</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19</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13</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24</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2009</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310</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554</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221</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542</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15</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25</w:t>
            </w:r>
          </w:p>
        </w:tc>
      </w:tr>
      <w:tr w:rsidR="007B3E55">
        <w:tc>
          <w:tcPr>
            <w:tcW w:w="810" w:type="dxa"/>
            <w:vAlign w:val="center"/>
          </w:tcPr>
          <w:p w:rsidR="007B3E55" w:rsidRPr="008D05B5" w:rsidRDefault="007B3E55" w:rsidP="00614C04">
            <w:pPr>
              <w:spacing w:before="40" w:after="40"/>
              <w:jc w:val="both"/>
              <w:rPr>
                <w:sz w:val="14"/>
                <w:szCs w:val="16"/>
                <w:lang w:val="en-NZ"/>
              </w:rPr>
            </w:pPr>
            <w:r w:rsidRPr="008D05B5">
              <w:rPr>
                <w:sz w:val="14"/>
                <w:szCs w:val="16"/>
                <w:lang w:val="en-NZ"/>
              </w:rPr>
              <w:t>2010</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333</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591</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234</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561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22</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15</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26</w:t>
            </w:r>
          </w:p>
        </w:tc>
      </w:tr>
      <w:tr w:rsidR="007B3E55">
        <w:tc>
          <w:tcPr>
            <w:tcW w:w="810" w:type="dxa"/>
            <w:vAlign w:val="center"/>
          </w:tcPr>
          <w:p w:rsidR="007B3E55" w:rsidRPr="008D05B5" w:rsidRDefault="00783C2B" w:rsidP="00783C2B">
            <w:pPr>
              <w:spacing w:before="40" w:after="40"/>
              <w:rPr>
                <w:sz w:val="14"/>
                <w:szCs w:val="16"/>
                <w:lang w:val="en-NZ"/>
              </w:rPr>
            </w:pPr>
            <w:r>
              <w:rPr>
                <w:sz w:val="14"/>
                <w:szCs w:val="16"/>
                <w:lang w:val="en-NZ"/>
              </w:rPr>
              <w:t>2011</w:t>
            </w:r>
          </w:p>
        </w:tc>
        <w:tc>
          <w:tcPr>
            <w:tcW w:w="108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331</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594</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233</w:t>
            </w:r>
          </w:p>
        </w:tc>
        <w:tc>
          <w:tcPr>
            <w:tcW w:w="81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576</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22</w:t>
            </w:r>
          </w:p>
        </w:tc>
        <w:tc>
          <w:tcPr>
            <w:tcW w:w="117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16</w:t>
            </w:r>
          </w:p>
        </w:tc>
        <w:tc>
          <w:tcPr>
            <w:tcW w:w="1260" w:type="dxa"/>
            <w:vAlign w:val="center"/>
          </w:tcPr>
          <w:p w:rsidR="007B3E55" w:rsidRPr="008D05B5" w:rsidRDefault="007B3E55" w:rsidP="00614C04">
            <w:pPr>
              <w:spacing w:before="40" w:after="40"/>
              <w:jc w:val="center"/>
              <w:rPr>
                <w:sz w:val="14"/>
                <w:szCs w:val="16"/>
                <w:lang w:val="en-NZ"/>
              </w:rPr>
            </w:pPr>
            <w:r w:rsidRPr="008D05B5">
              <w:rPr>
                <w:sz w:val="14"/>
                <w:szCs w:val="16"/>
                <w:lang w:val="en-NZ"/>
              </w:rPr>
              <w:t>27</w:t>
            </w:r>
          </w:p>
        </w:tc>
      </w:tr>
    </w:tbl>
    <w:p w:rsidR="007B3E55" w:rsidRDefault="007B3E55" w:rsidP="007B3E55">
      <w:pPr>
        <w:tabs>
          <w:tab w:val="left" w:pos="810"/>
        </w:tabs>
        <w:jc w:val="both"/>
        <w:rPr>
          <w:sz w:val="16"/>
          <w:szCs w:val="16"/>
          <w:lang w:val="en-NZ"/>
        </w:rPr>
      </w:pPr>
    </w:p>
    <w:p w:rsidR="007B3E55" w:rsidRPr="008D05B5" w:rsidRDefault="007B3E55" w:rsidP="007B3E55">
      <w:pPr>
        <w:tabs>
          <w:tab w:val="left" w:pos="810"/>
        </w:tabs>
        <w:spacing w:after="40"/>
        <w:jc w:val="both"/>
        <w:rPr>
          <w:sz w:val="16"/>
          <w:szCs w:val="16"/>
          <w:lang w:val="en-NZ"/>
        </w:rPr>
      </w:pPr>
      <w:r w:rsidRPr="008D05B5">
        <w:rPr>
          <w:sz w:val="16"/>
          <w:szCs w:val="16"/>
          <w:lang w:val="en-NZ"/>
        </w:rPr>
        <w:t xml:space="preserve">Sources: </w:t>
      </w:r>
      <w:r w:rsidRPr="008D05B5">
        <w:rPr>
          <w:sz w:val="16"/>
          <w:szCs w:val="16"/>
          <w:lang w:val="en-NZ"/>
        </w:rPr>
        <w:tab/>
        <w:t>Columns 1-4, MSD Statistical Reports and Information Analysis Platform</w:t>
      </w:r>
    </w:p>
    <w:p w:rsidR="007B3E55" w:rsidRPr="008D05B5" w:rsidRDefault="007B3E55" w:rsidP="007B3E55">
      <w:pPr>
        <w:tabs>
          <w:tab w:val="left" w:pos="810"/>
        </w:tabs>
        <w:jc w:val="both"/>
        <w:rPr>
          <w:sz w:val="16"/>
          <w:szCs w:val="16"/>
          <w:lang w:val="en-NZ"/>
        </w:rPr>
      </w:pPr>
      <w:r w:rsidRPr="008D05B5">
        <w:rPr>
          <w:sz w:val="16"/>
          <w:szCs w:val="16"/>
          <w:lang w:val="en-NZ"/>
        </w:rPr>
        <w:tab/>
        <w:t>Columns 5-7 use population estimates from Statistics New Zealand for the denominator</w:t>
      </w:r>
    </w:p>
    <w:p w:rsidR="007B3E55" w:rsidRPr="008D05B5" w:rsidRDefault="007B3E55" w:rsidP="007B3E55">
      <w:pPr>
        <w:spacing w:before="120"/>
        <w:jc w:val="both"/>
        <w:rPr>
          <w:b/>
          <w:sz w:val="16"/>
          <w:szCs w:val="16"/>
          <w:lang w:val="en-NZ"/>
        </w:rPr>
      </w:pPr>
    </w:p>
    <w:p w:rsidR="007B3E55" w:rsidRPr="00357D77" w:rsidRDefault="007B3E55" w:rsidP="007B3E55">
      <w:pPr>
        <w:spacing w:before="120"/>
        <w:jc w:val="both"/>
        <w:rPr>
          <w:sz w:val="20"/>
          <w:szCs w:val="22"/>
          <w:lang w:val="en-NZ"/>
        </w:rPr>
      </w:pPr>
      <w:r>
        <w:rPr>
          <w:b/>
          <w:sz w:val="20"/>
          <w:szCs w:val="22"/>
          <w:lang w:val="en-NZ"/>
        </w:rPr>
        <w:br w:type="page"/>
      </w:r>
      <w:r w:rsidRPr="00357D77">
        <w:rPr>
          <w:b/>
          <w:sz w:val="20"/>
          <w:szCs w:val="22"/>
          <w:lang w:val="en-NZ"/>
        </w:rPr>
        <w:lastRenderedPageBreak/>
        <w:t xml:space="preserve">Figure C.6 </w:t>
      </w:r>
      <w:r w:rsidRPr="00357D77">
        <w:rPr>
          <w:sz w:val="20"/>
          <w:szCs w:val="22"/>
          <w:lang w:val="en-NZ"/>
        </w:rPr>
        <w:t xml:space="preserve">shows the trend in real terms of average earnings and of income-tested benefits for the period, and </w:t>
      </w:r>
      <w:r w:rsidRPr="00357D77">
        <w:rPr>
          <w:b/>
          <w:sz w:val="20"/>
          <w:szCs w:val="22"/>
          <w:lang w:val="en-NZ"/>
        </w:rPr>
        <w:t>Figure C.7</w:t>
      </w:r>
      <w:r w:rsidRPr="00357D77">
        <w:rPr>
          <w:sz w:val="20"/>
          <w:szCs w:val="22"/>
          <w:lang w:val="en-NZ"/>
        </w:rPr>
        <w:t xml:space="preserve"> uses the same data to show how benefit levels have moved relative to average earnings.  The earnings measure is net average ordinary time weekly earnings (NAOTWE) and the income-tested benefit measure is the value of the main benefit plus the Family Tax Credit (or Family Support prior to 2007) for which the respective families are eligible in relation to the dependent children in their care.</w:t>
      </w:r>
      <w:r w:rsidRPr="00357D77">
        <w:rPr>
          <w:rStyle w:val="FootnoteReference"/>
          <w:sz w:val="20"/>
          <w:szCs w:val="22"/>
          <w:lang w:val="en-NZ"/>
        </w:rPr>
        <w:footnoteReference w:id="41"/>
      </w:r>
      <w:r w:rsidRPr="00357D77">
        <w:rPr>
          <w:sz w:val="20"/>
          <w:szCs w:val="22"/>
          <w:lang w:val="en-NZ"/>
        </w:rPr>
        <w:t xml:space="preserve">  In Figures C.6 and C.7:</w:t>
      </w:r>
    </w:p>
    <w:p w:rsidR="007B3E55" w:rsidRPr="00A43C0E" w:rsidRDefault="007B3E55" w:rsidP="007B3E55">
      <w:pPr>
        <w:spacing w:before="20" w:line="240" w:lineRule="exact"/>
        <w:ind w:left="1886" w:hanging="1440"/>
        <w:jc w:val="both"/>
        <w:rPr>
          <w:sz w:val="18"/>
          <w:szCs w:val="18"/>
          <w:lang w:val="en-NZ"/>
        </w:rPr>
      </w:pPr>
      <w:r w:rsidRPr="00A43C0E">
        <w:rPr>
          <w:sz w:val="18"/>
          <w:szCs w:val="18"/>
          <w:lang w:val="en-NZ"/>
        </w:rPr>
        <w:t>IB+2 means:</w:t>
      </w:r>
      <w:r w:rsidRPr="00A43C0E">
        <w:rPr>
          <w:sz w:val="18"/>
          <w:szCs w:val="18"/>
          <w:lang w:val="en-NZ"/>
        </w:rPr>
        <w:tab/>
        <w:t xml:space="preserve">a couple in receipt of the Invalid’s Benefit, with two children </w:t>
      </w:r>
    </w:p>
    <w:p w:rsidR="007B3E55" w:rsidRPr="00A43C0E" w:rsidRDefault="007B3E55" w:rsidP="007B3E55">
      <w:pPr>
        <w:spacing w:before="20" w:line="240" w:lineRule="exact"/>
        <w:ind w:left="1886" w:hanging="1440"/>
        <w:jc w:val="both"/>
        <w:rPr>
          <w:sz w:val="18"/>
          <w:szCs w:val="18"/>
          <w:lang w:val="en-NZ"/>
        </w:rPr>
      </w:pPr>
      <w:r w:rsidRPr="00A43C0E">
        <w:rPr>
          <w:sz w:val="18"/>
          <w:szCs w:val="18"/>
          <w:lang w:val="en-NZ"/>
        </w:rPr>
        <w:t xml:space="preserve">UB+2 means: </w:t>
      </w:r>
      <w:r w:rsidRPr="00A43C0E">
        <w:rPr>
          <w:sz w:val="18"/>
          <w:szCs w:val="18"/>
          <w:lang w:val="en-NZ"/>
        </w:rPr>
        <w:tab/>
        <w:t xml:space="preserve">a couple in receipt of the Unemployment Benefit, with two children </w:t>
      </w:r>
    </w:p>
    <w:p w:rsidR="007B3E55" w:rsidRPr="00A43C0E" w:rsidRDefault="007B3E55" w:rsidP="007B3E55">
      <w:pPr>
        <w:spacing w:before="20" w:line="240" w:lineRule="exact"/>
        <w:ind w:left="1886" w:hanging="1440"/>
        <w:jc w:val="both"/>
        <w:rPr>
          <w:sz w:val="18"/>
          <w:szCs w:val="18"/>
          <w:lang w:val="en-NZ"/>
        </w:rPr>
      </w:pPr>
      <w:r w:rsidRPr="00A43C0E">
        <w:rPr>
          <w:sz w:val="18"/>
          <w:szCs w:val="18"/>
          <w:lang w:val="en-NZ"/>
        </w:rPr>
        <w:t xml:space="preserve">DPB+2 means: </w:t>
      </w:r>
      <w:r w:rsidRPr="00A43C0E">
        <w:rPr>
          <w:sz w:val="18"/>
          <w:szCs w:val="18"/>
          <w:lang w:val="en-NZ"/>
        </w:rPr>
        <w:tab/>
        <w:t xml:space="preserve">a sole parent in receipt of the Domestic Purposes Benefit, with two children </w:t>
      </w:r>
    </w:p>
    <w:p w:rsidR="007B3E55" w:rsidRPr="00A43C0E" w:rsidRDefault="007B3E55" w:rsidP="007B3E55">
      <w:pPr>
        <w:spacing w:before="20" w:line="240" w:lineRule="exact"/>
        <w:ind w:left="1886" w:hanging="1440"/>
        <w:jc w:val="both"/>
        <w:rPr>
          <w:sz w:val="18"/>
          <w:szCs w:val="18"/>
          <w:lang w:val="en-NZ"/>
        </w:rPr>
      </w:pPr>
      <w:r w:rsidRPr="00A43C0E">
        <w:rPr>
          <w:sz w:val="18"/>
          <w:szCs w:val="18"/>
          <w:lang w:val="en-NZ"/>
        </w:rPr>
        <w:t>DPB+1 means:</w:t>
      </w:r>
      <w:r w:rsidRPr="00A43C0E">
        <w:rPr>
          <w:sz w:val="18"/>
          <w:szCs w:val="18"/>
          <w:lang w:val="en-NZ"/>
        </w:rPr>
        <w:tab/>
        <w:t>a sole parent in receipt of the Domestic Purposes Benefit, with one child</w:t>
      </w:r>
    </w:p>
    <w:p w:rsidR="007B3E55" w:rsidRDefault="007B3E55" w:rsidP="007B3E55">
      <w:pPr>
        <w:rPr>
          <w:rFonts w:cs="Arial"/>
          <w:b/>
          <w:sz w:val="18"/>
          <w:lang w:val="en-NZ"/>
        </w:rPr>
      </w:pPr>
    </w:p>
    <w:p w:rsidR="007B3E55" w:rsidRPr="00357D77" w:rsidRDefault="007B3E55" w:rsidP="007B3E55">
      <w:pPr>
        <w:jc w:val="center"/>
        <w:rPr>
          <w:rFonts w:cs="Arial"/>
          <w:b/>
          <w:sz w:val="18"/>
          <w:lang w:val="en-NZ"/>
        </w:rPr>
      </w:pPr>
      <w:r w:rsidRPr="00357D77">
        <w:rPr>
          <w:rFonts w:cs="Arial"/>
          <w:b/>
          <w:sz w:val="18"/>
          <w:lang w:val="en-NZ"/>
        </w:rPr>
        <w:t>Figure C.6</w:t>
      </w:r>
    </w:p>
    <w:p w:rsidR="007B3E55" w:rsidRPr="00357D77" w:rsidRDefault="007B3E55" w:rsidP="007B3E55">
      <w:pPr>
        <w:jc w:val="center"/>
        <w:rPr>
          <w:b/>
          <w:sz w:val="18"/>
        </w:rPr>
      </w:pPr>
      <w:r w:rsidRPr="00357D77">
        <w:rPr>
          <w:b/>
          <w:sz w:val="18"/>
        </w:rPr>
        <w:t>Income-tested benefits</w:t>
      </w:r>
      <w:r>
        <w:rPr>
          <w:b/>
          <w:sz w:val="18"/>
        </w:rPr>
        <w:t xml:space="preserve"> (plus FTC)</w:t>
      </w:r>
      <w:r w:rsidRPr="00357D77">
        <w:rPr>
          <w:b/>
          <w:sz w:val="18"/>
        </w:rPr>
        <w:t xml:space="preserve"> and average earnings in real terms for selected HH types</w:t>
      </w:r>
    </w:p>
    <w:p w:rsidR="007B3E55" w:rsidRPr="00F7205F" w:rsidRDefault="00EC0BE0" w:rsidP="007B3E55">
      <w:pPr>
        <w:jc w:val="center"/>
        <w:rPr>
          <w:rFonts w:cs="Arial"/>
          <w:b/>
          <w:sz w:val="18"/>
          <w:szCs w:val="18"/>
          <w:lang w:val="en-NZ"/>
        </w:rPr>
      </w:pPr>
      <w:r>
        <w:rPr>
          <w:noProof/>
          <w:lang w:val="en-US"/>
        </w:rPr>
        <w:drawing>
          <wp:inline distT="0" distB="0" distL="0" distR="0">
            <wp:extent cx="4076700" cy="245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4076700" cy="2457450"/>
                    </a:xfrm>
                    <a:prstGeom prst="rect">
                      <a:avLst/>
                    </a:prstGeom>
                    <a:noFill/>
                    <a:ln w="9525">
                      <a:noFill/>
                      <a:miter lim="800000"/>
                      <a:headEnd/>
                      <a:tailEnd/>
                    </a:ln>
                  </pic:spPr>
                </pic:pic>
              </a:graphicData>
            </a:graphic>
          </wp:inline>
        </w:drawing>
      </w:r>
    </w:p>
    <w:p w:rsidR="007B3E55" w:rsidRPr="00C90124" w:rsidRDefault="007B3E55" w:rsidP="007B3E55">
      <w:pPr>
        <w:spacing w:before="120"/>
        <w:jc w:val="center"/>
        <w:rPr>
          <w:rFonts w:cs="Arial"/>
          <w:b/>
          <w:sz w:val="18"/>
          <w:szCs w:val="18"/>
          <w:lang w:val="en-NZ"/>
        </w:rPr>
      </w:pPr>
      <w:r w:rsidRPr="00C90124">
        <w:rPr>
          <w:rFonts w:cs="Arial"/>
          <w:b/>
          <w:sz w:val="18"/>
          <w:szCs w:val="18"/>
          <w:lang w:val="en-NZ"/>
        </w:rPr>
        <w:t>Figure C.7</w:t>
      </w:r>
    </w:p>
    <w:p w:rsidR="007B3E55" w:rsidRPr="00D50C4D" w:rsidRDefault="007B3E55" w:rsidP="007B3E55">
      <w:pPr>
        <w:jc w:val="center"/>
        <w:rPr>
          <w:b/>
          <w:sz w:val="20"/>
        </w:rPr>
      </w:pPr>
      <w:r>
        <w:rPr>
          <w:b/>
          <w:sz w:val="18"/>
          <w:szCs w:val="18"/>
        </w:rPr>
        <w:t>Income-tested b</w:t>
      </w:r>
      <w:r w:rsidRPr="00C90124">
        <w:rPr>
          <w:b/>
          <w:sz w:val="18"/>
          <w:szCs w:val="18"/>
        </w:rPr>
        <w:t>enefits</w:t>
      </w:r>
      <w:r>
        <w:rPr>
          <w:b/>
          <w:sz w:val="18"/>
          <w:szCs w:val="18"/>
        </w:rPr>
        <w:t xml:space="preserve"> (plus FTC)</w:t>
      </w:r>
      <w:r w:rsidRPr="00C90124">
        <w:rPr>
          <w:b/>
          <w:sz w:val="18"/>
          <w:szCs w:val="18"/>
        </w:rPr>
        <w:t xml:space="preserve"> relative to average earnings</w:t>
      </w:r>
    </w:p>
    <w:p w:rsidR="007B3E55" w:rsidRPr="00F7205F" w:rsidRDefault="00EC0BE0" w:rsidP="007B3E55">
      <w:pPr>
        <w:pStyle w:val="Heading2"/>
        <w:jc w:val="center"/>
        <w:rPr>
          <w:szCs w:val="20"/>
        </w:rPr>
      </w:pPr>
      <w:r>
        <w:rPr>
          <w:noProof/>
          <w:lang w:val="en-US"/>
        </w:rPr>
        <w:drawing>
          <wp:inline distT="0" distB="0" distL="0" distR="0">
            <wp:extent cx="429577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4295775" cy="2514600"/>
                    </a:xfrm>
                    <a:prstGeom prst="rect">
                      <a:avLst/>
                    </a:prstGeom>
                    <a:noFill/>
                    <a:ln w="9525">
                      <a:noFill/>
                      <a:miter lim="800000"/>
                      <a:headEnd/>
                      <a:tailEnd/>
                    </a:ln>
                  </pic:spPr>
                </pic:pic>
              </a:graphicData>
            </a:graphic>
          </wp:inline>
        </w:drawing>
      </w:r>
    </w:p>
    <w:p w:rsidR="007B3E55" w:rsidRPr="00C90124" w:rsidRDefault="007B3E55" w:rsidP="007B3E55">
      <w:pPr>
        <w:pStyle w:val="Heading2"/>
        <w:tabs>
          <w:tab w:val="left" w:pos="1440"/>
        </w:tabs>
        <w:rPr>
          <w:b w:val="0"/>
          <w:sz w:val="16"/>
          <w:szCs w:val="16"/>
        </w:rPr>
      </w:pPr>
      <w:r>
        <w:rPr>
          <w:b w:val="0"/>
          <w:sz w:val="18"/>
          <w:szCs w:val="18"/>
        </w:rPr>
        <w:tab/>
      </w:r>
      <w:r w:rsidRPr="00C90124">
        <w:rPr>
          <w:b w:val="0"/>
          <w:sz w:val="16"/>
          <w:szCs w:val="16"/>
        </w:rPr>
        <w:t xml:space="preserve">Source for Figures C.6 and C.7:  Information and Monitoring Unit, MSD </w:t>
      </w:r>
    </w:p>
    <w:p w:rsidR="007B3E55" w:rsidRDefault="007B3E55" w:rsidP="007B3E55">
      <w:pPr>
        <w:rPr>
          <w:b/>
          <w:lang w:val="en-NZ"/>
        </w:rPr>
      </w:pPr>
    </w:p>
    <w:p w:rsidR="007B3E55" w:rsidRDefault="007B3E55" w:rsidP="007B3E55">
      <w:pPr>
        <w:jc w:val="center"/>
        <w:rPr>
          <w:b/>
          <w:lang w:val="en-NZ"/>
        </w:rPr>
      </w:pPr>
    </w:p>
    <w:p w:rsidR="007B3E55" w:rsidRDefault="007B3E55" w:rsidP="007B3E55">
      <w:pPr>
        <w:pStyle w:val="Heading1"/>
        <w:jc w:val="both"/>
        <w:rPr>
          <w:b w:val="0"/>
          <w:sz w:val="20"/>
          <w:szCs w:val="22"/>
        </w:rPr>
      </w:pPr>
      <w:r w:rsidRPr="00357D77">
        <w:rPr>
          <w:b w:val="0"/>
          <w:sz w:val="20"/>
          <w:szCs w:val="22"/>
        </w:rPr>
        <w:t xml:space="preserve">Taken together, the trends in the three key factors of numbers in receipt of a benefit, the real value of benefits and employment rates point to a rising poverty rate in the late 1980s through to the mid 1990s, using a ‘fixed line’ threshold.  From 1994, the improved opportunities for employment and </w:t>
      </w:r>
      <w:r w:rsidRPr="00357D77">
        <w:rPr>
          <w:b w:val="0"/>
          <w:sz w:val="20"/>
          <w:szCs w:val="22"/>
        </w:rPr>
        <w:lastRenderedPageBreak/>
        <w:t xml:space="preserve">from 1998 the reduction in benefit numbers while benefit levels stayed reasonably steady in real terms together point to a reducing poverty rate from the mid 1990s through to 2007.  </w:t>
      </w:r>
    </w:p>
    <w:p w:rsidR="007B3E55" w:rsidRDefault="007B3E55" w:rsidP="007B3E55">
      <w:pPr>
        <w:pStyle w:val="Heading1"/>
        <w:jc w:val="both"/>
        <w:rPr>
          <w:b w:val="0"/>
          <w:sz w:val="20"/>
          <w:szCs w:val="22"/>
        </w:rPr>
      </w:pPr>
    </w:p>
    <w:p w:rsidR="007B3E55" w:rsidRDefault="007B3E55" w:rsidP="007B3E55">
      <w:pPr>
        <w:jc w:val="both"/>
        <w:rPr>
          <w:lang w:val="en-NZ"/>
        </w:rPr>
      </w:pPr>
    </w:p>
    <w:p w:rsidR="007B3E55" w:rsidRDefault="007B3E55" w:rsidP="007B3E55">
      <w:pPr>
        <w:jc w:val="both"/>
        <w:rPr>
          <w:lang w:val="en-NZ"/>
        </w:rPr>
      </w:pPr>
    </w:p>
    <w:p w:rsidR="007B3E55" w:rsidRPr="00357D77" w:rsidRDefault="007B3E55" w:rsidP="007B3E55">
      <w:pPr>
        <w:rPr>
          <w:b/>
          <w:sz w:val="20"/>
          <w:lang w:val="en-NZ"/>
        </w:rPr>
      </w:pPr>
      <w:r w:rsidRPr="00357D77">
        <w:rPr>
          <w:b/>
          <w:sz w:val="20"/>
          <w:lang w:val="en-NZ"/>
        </w:rPr>
        <w:t>Housing costs</w:t>
      </w:r>
    </w:p>
    <w:p w:rsidR="007B3E55" w:rsidRPr="00357D77" w:rsidRDefault="007B3E55" w:rsidP="007B3E55">
      <w:pPr>
        <w:rPr>
          <w:sz w:val="20"/>
          <w:lang w:val="en-NZ"/>
        </w:rPr>
      </w:pPr>
    </w:p>
    <w:p w:rsidR="007B3E55" w:rsidRDefault="007B3E55" w:rsidP="007B3E55">
      <w:pPr>
        <w:jc w:val="both"/>
        <w:rPr>
          <w:sz w:val="20"/>
          <w:lang w:val="en-NZ"/>
        </w:rPr>
      </w:pPr>
      <w:r>
        <w:rPr>
          <w:sz w:val="20"/>
          <w:lang w:val="en-NZ"/>
        </w:rPr>
        <w:t xml:space="preserve">High </w:t>
      </w:r>
      <w:r w:rsidRPr="00357D77">
        <w:rPr>
          <w:sz w:val="20"/>
          <w:lang w:val="en-NZ"/>
        </w:rPr>
        <w:t xml:space="preserve">housing costs relative to income </w:t>
      </w:r>
      <w:r>
        <w:rPr>
          <w:sz w:val="20"/>
          <w:lang w:val="en-NZ"/>
        </w:rPr>
        <w:t>are</w:t>
      </w:r>
      <w:r w:rsidRPr="00357D77">
        <w:rPr>
          <w:sz w:val="20"/>
          <w:lang w:val="en-NZ"/>
        </w:rPr>
        <w:t xml:space="preserve"> often associated with financial </w:t>
      </w:r>
      <w:r>
        <w:rPr>
          <w:sz w:val="20"/>
          <w:lang w:val="en-NZ"/>
        </w:rPr>
        <w:t>stress for low- to middle-income households</w:t>
      </w:r>
      <w:r w:rsidRPr="00357D77">
        <w:rPr>
          <w:sz w:val="20"/>
          <w:lang w:val="en-NZ"/>
        </w:rPr>
        <w:t xml:space="preserve">.  </w:t>
      </w:r>
      <w:r>
        <w:rPr>
          <w:sz w:val="20"/>
          <w:lang w:val="en-NZ"/>
        </w:rPr>
        <w:t>Low-income h</w:t>
      </w:r>
      <w:r w:rsidRPr="00357D77">
        <w:rPr>
          <w:sz w:val="20"/>
          <w:lang w:val="en-NZ"/>
        </w:rPr>
        <w:t>ouseholds</w:t>
      </w:r>
      <w:r>
        <w:rPr>
          <w:sz w:val="20"/>
          <w:lang w:val="en-NZ"/>
        </w:rPr>
        <w:t xml:space="preserve"> especially</w:t>
      </w:r>
      <w:r w:rsidRPr="00357D77">
        <w:rPr>
          <w:sz w:val="20"/>
          <w:lang w:val="en-NZ"/>
        </w:rPr>
        <w:t xml:space="preserve"> can be left with insufficient income to meet other basic needs such as food, clothing, transport, medical care and education</w:t>
      </w:r>
      <w:r>
        <w:rPr>
          <w:sz w:val="20"/>
          <w:lang w:val="en-NZ"/>
        </w:rPr>
        <w:t xml:space="preserve"> for household members</w:t>
      </w:r>
      <w:r w:rsidRPr="00357D77">
        <w:rPr>
          <w:sz w:val="20"/>
          <w:lang w:val="en-NZ"/>
        </w:rPr>
        <w:t xml:space="preserve">. </w:t>
      </w:r>
    </w:p>
    <w:p w:rsidR="007B3E55" w:rsidRPr="00357D77" w:rsidRDefault="007B3E55" w:rsidP="007B3E55">
      <w:pPr>
        <w:jc w:val="both"/>
        <w:rPr>
          <w:sz w:val="20"/>
          <w:lang w:val="en-NZ"/>
        </w:rPr>
      </w:pPr>
    </w:p>
    <w:p w:rsidR="007B3E55" w:rsidRDefault="007B3E55" w:rsidP="007B3E55">
      <w:pPr>
        <w:jc w:val="both"/>
        <w:rPr>
          <w:sz w:val="20"/>
          <w:lang w:val="en-NZ"/>
        </w:rPr>
      </w:pPr>
      <w:r w:rsidRPr="00357D77">
        <w:rPr>
          <w:b/>
          <w:sz w:val="20"/>
          <w:lang w:val="en-NZ"/>
        </w:rPr>
        <w:t>Figure C.8</w:t>
      </w:r>
      <w:r w:rsidRPr="00357D77">
        <w:rPr>
          <w:sz w:val="20"/>
          <w:lang w:val="en-NZ"/>
        </w:rPr>
        <w:t xml:space="preserve"> and</w:t>
      </w:r>
      <w:r w:rsidRPr="00357D77">
        <w:rPr>
          <w:b/>
          <w:sz w:val="20"/>
          <w:lang w:val="en-NZ"/>
        </w:rPr>
        <w:t xml:space="preserve"> Table C.2</w:t>
      </w:r>
      <w:r w:rsidRPr="00357D77">
        <w:rPr>
          <w:sz w:val="20"/>
          <w:lang w:val="en-NZ"/>
        </w:rPr>
        <w:t xml:space="preserve"> show the trends </w:t>
      </w:r>
      <w:r>
        <w:rPr>
          <w:sz w:val="20"/>
          <w:lang w:val="en-NZ"/>
        </w:rPr>
        <w:t xml:space="preserve">by income quintiles </w:t>
      </w:r>
      <w:r w:rsidRPr="00357D77">
        <w:rPr>
          <w:sz w:val="20"/>
          <w:lang w:val="en-NZ"/>
        </w:rPr>
        <w:t>for</w:t>
      </w:r>
      <w:r>
        <w:rPr>
          <w:sz w:val="20"/>
          <w:lang w:val="en-NZ"/>
        </w:rPr>
        <w:t xml:space="preserve"> individuals in households with high ‘outgoing-to-income ratios’ (OTIs), </w:t>
      </w:r>
      <w:r w:rsidRPr="00357D77">
        <w:rPr>
          <w:sz w:val="20"/>
          <w:lang w:val="en-NZ"/>
        </w:rPr>
        <w:t>using 30% as the benchmark for high OTIs</w:t>
      </w:r>
    </w:p>
    <w:p w:rsidR="007B3E55" w:rsidRDefault="007B3E55" w:rsidP="007B3E55">
      <w:pPr>
        <w:jc w:val="both"/>
        <w:rPr>
          <w:sz w:val="20"/>
          <w:lang w:val="en-NZ"/>
        </w:rPr>
      </w:pPr>
    </w:p>
    <w:p w:rsidR="007B3E55" w:rsidRDefault="007B3E55" w:rsidP="007B3E55">
      <w:pPr>
        <w:jc w:val="both"/>
        <w:rPr>
          <w:sz w:val="20"/>
          <w:lang w:val="en-NZ"/>
        </w:rPr>
      </w:pPr>
      <w:r>
        <w:rPr>
          <w:sz w:val="20"/>
          <w:lang w:val="en-NZ"/>
        </w:rPr>
        <w:t>In 2011, just over one in four people were in households with high</w:t>
      </w:r>
      <w:r w:rsidR="009C100C">
        <w:rPr>
          <w:sz w:val="20"/>
          <w:lang w:val="en-NZ"/>
        </w:rPr>
        <w:t xml:space="preserve"> housing</w:t>
      </w:r>
      <w:r>
        <w:rPr>
          <w:sz w:val="20"/>
          <w:lang w:val="en-NZ"/>
        </w:rPr>
        <w:t xml:space="preserve"> OTIs (&gt;30%), compared with one in five in the mid 1990s, and only one in ten in the late 1980s.</w:t>
      </w:r>
    </w:p>
    <w:p w:rsidR="007B3E55" w:rsidRDefault="007B3E55" w:rsidP="007B3E55">
      <w:pPr>
        <w:jc w:val="both"/>
        <w:rPr>
          <w:sz w:val="20"/>
          <w:lang w:val="en-NZ"/>
        </w:rPr>
      </w:pPr>
    </w:p>
    <w:p w:rsidR="007B3E55" w:rsidRDefault="007B3E55" w:rsidP="007B3E55">
      <w:pPr>
        <w:jc w:val="both"/>
        <w:rPr>
          <w:sz w:val="20"/>
          <w:lang w:val="en-NZ"/>
        </w:rPr>
      </w:pPr>
      <w:r>
        <w:rPr>
          <w:sz w:val="20"/>
          <w:lang w:val="en-NZ"/>
        </w:rPr>
        <w:t xml:space="preserve">For the bottom quintile, the proportion with high OTIs steadily reduced from 52% in 1994 to 40% in 2004, as unemployment fell, employment and income rose, and income-related rental policies were introduced in 2000 for those in HNZC houses.  It then remained steady at 40% or a little less through to 2011.  </w:t>
      </w:r>
    </w:p>
    <w:p w:rsidR="007B3E55" w:rsidRDefault="007B3E55" w:rsidP="007B3E55">
      <w:pPr>
        <w:jc w:val="both"/>
        <w:rPr>
          <w:sz w:val="20"/>
          <w:lang w:val="en-NZ"/>
        </w:rPr>
      </w:pPr>
    </w:p>
    <w:p w:rsidR="007B3E55" w:rsidRDefault="007B3E55" w:rsidP="007B3E55">
      <w:pPr>
        <w:jc w:val="both"/>
        <w:rPr>
          <w:sz w:val="20"/>
          <w:lang w:val="en-NZ"/>
        </w:rPr>
      </w:pPr>
      <w:r>
        <w:rPr>
          <w:sz w:val="20"/>
          <w:lang w:val="en-NZ"/>
        </w:rPr>
        <w:t xml:space="preserve">For those in the second quintile there has been a steady rise from the 1980s through to 2011, with </w:t>
      </w:r>
      <w:r w:rsidR="009C100C">
        <w:rPr>
          <w:sz w:val="20"/>
          <w:lang w:val="en-NZ"/>
        </w:rPr>
        <w:t>a strong</w:t>
      </w:r>
      <w:r>
        <w:rPr>
          <w:sz w:val="20"/>
          <w:lang w:val="en-NZ"/>
        </w:rPr>
        <w:t xml:space="preserve"> increase from 2004 to 2009.  The rate more than doubled from 1988 (13%) to 2001 (31%), and peaked at 34% in 2009.</w:t>
      </w:r>
    </w:p>
    <w:p w:rsidR="007B3E55" w:rsidRDefault="007B3E55" w:rsidP="007B3E55">
      <w:pPr>
        <w:jc w:val="both"/>
        <w:rPr>
          <w:sz w:val="20"/>
          <w:lang w:val="en-NZ"/>
        </w:rPr>
      </w:pPr>
    </w:p>
    <w:p w:rsidR="007B3E55" w:rsidRDefault="007B3E55" w:rsidP="007B3E55">
      <w:pPr>
        <w:jc w:val="both"/>
        <w:rPr>
          <w:sz w:val="20"/>
          <w:lang w:val="en-NZ"/>
        </w:rPr>
      </w:pPr>
      <w:r>
        <w:rPr>
          <w:sz w:val="20"/>
          <w:lang w:val="en-NZ"/>
        </w:rPr>
        <w:t>The rise for the third quintile from 2004 (18%) to 2010 and 2011 (29%) is the strongest rise for any quintile in recent years.</w:t>
      </w:r>
    </w:p>
    <w:p w:rsidR="007B3E55" w:rsidRPr="00357D77" w:rsidRDefault="007B3E55" w:rsidP="007B3E55">
      <w:pPr>
        <w:rPr>
          <w:sz w:val="20"/>
          <w:lang w:val="en-NZ"/>
        </w:rPr>
      </w:pPr>
    </w:p>
    <w:p w:rsidR="007B3E55" w:rsidRPr="00357D77" w:rsidRDefault="007B3E55" w:rsidP="007B3E55">
      <w:pPr>
        <w:jc w:val="center"/>
        <w:rPr>
          <w:rFonts w:cs="Arial"/>
          <w:b/>
          <w:sz w:val="18"/>
          <w:lang w:val="en-NZ"/>
        </w:rPr>
      </w:pPr>
      <w:r w:rsidRPr="00357D77">
        <w:rPr>
          <w:rFonts w:cs="Arial"/>
          <w:b/>
          <w:sz w:val="18"/>
          <w:lang w:val="en-NZ"/>
        </w:rPr>
        <w:t>Figure C.8</w:t>
      </w:r>
    </w:p>
    <w:p w:rsidR="007B3E55" w:rsidRPr="00357D77" w:rsidRDefault="007B3E55" w:rsidP="007B3E55">
      <w:pPr>
        <w:jc w:val="center"/>
        <w:rPr>
          <w:rFonts w:cs="Arial"/>
          <w:b/>
          <w:sz w:val="18"/>
          <w:lang w:val="en-NZ"/>
        </w:rPr>
      </w:pPr>
      <w:r w:rsidRPr="00357D77">
        <w:rPr>
          <w:rFonts w:cs="Arial"/>
          <w:b/>
          <w:sz w:val="18"/>
          <w:lang w:val="en-NZ"/>
        </w:rPr>
        <w:t>Proportion of</w:t>
      </w:r>
      <w:r>
        <w:rPr>
          <w:rFonts w:cs="Arial"/>
          <w:b/>
          <w:sz w:val="18"/>
          <w:lang w:val="en-NZ"/>
        </w:rPr>
        <w:t xml:space="preserve"> individuals in</w:t>
      </w:r>
      <w:r w:rsidRPr="00357D77">
        <w:rPr>
          <w:rFonts w:cs="Arial"/>
          <w:b/>
          <w:sz w:val="18"/>
          <w:lang w:val="en-NZ"/>
        </w:rPr>
        <w:t xml:space="preserve"> </w:t>
      </w:r>
      <w:r>
        <w:rPr>
          <w:rFonts w:cs="Arial"/>
          <w:b/>
          <w:sz w:val="18"/>
          <w:lang w:val="en-NZ"/>
        </w:rPr>
        <w:t>households</w:t>
      </w:r>
      <w:r w:rsidRPr="00357D77">
        <w:rPr>
          <w:rFonts w:cs="Arial"/>
          <w:b/>
          <w:sz w:val="18"/>
          <w:lang w:val="en-NZ"/>
        </w:rPr>
        <w:t xml:space="preserve"> with housing cost OTIs greater than 30%</w:t>
      </w:r>
      <w:r>
        <w:rPr>
          <w:rFonts w:cs="Arial"/>
          <w:b/>
          <w:sz w:val="18"/>
          <w:lang w:val="en-NZ"/>
        </w:rPr>
        <w:t>, by income quintile</w:t>
      </w:r>
    </w:p>
    <w:p w:rsidR="007B3E55" w:rsidRPr="00F174AC" w:rsidRDefault="00EC0BE0" w:rsidP="007B3E55">
      <w:pPr>
        <w:jc w:val="center"/>
      </w:pPr>
      <w:r>
        <w:rPr>
          <w:noProof/>
          <w:lang w:val="en-US"/>
        </w:rPr>
        <w:drawing>
          <wp:inline distT="0" distB="0" distL="0" distR="0">
            <wp:extent cx="3933825" cy="2428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3933825" cy="2428875"/>
                    </a:xfrm>
                    <a:prstGeom prst="rect">
                      <a:avLst/>
                    </a:prstGeom>
                    <a:noFill/>
                    <a:ln w="9525">
                      <a:noFill/>
                      <a:miter lim="800000"/>
                      <a:headEnd/>
                      <a:tailEnd/>
                    </a:ln>
                  </pic:spPr>
                </pic:pic>
              </a:graphicData>
            </a:graphic>
          </wp:inline>
        </w:drawing>
      </w:r>
    </w:p>
    <w:p w:rsidR="007B3E55" w:rsidRDefault="007B3E55" w:rsidP="007B3E55">
      <w:pPr>
        <w:jc w:val="center"/>
        <w:rPr>
          <w:sz w:val="20"/>
          <w:lang w:val="en-NZ"/>
        </w:rPr>
      </w:pPr>
    </w:p>
    <w:p w:rsidR="007B3E55" w:rsidRDefault="007B3E55" w:rsidP="007B3E55">
      <w:pPr>
        <w:jc w:val="center"/>
        <w:rPr>
          <w:sz w:val="20"/>
          <w:lang w:val="en-NZ"/>
        </w:rPr>
      </w:pPr>
    </w:p>
    <w:p w:rsidR="007B3E55" w:rsidRDefault="007B3E55" w:rsidP="007B3E55">
      <w:pPr>
        <w:jc w:val="both"/>
        <w:rPr>
          <w:sz w:val="20"/>
          <w:lang w:val="en-NZ"/>
        </w:rPr>
      </w:pPr>
      <w:r w:rsidRPr="00357D77">
        <w:rPr>
          <w:sz w:val="20"/>
          <w:lang w:val="en-NZ"/>
        </w:rPr>
        <w:t>.</w:t>
      </w:r>
      <w:r>
        <w:rPr>
          <w:sz w:val="20"/>
          <w:lang w:val="en-NZ"/>
        </w:rPr>
        <w:t xml:space="preserve">  </w:t>
      </w:r>
    </w:p>
    <w:p w:rsidR="007B3E55" w:rsidRPr="00357D77" w:rsidRDefault="007B3E55" w:rsidP="007B3E55">
      <w:pPr>
        <w:jc w:val="center"/>
        <w:rPr>
          <w:rFonts w:cs="Arial"/>
          <w:b/>
          <w:sz w:val="18"/>
          <w:lang w:val="en-NZ"/>
        </w:rPr>
      </w:pPr>
      <w:r>
        <w:rPr>
          <w:sz w:val="20"/>
          <w:lang w:val="en-NZ"/>
        </w:rPr>
        <w:br w:type="page"/>
      </w:r>
      <w:r w:rsidRPr="00357D77">
        <w:rPr>
          <w:rFonts w:cs="Arial"/>
          <w:b/>
          <w:sz w:val="18"/>
          <w:lang w:val="en-NZ"/>
        </w:rPr>
        <w:lastRenderedPageBreak/>
        <w:t>Table C.</w:t>
      </w:r>
      <w:r>
        <w:rPr>
          <w:rFonts w:cs="Arial"/>
          <w:b/>
          <w:sz w:val="18"/>
          <w:lang w:val="en-NZ"/>
        </w:rPr>
        <w:t>2</w:t>
      </w:r>
    </w:p>
    <w:p w:rsidR="007B3E55" w:rsidRPr="00357D77" w:rsidRDefault="007B3E55" w:rsidP="007B3E55">
      <w:pPr>
        <w:spacing w:after="120"/>
        <w:jc w:val="center"/>
        <w:rPr>
          <w:rFonts w:cs="Arial"/>
          <w:b/>
          <w:sz w:val="18"/>
          <w:lang w:val="en-NZ"/>
        </w:rPr>
      </w:pPr>
      <w:r w:rsidRPr="00357D77">
        <w:rPr>
          <w:rFonts w:cs="Arial"/>
          <w:b/>
          <w:sz w:val="18"/>
          <w:lang w:val="en-NZ"/>
        </w:rPr>
        <w:t xml:space="preserve">Proportion of </w:t>
      </w:r>
      <w:r>
        <w:rPr>
          <w:rFonts w:cs="Arial"/>
          <w:b/>
          <w:sz w:val="18"/>
          <w:lang w:val="en-NZ"/>
        </w:rPr>
        <w:t>individuals in households</w:t>
      </w:r>
      <w:r w:rsidRPr="00357D77">
        <w:rPr>
          <w:rFonts w:cs="Arial"/>
          <w:b/>
          <w:sz w:val="18"/>
          <w:lang w:val="en-NZ"/>
        </w:rPr>
        <w:t xml:space="preserve"> with housing cost OTIs greater than 30%</w:t>
      </w:r>
      <w:r>
        <w:rPr>
          <w:rFonts w:cs="Arial"/>
          <w:b/>
          <w:sz w:val="18"/>
          <w:lang w:val="en-NZ"/>
        </w:rPr>
        <w:t>, by income quintile</w:t>
      </w:r>
    </w:p>
    <w:tbl>
      <w:tblPr>
        <w:tblStyle w:val="TableGrid"/>
        <w:tblW w:w="4955" w:type="dxa"/>
        <w:jc w:val="center"/>
        <w:tblInd w:w="-122" w:type="dxa"/>
        <w:tblLook w:val="01E0"/>
      </w:tblPr>
      <w:tblGrid>
        <w:gridCol w:w="748"/>
        <w:gridCol w:w="701"/>
        <w:gridCol w:w="701"/>
        <w:gridCol w:w="701"/>
        <w:gridCol w:w="701"/>
        <w:gridCol w:w="701"/>
        <w:gridCol w:w="702"/>
      </w:tblGrid>
      <w:tr w:rsidR="007B3E55" w:rsidRPr="00CE4CAB">
        <w:trPr>
          <w:jc w:val="center"/>
        </w:trPr>
        <w:tc>
          <w:tcPr>
            <w:tcW w:w="748" w:type="dxa"/>
            <w:vAlign w:val="center"/>
          </w:tcPr>
          <w:p w:rsidR="007B3E55" w:rsidRPr="00CE4CAB" w:rsidRDefault="007B3E55" w:rsidP="00614C04">
            <w:pPr>
              <w:spacing w:before="40" w:after="40"/>
              <w:jc w:val="both"/>
              <w:rPr>
                <w:b/>
                <w:sz w:val="14"/>
                <w:lang w:val="en-NZ"/>
              </w:rPr>
            </w:pPr>
          </w:p>
        </w:tc>
        <w:tc>
          <w:tcPr>
            <w:tcW w:w="701" w:type="dxa"/>
            <w:vAlign w:val="center"/>
          </w:tcPr>
          <w:p w:rsidR="007B3E55" w:rsidRPr="00CE4CAB" w:rsidRDefault="007B3E55" w:rsidP="00614C04">
            <w:pPr>
              <w:spacing w:before="40" w:after="40"/>
              <w:jc w:val="center"/>
              <w:rPr>
                <w:b/>
                <w:sz w:val="14"/>
                <w:szCs w:val="16"/>
                <w:lang w:val="en-NZ"/>
              </w:rPr>
            </w:pPr>
            <w:r w:rsidRPr="00CE4CAB">
              <w:rPr>
                <w:b/>
                <w:sz w:val="14"/>
                <w:szCs w:val="16"/>
                <w:lang w:val="en-NZ"/>
              </w:rPr>
              <w:t>Q1</w:t>
            </w:r>
          </w:p>
        </w:tc>
        <w:tc>
          <w:tcPr>
            <w:tcW w:w="701" w:type="dxa"/>
            <w:vAlign w:val="center"/>
          </w:tcPr>
          <w:p w:rsidR="007B3E55" w:rsidRPr="00CE4CAB" w:rsidRDefault="007B3E55" w:rsidP="00614C04">
            <w:pPr>
              <w:spacing w:before="40" w:after="40"/>
              <w:jc w:val="center"/>
              <w:rPr>
                <w:b/>
                <w:sz w:val="14"/>
                <w:szCs w:val="16"/>
                <w:lang w:val="en-NZ"/>
              </w:rPr>
            </w:pPr>
            <w:r w:rsidRPr="00CE4CAB">
              <w:rPr>
                <w:b/>
                <w:sz w:val="14"/>
                <w:szCs w:val="16"/>
                <w:lang w:val="en-NZ"/>
              </w:rPr>
              <w:t>Q2</w:t>
            </w:r>
          </w:p>
        </w:tc>
        <w:tc>
          <w:tcPr>
            <w:tcW w:w="701" w:type="dxa"/>
            <w:vAlign w:val="center"/>
          </w:tcPr>
          <w:p w:rsidR="007B3E55" w:rsidRPr="00CE4CAB" w:rsidRDefault="007B3E55" w:rsidP="00614C04">
            <w:pPr>
              <w:spacing w:before="40" w:after="40"/>
              <w:jc w:val="center"/>
              <w:rPr>
                <w:b/>
                <w:sz w:val="14"/>
                <w:szCs w:val="16"/>
                <w:lang w:val="en-NZ"/>
              </w:rPr>
            </w:pPr>
            <w:r w:rsidRPr="00CE4CAB">
              <w:rPr>
                <w:b/>
                <w:sz w:val="14"/>
                <w:szCs w:val="16"/>
                <w:lang w:val="en-NZ"/>
              </w:rPr>
              <w:t>Q3</w:t>
            </w:r>
          </w:p>
        </w:tc>
        <w:tc>
          <w:tcPr>
            <w:tcW w:w="701" w:type="dxa"/>
            <w:vAlign w:val="center"/>
          </w:tcPr>
          <w:p w:rsidR="007B3E55" w:rsidRPr="00CE4CAB" w:rsidRDefault="007B3E55" w:rsidP="00614C04">
            <w:pPr>
              <w:spacing w:before="40" w:after="40"/>
              <w:jc w:val="center"/>
              <w:rPr>
                <w:b/>
                <w:sz w:val="14"/>
                <w:szCs w:val="16"/>
                <w:lang w:val="en-NZ"/>
              </w:rPr>
            </w:pPr>
            <w:r w:rsidRPr="00CE4CAB">
              <w:rPr>
                <w:b/>
                <w:sz w:val="14"/>
                <w:szCs w:val="16"/>
                <w:lang w:val="en-NZ"/>
              </w:rPr>
              <w:t>Q4</w:t>
            </w:r>
          </w:p>
        </w:tc>
        <w:tc>
          <w:tcPr>
            <w:tcW w:w="701" w:type="dxa"/>
            <w:vAlign w:val="center"/>
          </w:tcPr>
          <w:p w:rsidR="007B3E55" w:rsidRPr="00CE4CAB" w:rsidRDefault="007B3E55" w:rsidP="00614C04">
            <w:pPr>
              <w:spacing w:before="40" w:after="40"/>
              <w:jc w:val="center"/>
              <w:rPr>
                <w:b/>
                <w:sz w:val="14"/>
                <w:szCs w:val="16"/>
                <w:lang w:val="en-NZ"/>
              </w:rPr>
            </w:pPr>
            <w:r w:rsidRPr="00CE4CAB">
              <w:rPr>
                <w:b/>
                <w:sz w:val="14"/>
                <w:szCs w:val="16"/>
                <w:lang w:val="en-NZ"/>
              </w:rPr>
              <w:t>Q5</w:t>
            </w:r>
          </w:p>
        </w:tc>
        <w:tc>
          <w:tcPr>
            <w:tcW w:w="702" w:type="dxa"/>
            <w:vAlign w:val="center"/>
          </w:tcPr>
          <w:p w:rsidR="007B3E55" w:rsidRPr="00CE4CAB" w:rsidRDefault="007B3E55" w:rsidP="00614C04">
            <w:pPr>
              <w:spacing w:before="40" w:after="40"/>
              <w:jc w:val="center"/>
              <w:rPr>
                <w:b/>
                <w:sz w:val="14"/>
                <w:szCs w:val="16"/>
                <w:lang w:val="en-NZ"/>
              </w:rPr>
            </w:pPr>
            <w:smartTag w:uri="urn:schemas-microsoft-com:office:smarttags" w:element="stockticker">
              <w:r w:rsidRPr="00CE4CAB">
                <w:rPr>
                  <w:b/>
                  <w:sz w:val="14"/>
                  <w:szCs w:val="16"/>
                  <w:lang w:val="en-NZ"/>
                </w:rPr>
                <w:t>ALL</w:t>
              </w:r>
            </w:smartTag>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1988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17</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13</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8</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11</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1990</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16</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8</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14</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1992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33</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15</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13</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10</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18</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1994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52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21</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11</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10</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22</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1996</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49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9</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24</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1998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48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21</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15</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12</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26</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2001</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44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31</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20</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16</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11</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25</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2004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18</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9</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22</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2007</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32</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27</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14</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27</w:t>
            </w:r>
          </w:p>
        </w:tc>
      </w:tr>
      <w:tr w:rsidR="007B3E55" w:rsidRPr="00CE4CAB">
        <w:trPr>
          <w:jc w:val="center"/>
        </w:trPr>
        <w:tc>
          <w:tcPr>
            <w:tcW w:w="748" w:type="dxa"/>
            <w:vAlign w:val="center"/>
          </w:tcPr>
          <w:p w:rsidR="007B3E55" w:rsidRPr="00CE4CAB" w:rsidRDefault="007B3E55" w:rsidP="00614C04">
            <w:pPr>
              <w:spacing w:before="40" w:after="40"/>
              <w:jc w:val="both"/>
              <w:rPr>
                <w:sz w:val="14"/>
                <w:szCs w:val="16"/>
                <w:lang w:val="en-NZ"/>
              </w:rPr>
            </w:pPr>
            <w:r w:rsidRPr="00CE4CAB">
              <w:rPr>
                <w:sz w:val="14"/>
                <w:szCs w:val="16"/>
                <w:lang w:val="en-NZ"/>
              </w:rPr>
              <w:t>2009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40</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34</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30</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19</w:t>
            </w:r>
          </w:p>
        </w:tc>
        <w:tc>
          <w:tcPr>
            <w:tcW w:w="701" w:type="dxa"/>
            <w:vAlign w:val="center"/>
          </w:tcPr>
          <w:p w:rsidR="007B3E55" w:rsidRPr="00CE4CAB" w:rsidRDefault="007B3E55" w:rsidP="00614C04">
            <w:pPr>
              <w:spacing w:before="40" w:after="40"/>
              <w:jc w:val="center"/>
              <w:rPr>
                <w:sz w:val="14"/>
                <w:szCs w:val="16"/>
                <w:lang w:val="en-NZ"/>
              </w:rPr>
            </w:pPr>
            <w:r>
              <w:rPr>
                <w:sz w:val="14"/>
                <w:szCs w:val="16"/>
                <w:lang w:val="en-NZ"/>
              </w:rPr>
              <w:t>16</w:t>
            </w:r>
          </w:p>
        </w:tc>
        <w:tc>
          <w:tcPr>
            <w:tcW w:w="702"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28</w:t>
            </w:r>
          </w:p>
        </w:tc>
      </w:tr>
      <w:tr w:rsidR="007B3E55" w:rsidRPr="00CE4CAB">
        <w:trPr>
          <w:jc w:val="center"/>
        </w:trPr>
        <w:tc>
          <w:tcPr>
            <w:tcW w:w="748" w:type="dxa"/>
            <w:vAlign w:val="center"/>
          </w:tcPr>
          <w:p w:rsidR="007B3E55" w:rsidRPr="004E3465" w:rsidRDefault="007B3E55" w:rsidP="00614C04">
            <w:pPr>
              <w:spacing w:before="40" w:after="40"/>
              <w:jc w:val="both"/>
              <w:rPr>
                <w:sz w:val="14"/>
                <w:szCs w:val="16"/>
                <w:lang w:val="en-NZ"/>
              </w:rPr>
            </w:pPr>
            <w:r w:rsidRPr="004E3465">
              <w:rPr>
                <w:sz w:val="14"/>
                <w:szCs w:val="16"/>
                <w:lang w:val="en-NZ"/>
              </w:rPr>
              <w:t>2011</w:t>
            </w:r>
          </w:p>
        </w:tc>
        <w:tc>
          <w:tcPr>
            <w:tcW w:w="701" w:type="dxa"/>
            <w:vAlign w:val="center"/>
          </w:tcPr>
          <w:p w:rsidR="007B3E55" w:rsidRPr="004E3465" w:rsidRDefault="007B3E55" w:rsidP="00614C04">
            <w:pPr>
              <w:spacing w:before="40" w:after="40"/>
              <w:jc w:val="center"/>
              <w:rPr>
                <w:sz w:val="14"/>
                <w:szCs w:val="16"/>
                <w:lang w:val="en-NZ"/>
              </w:rPr>
            </w:pPr>
            <w:r>
              <w:rPr>
                <w:sz w:val="14"/>
                <w:szCs w:val="16"/>
                <w:lang w:val="en-NZ"/>
              </w:rPr>
              <w:t>37</w:t>
            </w:r>
          </w:p>
        </w:tc>
        <w:tc>
          <w:tcPr>
            <w:tcW w:w="701" w:type="dxa"/>
            <w:vAlign w:val="center"/>
          </w:tcPr>
          <w:p w:rsidR="007B3E55" w:rsidRPr="004E3465" w:rsidRDefault="007B3E55" w:rsidP="00614C04">
            <w:pPr>
              <w:spacing w:before="40" w:after="40"/>
              <w:jc w:val="center"/>
              <w:rPr>
                <w:sz w:val="14"/>
                <w:szCs w:val="16"/>
                <w:lang w:val="en-NZ"/>
              </w:rPr>
            </w:pPr>
            <w:r>
              <w:rPr>
                <w:sz w:val="14"/>
                <w:szCs w:val="16"/>
                <w:lang w:val="en-NZ"/>
              </w:rPr>
              <w:t>33</w:t>
            </w:r>
          </w:p>
        </w:tc>
        <w:tc>
          <w:tcPr>
            <w:tcW w:w="701" w:type="dxa"/>
            <w:vAlign w:val="center"/>
          </w:tcPr>
          <w:p w:rsidR="007B3E55" w:rsidRPr="004E3465" w:rsidRDefault="007B3E55" w:rsidP="00614C04">
            <w:pPr>
              <w:spacing w:before="40" w:after="40"/>
              <w:jc w:val="center"/>
              <w:rPr>
                <w:sz w:val="14"/>
                <w:szCs w:val="16"/>
                <w:lang w:val="en-NZ"/>
              </w:rPr>
            </w:pPr>
            <w:r>
              <w:rPr>
                <w:sz w:val="14"/>
                <w:szCs w:val="16"/>
                <w:lang w:val="en-NZ"/>
              </w:rPr>
              <w:t>29</w:t>
            </w:r>
          </w:p>
        </w:tc>
        <w:tc>
          <w:tcPr>
            <w:tcW w:w="701" w:type="dxa"/>
            <w:vAlign w:val="center"/>
          </w:tcPr>
          <w:p w:rsidR="007B3E55" w:rsidRPr="004E3465" w:rsidRDefault="007B3E55" w:rsidP="00614C04">
            <w:pPr>
              <w:spacing w:before="40" w:after="40"/>
              <w:jc w:val="center"/>
              <w:rPr>
                <w:sz w:val="14"/>
                <w:szCs w:val="16"/>
                <w:lang w:val="en-NZ"/>
              </w:rPr>
            </w:pPr>
            <w:r>
              <w:rPr>
                <w:sz w:val="14"/>
                <w:szCs w:val="16"/>
                <w:lang w:val="en-NZ"/>
              </w:rPr>
              <w:t>16</w:t>
            </w:r>
          </w:p>
        </w:tc>
        <w:tc>
          <w:tcPr>
            <w:tcW w:w="701" w:type="dxa"/>
            <w:vAlign w:val="center"/>
          </w:tcPr>
          <w:p w:rsidR="007B3E55" w:rsidRPr="004E3465" w:rsidRDefault="007B3E55" w:rsidP="00614C04">
            <w:pPr>
              <w:spacing w:before="40" w:after="40"/>
              <w:jc w:val="center"/>
              <w:rPr>
                <w:sz w:val="14"/>
                <w:szCs w:val="16"/>
                <w:lang w:val="en-NZ"/>
              </w:rPr>
            </w:pPr>
            <w:r>
              <w:rPr>
                <w:sz w:val="14"/>
                <w:szCs w:val="16"/>
                <w:lang w:val="en-NZ"/>
              </w:rPr>
              <w:t>14</w:t>
            </w:r>
          </w:p>
        </w:tc>
        <w:tc>
          <w:tcPr>
            <w:tcW w:w="702" w:type="dxa"/>
            <w:vAlign w:val="center"/>
          </w:tcPr>
          <w:p w:rsidR="007B3E55" w:rsidRPr="004B435B" w:rsidRDefault="007B3E55" w:rsidP="00614C04">
            <w:pPr>
              <w:spacing w:before="40" w:after="40"/>
              <w:jc w:val="center"/>
              <w:rPr>
                <w:color w:val="000000"/>
                <w:sz w:val="14"/>
                <w:szCs w:val="16"/>
                <w:lang w:val="en-NZ"/>
              </w:rPr>
            </w:pPr>
            <w:r w:rsidRPr="004B435B">
              <w:rPr>
                <w:color w:val="000000"/>
                <w:sz w:val="14"/>
                <w:szCs w:val="16"/>
                <w:lang w:val="en-NZ"/>
              </w:rPr>
              <w:t>25</w:t>
            </w:r>
          </w:p>
        </w:tc>
      </w:tr>
    </w:tbl>
    <w:p w:rsidR="007B3E55" w:rsidRDefault="007B3E55" w:rsidP="007B3E55">
      <w:pPr>
        <w:jc w:val="center"/>
        <w:rPr>
          <w:rFonts w:cs="Arial"/>
          <w:b/>
          <w:sz w:val="18"/>
          <w:lang w:val="en-NZ"/>
        </w:rPr>
      </w:pPr>
    </w:p>
    <w:p w:rsidR="007B3E55" w:rsidRDefault="007B3E55" w:rsidP="007B3E55">
      <w:pPr>
        <w:jc w:val="both"/>
        <w:rPr>
          <w:b/>
          <w:sz w:val="20"/>
          <w:lang w:val="en-NZ"/>
        </w:rPr>
      </w:pPr>
    </w:p>
    <w:p w:rsidR="007B3E55" w:rsidRDefault="007B3E55" w:rsidP="007B3E55">
      <w:pPr>
        <w:jc w:val="both"/>
        <w:rPr>
          <w:sz w:val="20"/>
          <w:lang w:val="en-NZ"/>
        </w:rPr>
      </w:pPr>
      <w:r w:rsidRPr="00AA78A6">
        <w:rPr>
          <w:b/>
          <w:sz w:val="20"/>
          <w:lang w:val="en-NZ"/>
        </w:rPr>
        <w:t>Table C.</w:t>
      </w:r>
      <w:r>
        <w:rPr>
          <w:b/>
          <w:sz w:val="20"/>
          <w:lang w:val="en-NZ"/>
        </w:rPr>
        <w:t>3</w:t>
      </w:r>
      <w:r>
        <w:rPr>
          <w:sz w:val="20"/>
          <w:lang w:val="en-NZ"/>
        </w:rPr>
        <w:t xml:space="preserve"> provides a breakdown by age group.  The proportion with high OTIs increased markedly from the 1980s to the early 2000’s for all age groups (doubling or even tripling for some), although still remaining relatively low for older New Zealanders. </w:t>
      </w:r>
    </w:p>
    <w:p w:rsidR="007B3E55" w:rsidRDefault="007B3E55" w:rsidP="007B3E55">
      <w:pPr>
        <w:jc w:val="both"/>
        <w:rPr>
          <w:rFonts w:cs="Arial"/>
          <w:b/>
          <w:sz w:val="18"/>
          <w:lang w:val="en-NZ"/>
        </w:rPr>
      </w:pPr>
    </w:p>
    <w:p w:rsidR="007B3E55" w:rsidRPr="00357D77" w:rsidRDefault="007B3E55" w:rsidP="007B3E55">
      <w:pPr>
        <w:jc w:val="center"/>
        <w:rPr>
          <w:rFonts w:cs="Arial"/>
          <w:b/>
          <w:sz w:val="18"/>
          <w:lang w:val="en-NZ"/>
        </w:rPr>
      </w:pPr>
      <w:r w:rsidRPr="00357D77">
        <w:rPr>
          <w:rFonts w:cs="Arial"/>
          <w:b/>
          <w:sz w:val="18"/>
          <w:lang w:val="en-NZ"/>
        </w:rPr>
        <w:t>Table C.</w:t>
      </w:r>
      <w:r>
        <w:rPr>
          <w:rFonts w:cs="Arial"/>
          <w:b/>
          <w:sz w:val="18"/>
          <w:lang w:val="en-NZ"/>
        </w:rPr>
        <w:t>3</w:t>
      </w:r>
    </w:p>
    <w:p w:rsidR="007B3E55" w:rsidRPr="00357D77" w:rsidRDefault="007B3E55" w:rsidP="007B3E55">
      <w:pPr>
        <w:spacing w:after="120"/>
        <w:jc w:val="center"/>
        <w:rPr>
          <w:rFonts w:cs="Arial"/>
          <w:b/>
          <w:sz w:val="18"/>
          <w:lang w:val="en-NZ"/>
        </w:rPr>
      </w:pPr>
      <w:r w:rsidRPr="00357D77">
        <w:rPr>
          <w:rFonts w:cs="Arial"/>
          <w:b/>
          <w:sz w:val="18"/>
          <w:lang w:val="en-NZ"/>
        </w:rPr>
        <w:t xml:space="preserve">Proportion of </w:t>
      </w:r>
      <w:r>
        <w:rPr>
          <w:rFonts w:cs="Arial"/>
          <w:b/>
          <w:sz w:val="18"/>
          <w:lang w:val="en-NZ"/>
        </w:rPr>
        <w:t>individuals in households</w:t>
      </w:r>
      <w:r w:rsidRPr="00357D77">
        <w:rPr>
          <w:rFonts w:cs="Arial"/>
          <w:b/>
          <w:sz w:val="18"/>
          <w:lang w:val="en-NZ"/>
        </w:rPr>
        <w:t xml:space="preserve"> with housing cost OTIs greater than 30%</w:t>
      </w:r>
      <w:r>
        <w:rPr>
          <w:rFonts w:cs="Arial"/>
          <w:b/>
          <w:sz w:val="18"/>
          <w:lang w:val="en-NZ"/>
        </w:rPr>
        <w:t>, by age group</w:t>
      </w:r>
    </w:p>
    <w:tbl>
      <w:tblPr>
        <w:tblStyle w:val="TableGrid"/>
        <w:tblW w:w="5113" w:type="dxa"/>
        <w:jc w:val="center"/>
        <w:tblLook w:val="01E0"/>
      </w:tblPr>
      <w:tblGrid>
        <w:gridCol w:w="719"/>
        <w:gridCol w:w="732"/>
        <w:gridCol w:w="732"/>
        <w:gridCol w:w="733"/>
        <w:gridCol w:w="732"/>
        <w:gridCol w:w="732"/>
        <w:gridCol w:w="733"/>
      </w:tblGrid>
      <w:tr w:rsidR="007B3E55">
        <w:trPr>
          <w:jc w:val="center"/>
        </w:trPr>
        <w:tc>
          <w:tcPr>
            <w:tcW w:w="719" w:type="dxa"/>
            <w:vAlign w:val="center"/>
          </w:tcPr>
          <w:p w:rsidR="007B3E55" w:rsidRPr="000410ED" w:rsidRDefault="007B3E55" w:rsidP="00614C04">
            <w:pPr>
              <w:spacing w:before="40" w:after="40"/>
              <w:jc w:val="both"/>
              <w:rPr>
                <w:b/>
                <w:sz w:val="14"/>
                <w:lang w:val="en-NZ"/>
              </w:rPr>
            </w:pPr>
          </w:p>
        </w:tc>
        <w:tc>
          <w:tcPr>
            <w:tcW w:w="732" w:type="dxa"/>
            <w:vAlign w:val="center"/>
          </w:tcPr>
          <w:p w:rsidR="007B3E55" w:rsidRPr="000410ED" w:rsidRDefault="007B3E55" w:rsidP="00614C04">
            <w:pPr>
              <w:spacing w:before="40" w:after="40"/>
              <w:jc w:val="center"/>
              <w:rPr>
                <w:b/>
                <w:sz w:val="14"/>
                <w:szCs w:val="16"/>
                <w:lang w:val="en-NZ"/>
              </w:rPr>
            </w:pPr>
            <w:r w:rsidRPr="000410ED">
              <w:rPr>
                <w:b/>
                <w:sz w:val="14"/>
                <w:szCs w:val="16"/>
                <w:lang w:val="en-NZ"/>
              </w:rPr>
              <w:t>0-17</w:t>
            </w:r>
          </w:p>
        </w:tc>
        <w:tc>
          <w:tcPr>
            <w:tcW w:w="732" w:type="dxa"/>
            <w:vAlign w:val="center"/>
          </w:tcPr>
          <w:p w:rsidR="007B3E55" w:rsidRPr="000410ED" w:rsidRDefault="007B3E55" w:rsidP="00614C04">
            <w:pPr>
              <w:spacing w:before="40" w:after="40"/>
              <w:jc w:val="center"/>
              <w:rPr>
                <w:b/>
                <w:sz w:val="14"/>
                <w:szCs w:val="16"/>
                <w:lang w:val="en-NZ"/>
              </w:rPr>
            </w:pPr>
            <w:r w:rsidRPr="000410ED">
              <w:rPr>
                <w:b/>
                <w:sz w:val="14"/>
                <w:szCs w:val="16"/>
                <w:lang w:val="en-NZ"/>
              </w:rPr>
              <w:t>18-24</w:t>
            </w:r>
          </w:p>
        </w:tc>
        <w:tc>
          <w:tcPr>
            <w:tcW w:w="733" w:type="dxa"/>
            <w:vAlign w:val="center"/>
          </w:tcPr>
          <w:p w:rsidR="007B3E55" w:rsidRPr="000410ED" w:rsidRDefault="007B3E55" w:rsidP="00614C04">
            <w:pPr>
              <w:spacing w:before="40" w:after="40"/>
              <w:jc w:val="center"/>
              <w:rPr>
                <w:b/>
                <w:sz w:val="14"/>
                <w:szCs w:val="16"/>
                <w:lang w:val="en-NZ"/>
              </w:rPr>
            </w:pPr>
            <w:r w:rsidRPr="000410ED">
              <w:rPr>
                <w:b/>
                <w:sz w:val="14"/>
                <w:szCs w:val="16"/>
                <w:lang w:val="en-NZ"/>
              </w:rPr>
              <w:t>25-44</w:t>
            </w:r>
          </w:p>
        </w:tc>
        <w:tc>
          <w:tcPr>
            <w:tcW w:w="732" w:type="dxa"/>
            <w:vAlign w:val="center"/>
          </w:tcPr>
          <w:p w:rsidR="007B3E55" w:rsidRPr="000410ED" w:rsidRDefault="007B3E55" w:rsidP="00614C04">
            <w:pPr>
              <w:spacing w:before="40" w:after="40"/>
              <w:jc w:val="center"/>
              <w:rPr>
                <w:b/>
                <w:sz w:val="14"/>
                <w:szCs w:val="16"/>
                <w:lang w:val="en-NZ"/>
              </w:rPr>
            </w:pPr>
            <w:r w:rsidRPr="000410ED">
              <w:rPr>
                <w:b/>
                <w:sz w:val="14"/>
                <w:szCs w:val="16"/>
                <w:lang w:val="en-NZ"/>
              </w:rPr>
              <w:t>45-64</w:t>
            </w:r>
          </w:p>
        </w:tc>
        <w:tc>
          <w:tcPr>
            <w:tcW w:w="732" w:type="dxa"/>
            <w:vAlign w:val="center"/>
          </w:tcPr>
          <w:p w:rsidR="007B3E55" w:rsidRPr="000410ED" w:rsidRDefault="007B3E55" w:rsidP="00614C04">
            <w:pPr>
              <w:spacing w:before="40" w:after="40"/>
              <w:jc w:val="center"/>
              <w:rPr>
                <w:b/>
                <w:sz w:val="14"/>
                <w:szCs w:val="16"/>
                <w:lang w:val="en-NZ"/>
              </w:rPr>
            </w:pPr>
            <w:r w:rsidRPr="000410ED">
              <w:rPr>
                <w:b/>
                <w:sz w:val="14"/>
                <w:szCs w:val="16"/>
                <w:lang w:val="en-NZ"/>
              </w:rPr>
              <w:t>65+</w:t>
            </w:r>
          </w:p>
        </w:tc>
        <w:tc>
          <w:tcPr>
            <w:tcW w:w="733" w:type="dxa"/>
            <w:vAlign w:val="center"/>
          </w:tcPr>
          <w:p w:rsidR="007B3E55" w:rsidRPr="000410ED" w:rsidRDefault="007B3E55" w:rsidP="00614C04">
            <w:pPr>
              <w:spacing w:before="40" w:after="40"/>
              <w:jc w:val="center"/>
              <w:rPr>
                <w:b/>
                <w:sz w:val="14"/>
                <w:szCs w:val="16"/>
                <w:lang w:val="en-NZ"/>
              </w:rPr>
            </w:pPr>
            <w:smartTag w:uri="urn:schemas-microsoft-com:office:smarttags" w:element="stockticker">
              <w:r w:rsidRPr="000410ED">
                <w:rPr>
                  <w:b/>
                  <w:sz w:val="14"/>
                  <w:szCs w:val="16"/>
                  <w:lang w:val="en-NZ"/>
                </w:rPr>
                <w:t>ALL</w:t>
              </w:r>
            </w:smartTag>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1988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12</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15</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5</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11</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1990</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16</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16</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7</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14</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1992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21</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24</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18</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1994</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27</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22</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10</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5</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22</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1996</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24</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14</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6</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24</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1998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33</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26</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31</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14</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7</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26</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2001</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29</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28</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16</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7</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25</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2004</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26</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28</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25</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15</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6</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22</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2007</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32</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29</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33</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19</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9</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27</w:t>
            </w:r>
          </w:p>
        </w:tc>
      </w:tr>
      <w:tr w:rsidR="007B3E55">
        <w:trPr>
          <w:jc w:val="center"/>
        </w:trPr>
        <w:tc>
          <w:tcPr>
            <w:tcW w:w="719" w:type="dxa"/>
            <w:vAlign w:val="center"/>
          </w:tcPr>
          <w:p w:rsidR="007B3E55" w:rsidRPr="000410ED" w:rsidRDefault="007B3E55" w:rsidP="00614C04">
            <w:pPr>
              <w:spacing w:before="40" w:after="40"/>
              <w:jc w:val="both"/>
              <w:rPr>
                <w:sz w:val="14"/>
                <w:szCs w:val="16"/>
                <w:lang w:val="en-NZ"/>
              </w:rPr>
            </w:pPr>
            <w:r w:rsidRPr="000410ED">
              <w:rPr>
                <w:sz w:val="14"/>
                <w:szCs w:val="16"/>
                <w:lang w:val="en-NZ"/>
              </w:rPr>
              <w:t>2009</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37</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24</w:t>
            </w:r>
          </w:p>
        </w:tc>
        <w:tc>
          <w:tcPr>
            <w:tcW w:w="733"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35</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21</w:t>
            </w:r>
          </w:p>
        </w:tc>
        <w:tc>
          <w:tcPr>
            <w:tcW w:w="732" w:type="dxa"/>
            <w:vAlign w:val="center"/>
          </w:tcPr>
          <w:p w:rsidR="007B3E55" w:rsidRPr="000410ED" w:rsidRDefault="007B3E55" w:rsidP="00614C04">
            <w:pPr>
              <w:spacing w:before="40" w:after="40"/>
              <w:jc w:val="center"/>
              <w:rPr>
                <w:sz w:val="14"/>
                <w:szCs w:val="16"/>
                <w:lang w:val="en-NZ"/>
              </w:rPr>
            </w:pPr>
            <w:r w:rsidRPr="000410ED">
              <w:rPr>
                <w:sz w:val="14"/>
                <w:szCs w:val="16"/>
                <w:lang w:val="en-NZ"/>
              </w:rPr>
              <w:t>8</w:t>
            </w:r>
          </w:p>
        </w:tc>
        <w:tc>
          <w:tcPr>
            <w:tcW w:w="733" w:type="dxa"/>
            <w:vAlign w:val="center"/>
          </w:tcPr>
          <w:p w:rsidR="007B3E55" w:rsidRPr="000410ED" w:rsidRDefault="007B3E55" w:rsidP="00614C04">
            <w:pPr>
              <w:spacing w:before="40" w:after="40"/>
              <w:jc w:val="center"/>
              <w:rPr>
                <w:color w:val="000000"/>
                <w:sz w:val="14"/>
                <w:szCs w:val="16"/>
                <w:lang w:val="en-NZ"/>
              </w:rPr>
            </w:pPr>
            <w:r w:rsidRPr="000410ED">
              <w:rPr>
                <w:color w:val="000000"/>
                <w:sz w:val="14"/>
                <w:szCs w:val="16"/>
                <w:lang w:val="en-NZ"/>
              </w:rPr>
              <w:t>28</w:t>
            </w:r>
          </w:p>
        </w:tc>
      </w:tr>
      <w:tr w:rsidR="007B3E55">
        <w:trPr>
          <w:jc w:val="center"/>
        </w:trPr>
        <w:tc>
          <w:tcPr>
            <w:tcW w:w="719" w:type="dxa"/>
            <w:vAlign w:val="center"/>
          </w:tcPr>
          <w:p w:rsidR="007B3E55" w:rsidRPr="004B435B" w:rsidRDefault="007B3E55" w:rsidP="00614C04">
            <w:pPr>
              <w:spacing w:before="40" w:after="40"/>
              <w:jc w:val="both"/>
              <w:rPr>
                <w:sz w:val="14"/>
                <w:szCs w:val="16"/>
                <w:lang w:val="en-NZ"/>
              </w:rPr>
            </w:pPr>
            <w:r w:rsidRPr="004B435B">
              <w:rPr>
                <w:sz w:val="14"/>
                <w:szCs w:val="16"/>
                <w:lang w:val="en-NZ"/>
              </w:rPr>
              <w:t>2011</w:t>
            </w:r>
          </w:p>
        </w:tc>
        <w:tc>
          <w:tcPr>
            <w:tcW w:w="732" w:type="dxa"/>
            <w:vAlign w:val="center"/>
          </w:tcPr>
          <w:p w:rsidR="007B3E55" w:rsidRPr="004B435B" w:rsidRDefault="007B3E55" w:rsidP="00614C04">
            <w:pPr>
              <w:spacing w:before="40" w:after="40"/>
              <w:jc w:val="center"/>
              <w:rPr>
                <w:sz w:val="14"/>
                <w:szCs w:val="16"/>
                <w:lang w:val="en-NZ"/>
              </w:rPr>
            </w:pPr>
            <w:r>
              <w:rPr>
                <w:sz w:val="14"/>
                <w:szCs w:val="16"/>
                <w:lang w:val="en-NZ"/>
              </w:rPr>
              <w:t>30</w:t>
            </w:r>
          </w:p>
        </w:tc>
        <w:tc>
          <w:tcPr>
            <w:tcW w:w="732" w:type="dxa"/>
            <w:vAlign w:val="center"/>
          </w:tcPr>
          <w:p w:rsidR="007B3E55" w:rsidRPr="004B435B" w:rsidRDefault="007B3E55" w:rsidP="00614C04">
            <w:pPr>
              <w:spacing w:before="40" w:after="40"/>
              <w:jc w:val="center"/>
              <w:rPr>
                <w:sz w:val="14"/>
                <w:szCs w:val="16"/>
                <w:lang w:val="en-NZ"/>
              </w:rPr>
            </w:pPr>
            <w:r>
              <w:rPr>
                <w:sz w:val="14"/>
                <w:szCs w:val="16"/>
                <w:lang w:val="en-NZ"/>
              </w:rPr>
              <w:t>33</w:t>
            </w:r>
          </w:p>
        </w:tc>
        <w:tc>
          <w:tcPr>
            <w:tcW w:w="733" w:type="dxa"/>
            <w:vAlign w:val="center"/>
          </w:tcPr>
          <w:p w:rsidR="007B3E55" w:rsidRPr="004B435B" w:rsidRDefault="007B3E55" w:rsidP="00614C04">
            <w:pPr>
              <w:spacing w:before="40" w:after="40"/>
              <w:jc w:val="center"/>
              <w:rPr>
                <w:sz w:val="14"/>
                <w:szCs w:val="16"/>
                <w:lang w:val="en-NZ"/>
              </w:rPr>
            </w:pPr>
            <w:r w:rsidRPr="004B435B">
              <w:rPr>
                <w:sz w:val="14"/>
                <w:szCs w:val="16"/>
                <w:lang w:val="en-NZ"/>
              </w:rPr>
              <w:t>3</w:t>
            </w:r>
            <w:r>
              <w:rPr>
                <w:sz w:val="14"/>
                <w:szCs w:val="16"/>
                <w:lang w:val="en-NZ"/>
              </w:rPr>
              <w:t>2</w:t>
            </w:r>
          </w:p>
        </w:tc>
        <w:tc>
          <w:tcPr>
            <w:tcW w:w="732" w:type="dxa"/>
            <w:vAlign w:val="center"/>
          </w:tcPr>
          <w:p w:rsidR="007B3E55" w:rsidRPr="004B435B" w:rsidRDefault="007B3E55" w:rsidP="00614C04">
            <w:pPr>
              <w:spacing w:before="40" w:after="40"/>
              <w:jc w:val="center"/>
              <w:rPr>
                <w:sz w:val="14"/>
                <w:szCs w:val="16"/>
                <w:lang w:val="en-NZ"/>
              </w:rPr>
            </w:pPr>
            <w:r w:rsidRPr="004B435B">
              <w:rPr>
                <w:sz w:val="14"/>
                <w:szCs w:val="16"/>
                <w:lang w:val="en-NZ"/>
              </w:rPr>
              <w:t>2</w:t>
            </w:r>
            <w:r>
              <w:rPr>
                <w:sz w:val="14"/>
                <w:szCs w:val="16"/>
                <w:lang w:val="en-NZ"/>
              </w:rPr>
              <w:t>1</w:t>
            </w:r>
          </w:p>
        </w:tc>
        <w:tc>
          <w:tcPr>
            <w:tcW w:w="732" w:type="dxa"/>
            <w:vAlign w:val="center"/>
          </w:tcPr>
          <w:p w:rsidR="007B3E55" w:rsidRPr="004B435B" w:rsidRDefault="007B3E55" w:rsidP="00614C04">
            <w:pPr>
              <w:spacing w:before="40" w:after="40"/>
              <w:jc w:val="center"/>
              <w:rPr>
                <w:sz w:val="14"/>
                <w:szCs w:val="16"/>
                <w:lang w:val="en-NZ"/>
              </w:rPr>
            </w:pPr>
            <w:r>
              <w:rPr>
                <w:sz w:val="14"/>
                <w:szCs w:val="16"/>
                <w:lang w:val="en-NZ"/>
              </w:rPr>
              <w:t>7</w:t>
            </w:r>
          </w:p>
        </w:tc>
        <w:tc>
          <w:tcPr>
            <w:tcW w:w="733" w:type="dxa"/>
            <w:vAlign w:val="center"/>
          </w:tcPr>
          <w:p w:rsidR="007B3E55" w:rsidRPr="004B435B" w:rsidRDefault="007B3E55" w:rsidP="00614C04">
            <w:pPr>
              <w:spacing w:before="40" w:after="40"/>
              <w:jc w:val="center"/>
              <w:rPr>
                <w:color w:val="000000"/>
                <w:sz w:val="14"/>
                <w:szCs w:val="16"/>
                <w:lang w:val="en-NZ"/>
              </w:rPr>
            </w:pPr>
            <w:r w:rsidRPr="004B435B">
              <w:rPr>
                <w:color w:val="000000"/>
                <w:sz w:val="14"/>
                <w:szCs w:val="16"/>
                <w:lang w:val="en-NZ"/>
              </w:rPr>
              <w:t>25</w:t>
            </w:r>
          </w:p>
        </w:tc>
      </w:tr>
    </w:tbl>
    <w:p w:rsidR="007B3E55" w:rsidRDefault="007B3E55" w:rsidP="007B3E55">
      <w:pPr>
        <w:rPr>
          <w:lang w:val="en-NZ"/>
        </w:rPr>
      </w:pPr>
    </w:p>
    <w:p w:rsidR="007B3E55" w:rsidRDefault="007B3E55" w:rsidP="007B3E55">
      <w:pPr>
        <w:jc w:val="both"/>
        <w:rPr>
          <w:b/>
          <w:sz w:val="20"/>
          <w:lang w:val="en-NZ"/>
        </w:rPr>
      </w:pPr>
    </w:p>
    <w:p w:rsidR="007B3E55" w:rsidRDefault="007B3E55" w:rsidP="007B3E55">
      <w:pPr>
        <w:jc w:val="both"/>
        <w:rPr>
          <w:sz w:val="20"/>
          <w:lang w:val="en-NZ"/>
        </w:rPr>
      </w:pPr>
      <w:r>
        <w:rPr>
          <w:sz w:val="20"/>
          <w:lang w:val="en-NZ"/>
        </w:rPr>
        <w:t xml:space="preserve">From the mid 1990s to 2011, around 12 to 14% of individuals lived in households with an even higher OTI – </w:t>
      </w:r>
      <w:r w:rsidRPr="00E93A4E">
        <w:rPr>
          <w:sz w:val="20"/>
          <w:u w:val="single"/>
          <w:lang w:val="en-NZ"/>
        </w:rPr>
        <w:t>greater than 40%</w:t>
      </w:r>
      <w:r>
        <w:rPr>
          <w:sz w:val="20"/>
          <w:lang w:val="en-NZ"/>
        </w:rPr>
        <w:t xml:space="preserve"> - up from 5% in the late 1980s.  For those in Q1 (lower quintile), the proportion with these very high OTIs peaked in the mid-1990s at 35% but was lower at 25 to 30% from 2004 to 2011.   </w:t>
      </w:r>
      <w:r w:rsidRPr="00D717FC">
        <w:rPr>
          <w:b/>
          <w:sz w:val="20"/>
          <w:lang w:val="en-NZ"/>
        </w:rPr>
        <w:t>Figure C9</w:t>
      </w:r>
      <w:r>
        <w:rPr>
          <w:sz w:val="20"/>
          <w:lang w:val="en-NZ"/>
        </w:rPr>
        <w:t xml:space="preserve"> compares the trend in proportions of individuals in Q2 who have OTIs greater than 30% with those with OTIs greater than 40%, showing the rise of the latter from 6% in the 1980s to 17% in recent years.</w:t>
      </w:r>
    </w:p>
    <w:p w:rsidR="007B3E55" w:rsidRDefault="007B3E55" w:rsidP="007B3E55">
      <w:pPr>
        <w:jc w:val="both"/>
        <w:rPr>
          <w:sz w:val="20"/>
          <w:lang w:val="en-NZ"/>
        </w:rPr>
      </w:pPr>
    </w:p>
    <w:p w:rsidR="007B3E55" w:rsidRPr="00357D77" w:rsidRDefault="007B3E55" w:rsidP="007B3E55">
      <w:pPr>
        <w:jc w:val="center"/>
        <w:rPr>
          <w:rFonts w:cs="Arial"/>
          <w:b/>
          <w:sz w:val="18"/>
          <w:lang w:val="en-NZ"/>
        </w:rPr>
      </w:pPr>
      <w:r w:rsidRPr="00357D77">
        <w:rPr>
          <w:rFonts w:cs="Arial"/>
          <w:b/>
          <w:sz w:val="18"/>
          <w:lang w:val="en-NZ"/>
        </w:rPr>
        <w:t>Figure C.</w:t>
      </w:r>
      <w:r>
        <w:rPr>
          <w:rFonts w:cs="Arial"/>
          <w:b/>
          <w:sz w:val="18"/>
          <w:lang w:val="en-NZ"/>
        </w:rPr>
        <w:t>9</w:t>
      </w:r>
    </w:p>
    <w:p w:rsidR="007B3E55" w:rsidRDefault="007B3E55" w:rsidP="007B3E55">
      <w:pPr>
        <w:jc w:val="center"/>
        <w:rPr>
          <w:sz w:val="20"/>
          <w:lang w:val="en-NZ"/>
        </w:rPr>
      </w:pPr>
      <w:r w:rsidRPr="00357D77">
        <w:rPr>
          <w:rFonts w:cs="Arial"/>
          <w:b/>
          <w:sz w:val="18"/>
          <w:lang w:val="en-NZ"/>
        </w:rPr>
        <w:t>Proportion of</w:t>
      </w:r>
      <w:r>
        <w:rPr>
          <w:rFonts w:cs="Arial"/>
          <w:b/>
          <w:sz w:val="18"/>
          <w:lang w:val="en-NZ"/>
        </w:rPr>
        <w:t xml:space="preserve"> individuals in</w:t>
      </w:r>
      <w:r w:rsidRPr="00357D77">
        <w:rPr>
          <w:rFonts w:cs="Arial"/>
          <w:b/>
          <w:sz w:val="18"/>
          <w:lang w:val="en-NZ"/>
        </w:rPr>
        <w:t xml:space="preserve"> </w:t>
      </w:r>
      <w:r>
        <w:rPr>
          <w:rFonts w:cs="Arial"/>
          <w:b/>
          <w:sz w:val="18"/>
          <w:lang w:val="en-NZ"/>
        </w:rPr>
        <w:t>Q2 households</w:t>
      </w:r>
      <w:r w:rsidRPr="00357D77">
        <w:rPr>
          <w:rFonts w:cs="Arial"/>
          <w:b/>
          <w:sz w:val="18"/>
          <w:lang w:val="en-NZ"/>
        </w:rPr>
        <w:t xml:space="preserve"> with </w:t>
      </w:r>
      <w:r>
        <w:rPr>
          <w:rFonts w:cs="Arial"/>
          <w:b/>
          <w:sz w:val="18"/>
          <w:lang w:val="en-NZ"/>
        </w:rPr>
        <w:t xml:space="preserve">high </w:t>
      </w:r>
      <w:r w:rsidRPr="00357D77">
        <w:rPr>
          <w:rFonts w:cs="Arial"/>
          <w:b/>
          <w:sz w:val="18"/>
          <w:lang w:val="en-NZ"/>
        </w:rPr>
        <w:t>housing cost OTIs greater than 30%</w:t>
      </w:r>
      <w:r>
        <w:rPr>
          <w:rFonts w:cs="Arial"/>
          <w:b/>
          <w:sz w:val="18"/>
          <w:lang w:val="en-NZ"/>
        </w:rPr>
        <w:t>, and 40%</w:t>
      </w:r>
    </w:p>
    <w:p w:rsidR="00E46063" w:rsidRDefault="00EC0BE0" w:rsidP="005E152F">
      <w:pPr>
        <w:jc w:val="center"/>
        <w:sectPr w:rsidR="00E46063" w:rsidSect="005A3E8C">
          <w:headerReference w:type="default" r:id="rId44"/>
          <w:pgSz w:w="11909" w:h="16834" w:code="9"/>
          <w:pgMar w:top="1440" w:right="1584" w:bottom="1440" w:left="1584" w:header="706" w:footer="706" w:gutter="0"/>
          <w:cols w:space="720"/>
        </w:sectPr>
      </w:pPr>
      <w:r>
        <w:rPr>
          <w:noProof/>
          <w:lang w:val="en-US"/>
        </w:rPr>
        <w:drawing>
          <wp:inline distT="0" distB="0" distL="0" distR="0">
            <wp:extent cx="2876550"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2876550" cy="1781175"/>
                    </a:xfrm>
                    <a:prstGeom prst="rect">
                      <a:avLst/>
                    </a:prstGeom>
                    <a:noFill/>
                    <a:ln w="9525">
                      <a:noFill/>
                      <a:miter lim="800000"/>
                      <a:headEnd/>
                      <a:tailEnd/>
                    </a:ln>
                  </pic:spPr>
                </pic:pic>
              </a:graphicData>
            </a:graphic>
          </wp:inline>
        </w:drawing>
      </w:r>
      <w:bookmarkEnd w:id="75"/>
    </w:p>
    <w:p w:rsidR="00E46063" w:rsidRPr="009306C7" w:rsidRDefault="00E46063" w:rsidP="00E46063">
      <w:pPr>
        <w:jc w:val="center"/>
        <w:rPr>
          <w:b/>
          <w:sz w:val="36"/>
          <w:szCs w:val="32"/>
        </w:rPr>
      </w:pPr>
      <w:r w:rsidRPr="009306C7">
        <w:rPr>
          <w:b/>
          <w:sz w:val="36"/>
          <w:szCs w:val="32"/>
        </w:rPr>
        <w:lastRenderedPageBreak/>
        <w:t>Section D</w:t>
      </w:r>
    </w:p>
    <w:p w:rsidR="00E46063" w:rsidRPr="009306C7" w:rsidRDefault="00E46063" w:rsidP="00E46063">
      <w:pPr>
        <w:pStyle w:val="Heading1"/>
        <w:jc w:val="center"/>
        <w:rPr>
          <w:sz w:val="36"/>
        </w:rPr>
      </w:pPr>
      <w:r w:rsidRPr="009306C7">
        <w:rPr>
          <w:sz w:val="36"/>
        </w:rPr>
        <w:t xml:space="preserve">Household incomes and income inequality, </w:t>
      </w:r>
    </w:p>
    <w:p w:rsidR="00E46063" w:rsidRPr="009306C7" w:rsidRDefault="00E46063" w:rsidP="00E46063">
      <w:pPr>
        <w:pStyle w:val="Heading1"/>
        <w:jc w:val="center"/>
        <w:rPr>
          <w:sz w:val="36"/>
        </w:rPr>
      </w:pPr>
      <w:r>
        <w:rPr>
          <w:sz w:val="36"/>
        </w:rPr>
        <w:t>1982 – 2011</w:t>
      </w:r>
    </w:p>
    <w:p w:rsidR="00E46063" w:rsidRDefault="00E46063" w:rsidP="00E46063">
      <w:pPr>
        <w:jc w:val="both"/>
        <w:rPr>
          <w:rFonts w:cs="Arial"/>
          <w:szCs w:val="22"/>
        </w:rPr>
      </w:pPr>
    </w:p>
    <w:p w:rsidR="00E46063" w:rsidRDefault="00E46063" w:rsidP="00E46063">
      <w:pPr>
        <w:rPr>
          <w:rFonts w:cs="Arial"/>
          <w:szCs w:val="22"/>
        </w:rPr>
      </w:pPr>
    </w:p>
    <w:p w:rsidR="00E46063" w:rsidRPr="002664CD" w:rsidRDefault="00E46063" w:rsidP="00E46063">
      <w:pPr>
        <w:rPr>
          <w:rFonts w:cs="Arial"/>
          <w:sz w:val="20"/>
          <w:szCs w:val="22"/>
        </w:rPr>
      </w:pPr>
      <w:r w:rsidRPr="002664CD">
        <w:rPr>
          <w:rFonts w:cs="Arial"/>
          <w:sz w:val="20"/>
          <w:szCs w:val="22"/>
        </w:rPr>
        <w:t>This section reports on:</w:t>
      </w:r>
    </w:p>
    <w:p w:rsidR="00E46063" w:rsidRPr="002664CD" w:rsidRDefault="00E46063" w:rsidP="00E46063">
      <w:pPr>
        <w:numPr>
          <w:ilvl w:val="0"/>
          <w:numId w:val="38"/>
        </w:numPr>
        <w:spacing w:before="120"/>
        <w:rPr>
          <w:rFonts w:cs="Arial"/>
          <w:sz w:val="20"/>
          <w:szCs w:val="22"/>
        </w:rPr>
      </w:pPr>
      <w:r w:rsidRPr="002664CD">
        <w:rPr>
          <w:rFonts w:cs="Arial"/>
          <w:sz w:val="20"/>
          <w:szCs w:val="22"/>
        </w:rPr>
        <w:t xml:space="preserve">changes in equivalised household incomes overall </w:t>
      </w:r>
    </w:p>
    <w:p w:rsidR="00E46063" w:rsidRPr="002664CD" w:rsidRDefault="00E46063" w:rsidP="00E46063">
      <w:pPr>
        <w:numPr>
          <w:ilvl w:val="0"/>
          <w:numId w:val="38"/>
        </w:numPr>
        <w:spacing w:before="120"/>
        <w:rPr>
          <w:rFonts w:cs="Arial"/>
          <w:sz w:val="20"/>
          <w:szCs w:val="22"/>
        </w:rPr>
      </w:pPr>
      <w:r w:rsidRPr="002664CD">
        <w:rPr>
          <w:rFonts w:cs="Arial"/>
          <w:sz w:val="20"/>
          <w:szCs w:val="22"/>
        </w:rPr>
        <w:t>changes in medians for different household types</w:t>
      </w:r>
    </w:p>
    <w:p w:rsidR="00E46063" w:rsidRPr="002664CD" w:rsidRDefault="00E46063" w:rsidP="00E46063">
      <w:pPr>
        <w:numPr>
          <w:ilvl w:val="0"/>
          <w:numId w:val="38"/>
        </w:numPr>
        <w:spacing w:before="120"/>
        <w:rPr>
          <w:rFonts w:cs="Arial"/>
          <w:sz w:val="20"/>
          <w:szCs w:val="22"/>
        </w:rPr>
      </w:pPr>
      <w:r w:rsidRPr="002664CD">
        <w:rPr>
          <w:rFonts w:cs="Arial"/>
          <w:sz w:val="20"/>
          <w:szCs w:val="22"/>
        </w:rPr>
        <w:t>changes for different parts of the distribution</w:t>
      </w:r>
    </w:p>
    <w:p w:rsidR="00E46063" w:rsidRPr="002664CD" w:rsidRDefault="00E46063" w:rsidP="00E46063">
      <w:pPr>
        <w:numPr>
          <w:ilvl w:val="0"/>
          <w:numId w:val="38"/>
        </w:numPr>
        <w:spacing w:before="120"/>
        <w:rPr>
          <w:rFonts w:cs="Arial"/>
          <w:sz w:val="20"/>
          <w:szCs w:val="22"/>
        </w:rPr>
      </w:pPr>
      <w:r w:rsidRPr="002664CD">
        <w:rPr>
          <w:rFonts w:cs="Arial"/>
          <w:sz w:val="20"/>
          <w:szCs w:val="22"/>
        </w:rPr>
        <w:t>the changing shape of the household income distribution</w:t>
      </w:r>
    </w:p>
    <w:p w:rsidR="00E46063" w:rsidRPr="002664CD" w:rsidRDefault="00E46063" w:rsidP="00E46063">
      <w:pPr>
        <w:numPr>
          <w:ilvl w:val="0"/>
          <w:numId w:val="38"/>
        </w:numPr>
        <w:spacing w:before="120"/>
        <w:rPr>
          <w:rFonts w:cs="Arial"/>
          <w:sz w:val="20"/>
          <w:szCs w:val="22"/>
        </w:rPr>
      </w:pPr>
      <w:r w:rsidRPr="002664CD">
        <w:rPr>
          <w:rFonts w:cs="Arial"/>
          <w:sz w:val="20"/>
          <w:szCs w:val="22"/>
        </w:rPr>
        <w:t>trends in inequality using percentile ratios</w:t>
      </w:r>
      <w:r w:rsidR="00EB0A84" w:rsidRPr="00B212F2">
        <w:rPr>
          <w:rStyle w:val="FootnoteReference"/>
          <w:rFonts w:cs="Arial"/>
          <w:sz w:val="20"/>
          <w:szCs w:val="22"/>
        </w:rPr>
        <w:footnoteReference w:id="42"/>
      </w:r>
      <w:r w:rsidR="00EB0A84" w:rsidRPr="00B212F2">
        <w:rPr>
          <w:sz w:val="20"/>
        </w:rPr>
        <w:t xml:space="preserve"> </w:t>
      </w:r>
      <w:r w:rsidRPr="002664CD">
        <w:rPr>
          <w:rFonts w:cs="Arial"/>
          <w:sz w:val="20"/>
          <w:szCs w:val="22"/>
        </w:rPr>
        <w:t>and the Gini coefficient</w:t>
      </w:r>
      <w:r w:rsidR="00AE44C0">
        <w:rPr>
          <w:rFonts w:cs="Arial"/>
          <w:sz w:val="20"/>
          <w:szCs w:val="22"/>
        </w:rPr>
        <w:t>.</w:t>
      </w:r>
    </w:p>
    <w:p w:rsidR="00E46063" w:rsidRDefault="00E46063" w:rsidP="00E46063">
      <w:pPr>
        <w:rPr>
          <w:rFonts w:cs="Arial"/>
          <w:szCs w:val="22"/>
        </w:rPr>
      </w:pPr>
    </w:p>
    <w:p w:rsidR="00E46063" w:rsidRDefault="00E46063" w:rsidP="00E46063">
      <w:pPr>
        <w:rPr>
          <w:rFonts w:cs="Arial"/>
          <w:szCs w:val="22"/>
        </w:rPr>
      </w:pPr>
    </w:p>
    <w:p w:rsidR="00E46063" w:rsidRPr="002664CD" w:rsidRDefault="00E46063" w:rsidP="00E46063">
      <w:pPr>
        <w:pStyle w:val="Heading2"/>
        <w:jc w:val="both"/>
        <w:rPr>
          <w:sz w:val="24"/>
        </w:rPr>
      </w:pPr>
      <w:bookmarkStart w:id="76" w:name="_Toc115142504"/>
      <w:r>
        <w:br w:type="page"/>
      </w:r>
      <w:r w:rsidRPr="002664CD">
        <w:rPr>
          <w:sz w:val="24"/>
        </w:rPr>
        <w:lastRenderedPageBreak/>
        <w:t>Income changes in real terms, 1982 to 20</w:t>
      </w:r>
      <w:bookmarkEnd w:id="76"/>
      <w:r>
        <w:rPr>
          <w:sz w:val="24"/>
        </w:rPr>
        <w:t>11</w:t>
      </w:r>
    </w:p>
    <w:p w:rsidR="00E46063" w:rsidRPr="002664CD" w:rsidRDefault="00E46063" w:rsidP="00E46063">
      <w:pPr>
        <w:jc w:val="both"/>
        <w:rPr>
          <w:rFonts w:cs="Arial"/>
          <w:sz w:val="20"/>
          <w:szCs w:val="22"/>
        </w:rPr>
      </w:pPr>
    </w:p>
    <w:p w:rsidR="00E46063" w:rsidRPr="002664CD" w:rsidRDefault="00E46063" w:rsidP="00E46063">
      <w:pPr>
        <w:rPr>
          <w:rFonts w:cs="Arial"/>
          <w:b/>
          <w:sz w:val="20"/>
          <w:szCs w:val="22"/>
        </w:rPr>
      </w:pPr>
      <w:r w:rsidRPr="002664CD">
        <w:rPr>
          <w:rFonts w:cs="Arial"/>
          <w:b/>
          <w:sz w:val="20"/>
          <w:szCs w:val="22"/>
        </w:rPr>
        <w:t>Whole population, overall trends</w:t>
      </w:r>
    </w:p>
    <w:p w:rsidR="00E46063" w:rsidRPr="002664CD" w:rsidRDefault="00E46063" w:rsidP="00E46063">
      <w:pPr>
        <w:rPr>
          <w:rFonts w:cs="Arial"/>
          <w:sz w:val="20"/>
          <w:szCs w:val="22"/>
        </w:rPr>
      </w:pPr>
    </w:p>
    <w:p w:rsidR="00E46063" w:rsidRDefault="00E46063" w:rsidP="00E46063">
      <w:pPr>
        <w:jc w:val="both"/>
        <w:rPr>
          <w:rFonts w:cs="Arial"/>
          <w:sz w:val="20"/>
          <w:szCs w:val="22"/>
        </w:rPr>
      </w:pPr>
      <w:r w:rsidRPr="002664CD">
        <w:rPr>
          <w:rFonts w:cs="Arial"/>
          <w:b/>
          <w:sz w:val="20"/>
          <w:szCs w:val="22"/>
        </w:rPr>
        <w:t>Figure D.1</w:t>
      </w:r>
      <w:r>
        <w:rPr>
          <w:rFonts w:cs="Arial"/>
          <w:b/>
          <w:sz w:val="20"/>
          <w:szCs w:val="22"/>
        </w:rPr>
        <w:t xml:space="preserve"> </w:t>
      </w:r>
      <w:r w:rsidRPr="002664CD">
        <w:rPr>
          <w:rFonts w:cs="Arial"/>
          <w:sz w:val="20"/>
          <w:szCs w:val="22"/>
        </w:rPr>
        <w:t>show</w:t>
      </w:r>
      <w:r>
        <w:rPr>
          <w:rFonts w:cs="Arial"/>
          <w:sz w:val="20"/>
          <w:szCs w:val="22"/>
        </w:rPr>
        <w:t>s</w:t>
      </w:r>
      <w:r w:rsidRPr="002664CD">
        <w:rPr>
          <w:rFonts w:cs="Arial"/>
          <w:sz w:val="20"/>
          <w:szCs w:val="22"/>
        </w:rPr>
        <w:t xml:space="preserve"> the trends in real equivalised household disposable income (</w:t>
      </w:r>
      <w:smartTag w:uri="urn:schemas-microsoft-com:office:smarttags" w:element="stockticker">
        <w:r w:rsidRPr="002664CD">
          <w:rPr>
            <w:rFonts w:cs="Arial"/>
            <w:sz w:val="20"/>
            <w:szCs w:val="22"/>
          </w:rPr>
          <w:t>BHC</w:t>
        </w:r>
      </w:smartTag>
      <w:r w:rsidRPr="002664CD">
        <w:rPr>
          <w:rFonts w:cs="Arial"/>
          <w:sz w:val="20"/>
          <w:szCs w:val="22"/>
        </w:rPr>
        <w:t xml:space="preserve"> and </w:t>
      </w:r>
      <w:smartTag w:uri="urn:schemas-microsoft-com:office:smarttags" w:element="stockticker">
        <w:r w:rsidRPr="002664CD">
          <w:rPr>
            <w:rFonts w:cs="Arial"/>
            <w:sz w:val="20"/>
            <w:szCs w:val="22"/>
          </w:rPr>
          <w:t>AHC</w:t>
        </w:r>
      </w:smartTag>
      <w:r w:rsidRPr="002664CD">
        <w:rPr>
          <w:rFonts w:cs="Arial"/>
          <w:sz w:val="20"/>
          <w:szCs w:val="22"/>
        </w:rPr>
        <w:t xml:space="preserve">) from 1982 to </w:t>
      </w:r>
      <w:r>
        <w:rPr>
          <w:rFonts w:cs="Arial"/>
          <w:sz w:val="20"/>
          <w:szCs w:val="22"/>
        </w:rPr>
        <w:t>2011.</w:t>
      </w:r>
    </w:p>
    <w:p w:rsidR="00E46063" w:rsidRDefault="00E46063" w:rsidP="00E46063">
      <w:pPr>
        <w:jc w:val="both"/>
        <w:rPr>
          <w:rFonts w:cs="Arial"/>
          <w:sz w:val="20"/>
          <w:szCs w:val="22"/>
        </w:rPr>
      </w:pPr>
    </w:p>
    <w:p w:rsidR="00E46063" w:rsidRDefault="00E46063" w:rsidP="00E46063">
      <w:pPr>
        <w:jc w:val="both"/>
        <w:rPr>
          <w:rFonts w:cs="Arial"/>
          <w:sz w:val="20"/>
        </w:rPr>
      </w:pPr>
      <w:r>
        <w:rPr>
          <w:rFonts w:cs="Arial"/>
          <w:sz w:val="20"/>
        </w:rPr>
        <w:t>After 15 years of steady growth in median household income (3% pa in real terms from 1993-94 to 2008-09), the impact of the economic downturn on household incomes began to be seen in the 2009-10 figures which showed only a small change in the median from 2008-09 to 2009-10.  By the time of the 2010-11 HES, the potential existed for all interviewed households to be impacted, and the median fell for the first time since the early 1990s (-3% in real terms).</w:t>
      </w:r>
    </w:p>
    <w:p w:rsidR="00E46063" w:rsidRDefault="00E46063" w:rsidP="00E46063">
      <w:pPr>
        <w:jc w:val="both"/>
        <w:rPr>
          <w:rFonts w:cs="Arial"/>
          <w:sz w:val="20"/>
          <w:szCs w:val="22"/>
        </w:rPr>
      </w:pPr>
    </w:p>
    <w:p w:rsidR="00E46063" w:rsidRPr="002664CD" w:rsidRDefault="00E46063" w:rsidP="00E46063">
      <w:pPr>
        <w:jc w:val="both"/>
        <w:rPr>
          <w:rFonts w:cs="Arial"/>
          <w:sz w:val="20"/>
          <w:szCs w:val="22"/>
        </w:rPr>
      </w:pPr>
      <w:r>
        <w:rPr>
          <w:rFonts w:cs="Arial"/>
          <w:sz w:val="20"/>
          <w:szCs w:val="22"/>
        </w:rPr>
        <w:t>The BHC median</w:t>
      </w:r>
      <w:r w:rsidRPr="002664CD">
        <w:rPr>
          <w:rFonts w:cs="Arial"/>
          <w:sz w:val="20"/>
          <w:szCs w:val="22"/>
        </w:rPr>
        <w:t xml:space="preserve"> fell 15% from 1988 to 1994, and </w:t>
      </w:r>
      <w:r>
        <w:rPr>
          <w:rFonts w:cs="Arial"/>
          <w:sz w:val="20"/>
          <w:szCs w:val="22"/>
        </w:rPr>
        <w:t xml:space="preserve">it took until 2001 to restore it </w:t>
      </w:r>
      <w:r w:rsidRPr="002664CD">
        <w:rPr>
          <w:rFonts w:cs="Arial"/>
          <w:sz w:val="20"/>
          <w:szCs w:val="22"/>
        </w:rPr>
        <w:t xml:space="preserve">to </w:t>
      </w:r>
      <w:r>
        <w:rPr>
          <w:rFonts w:cs="Arial"/>
          <w:sz w:val="20"/>
          <w:szCs w:val="22"/>
        </w:rPr>
        <w:t xml:space="preserve">its </w:t>
      </w:r>
      <w:r w:rsidRPr="002664CD">
        <w:rPr>
          <w:rFonts w:cs="Arial"/>
          <w:sz w:val="20"/>
          <w:szCs w:val="22"/>
        </w:rPr>
        <w:t>1988 level</w:t>
      </w:r>
      <w:r>
        <w:rPr>
          <w:rFonts w:cs="Arial"/>
          <w:sz w:val="20"/>
          <w:szCs w:val="22"/>
        </w:rPr>
        <w:t>.</w:t>
      </w:r>
    </w:p>
    <w:p w:rsidR="00E46063" w:rsidRPr="002664CD" w:rsidRDefault="00E46063" w:rsidP="00E46063">
      <w:pPr>
        <w:jc w:val="both"/>
        <w:rPr>
          <w:rFonts w:cs="Arial"/>
          <w:sz w:val="20"/>
          <w:szCs w:val="22"/>
        </w:rPr>
      </w:pPr>
    </w:p>
    <w:p w:rsidR="00E46063" w:rsidRPr="002664CD" w:rsidRDefault="00E46063" w:rsidP="00E46063">
      <w:pPr>
        <w:jc w:val="both"/>
        <w:rPr>
          <w:rFonts w:cs="Arial"/>
          <w:sz w:val="20"/>
          <w:szCs w:val="22"/>
        </w:rPr>
      </w:pPr>
      <w:r w:rsidRPr="002664CD">
        <w:rPr>
          <w:rFonts w:cs="Arial"/>
          <w:sz w:val="20"/>
          <w:szCs w:val="22"/>
        </w:rPr>
        <w:t xml:space="preserve">The general trend for </w:t>
      </w:r>
      <w:smartTag w:uri="urn:schemas-microsoft-com:office:smarttags" w:element="stockticker">
        <w:r w:rsidRPr="002664CD">
          <w:rPr>
            <w:rFonts w:cs="Arial"/>
            <w:sz w:val="20"/>
            <w:szCs w:val="22"/>
          </w:rPr>
          <w:t>AHC</w:t>
        </w:r>
      </w:smartTag>
      <w:r w:rsidRPr="002664CD">
        <w:rPr>
          <w:rFonts w:cs="Arial"/>
          <w:sz w:val="20"/>
          <w:szCs w:val="22"/>
        </w:rPr>
        <w:t xml:space="preserve"> medians is similar to that for </w:t>
      </w:r>
      <w:smartTag w:uri="urn:schemas-microsoft-com:office:smarttags" w:element="stockticker">
        <w:r w:rsidRPr="002664CD">
          <w:rPr>
            <w:rFonts w:cs="Arial"/>
            <w:sz w:val="20"/>
            <w:szCs w:val="22"/>
          </w:rPr>
          <w:t>BHC</w:t>
        </w:r>
      </w:smartTag>
      <w:r w:rsidRPr="002664CD">
        <w:rPr>
          <w:rFonts w:cs="Arial"/>
          <w:sz w:val="20"/>
          <w:szCs w:val="22"/>
        </w:rPr>
        <w:t xml:space="preserve"> medians, although the </w:t>
      </w:r>
      <w:smartTag w:uri="urn:schemas-microsoft-com:office:smarttags" w:element="stockticker">
        <w:r w:rsidRPr="002664CD">
          <w:rPr>
            <w:rFonts w:cs="Arial"/>
            <w:sz w:val="20"/>
            <w:szCs w:val="22"/>
          </w:rPr>
          <w:t>AHC</w:t>
        </w:r>
      </w:smartTag>
      <w:r w:rsidRPr="002664CD">
        <w:rPr>
          <w:rFonts w:cs="Arial"/>
          <w:sz w:val="20"/>
          <w:szCs w:val="22"/>
        </w:rPr>
        <w:t xml:space="preserve"> median </w:t>
      </w:r>
      <w:r>
        <w:rPr>
          <w:rFonts w:cs="Arial"/>
          <w:sz w:val="20"/>
          <w:szCs w:val="22"/>
        </w:rPr>
        <w:t>fell</w:t>
      </w:r>
      <w:r w:rsidRPr="002664CD">
        <w:rPr>
          <w:rFonts w:cs="Arial"/>
          <w:sz w:val="20"/>
          <w:szCs w:val="22"/>
        </w:rPr>
        <w:t xml:space="preserve"> from 90% of the </w:t>
      </w:r>
      <w:smartTag w:uri="urn:schemas-microsoft-com:office:smarttags" w:element="stockticker">
        <w:r w:rsidRPr="002664CD">
          <w:rPr>
            <w:rFonts w:cs="Arial"/>
            <w:sz w:val="20"/>
            <w:szCs w:val="22"/>
          </w:rPr>
          <w:t>BHC</w:t>
        </w:r>
      </w:smartTag>
      <w:r w:rsidRPr="002664CD">
        <w:rPr>
          <w:rFonts w:cs="Arial"/>
          <w:sz w:val="20"/>
          <w:szCs w:val="22"/>
        </w:rPr>
        <w:t xml:space="preserve"> median in 1982, to 86% in 1988, </w:t>
      </w:r>
      <w:r>
        <w:rPr>
          <w:rFonts w:cs="Arial"/>
          <w:sz w:val="20"/>
          <w:szCs w:val="22"/>
        </w:rPr>
        <w:t xml:space="preserve">and </w:t>
      </w:r>
      <w:r w:rsidRPr="002664CD">
        <w:rPr>
          <w:rFonts w:cs="Arial"/>
          <w:sz w:val="20"/>
          <w:szCs w:val="22"/>
        </w:rPr>
        <w:t>80% in 1998</w:t>
      </w:r>
      <w:r>
        <w:rPr>
          <w:rFonts w:cs="Arial"/>
          <w:sz w:val="20"/>
          <w:szCs w:val="22"/>
        </w:rPr>
        <w:t>.  Since then the relativity has been steady at 78% to 79%.</w:t>
      </w:r>
      <w:r w:rsidRPr="002664CD">
        <w:rPr>
          <w:rFonts w:cs="Arial"/>
          <w:sz w:val="20"/>
          <w:szCs w:val="22"/>
        </w:rPr>
        <w:t xml:space="preserve">  This reflects how </w:t>
      </w:r>
      <w:r>
        <w:rPr>
          <w:rFonts w:cs="Arial"/>
          <w:sz w:val="20"/>
          <w:szCs w:val="22"/>
        </w:rPr>
        <w:t>accommodation</w:t>
      </w:r>
      <w:r w:rsidRPr="002664CD">
        <w:rPr>
          <w:rFonts w:cs="Arial"/>
          <w:sz w:val="20"/>
          <w:szCs w:val="22"/>
        </w:rPr>
        <w:t xml:space="preserve"> costs </w:t>
      </w:r>
      <w:r>
        <w:rPr>
          <w:rFonts w:cs="Arial"/>
          <w:sz w:val="20"/>
          <w:szCs w:val="22"/>
        </w:rPr>
        <w:t>have risen</w:t>
      </w:r>
      <w:r w:rsidRPr="002664CD">
        <w:rPr>
          <w:rFonts w:cs="Arial"/>
          <w:sz w:val="20"/>
          <w:szCs w:val="22"/>
        </w:rPr>
        <w:t xml:space="preserve"> as a proportion of household income for </w:t>
      </w:r>
      <w:r>
        <w:rPr>
          <w:rFonts w:cs="Arial"/>
          <w:sz w:val="20"/>
          <w:szCs w:val="22"/>
        </w:rPr>
        <w:t xml:space="preserve">low- to </w:t>
      </w:r>
      <w:r w:rsidRPr="002664CD">
        <w:rPr>
          <w:rFonts w:cs="Arial"/>
          <w:sz w:val="20"/>
          <w:szCs w:val="22"/>
        </w:rPr>
        <w:t>middle</w:t>
      </w:r>
      <w:r>
        <w:rPr>
          <w:rFonts w:cs="Arial"/>
          <w:sz w:val="20"/>
          <w:szCs w:val="22"/>
        </w:rPr>
        <w:t>-</w:t>
      </w:r>
      <w:r w:rsidRPr="002664CD">
        <w:rPr>
          <w:rFonts w:cs="Arial"/>
          <w:sz w:val="20"/>
          <w:szCs w:val="22"/>
        </w:rPr>
        <w:t>income households</w:t>
      </w:r>
      <w:r>
        <w:rPr>
          <w:rFonts w:cs="Arial"/>
          <w:sz w:val="20"/>
          <w:szCs w:val="22"/>
        </w:rPr>
        <w:t xml:space="preserve"> since the 1980s</w:t>
      </w:r>
      <w:r w:rsidRPr="002664CD">
        <w:rPr>
          <w:rFonts w:cs="Arial"/>
          <w:sz w:val="20"/>
          <w:szCs w:val="22"/>
        </w:rPr>
        <w:t xml:space="preserve">. </w:t>
      </w:r>
    </w:p>
    <w:p w:rsidR="00E46063" w:rsidRPr="002664CD" w:rsidRDefault="00E46063" w:rsidP="00E46063">
      <w:pPr>
        <w:jc w:val="center"/>
        <w:rPr>
          <w:rFonts w:cs="Arial"/>
          <w:sz w:val="20"/>
          <w:szCs w:val="22"/>
        </w:rPr>
      </w:pPr>
    </w:p>
    <w:p w:rsidR="00E46063" w:rsidRPr="002664CD" w:rsidRDefault="00E46063" w:rsidP="00E46063">
      <w:pPr>
        <w:jc w:val="center"/>
        <w:rPr>
          <w:rFonts w:cs="Arial"/>
          <w:b/>
          <w:sz w:val="18"/>
        </w:rPr>
      </w:pPr>
      <w:r w:rsidRPr="002664CD">
        <w:rPr>
          <w:rFonts w:cs="Arial"/>
          <w:b/>
          <w:sz w:val="18"/>
        </w:rPr>
        <w:t>Figure D.1</w:t>
      </w:r>
    </w:p>
    <w:p w:rsidR="00E46063" w:rsidRPr="00B67F3C" w:rsidRDefault="00E46063" w:rsidP="00E46063">
      <w:pPr>
        <w:jc w:val="center"/>
        <w:rPr>
          <w:rFonts w:cs="Arial"/>
          <w:b/>
          <w:sz w:val="20"/>
        </w:rPr>
      </w:pPr>
      <w:r w:rsidRPr="002664CD">
        <w:rPr>
          <w:rFonts w:cs="Arial"/>
          <w:b/>
          <w:sz w:val="18"/>
        </w:rPr>
        <w:t>Real equivalised household</w:t>
      </w:r>
      <w:r>
        <w:rPr>
          <w:rFonts w:cs="Arial"/>
          <w:b/>
          <w:sz w:val="18"/>
        </w:rPr>
        <w:t xml:space="preserve"> disposable</w:t>
      </w:r>
      <w:r w:rsidRPr="002664CD">
        <w:rPr>
          <w:rFonts w:cs="Arial"/>
          <w:b/>
          <w:sz w:val="18"/>
        </w:rPr>
        <w:t xml:space="preserve"> incomes, 1982 to 20</w:t>
      </w:r>
      <w:r>
        <w:rPr>
          <w:rFonts w:cs="Arial"/>
          <w:b/>
          <w:sz w:val="18"/>
        </w:rPr>
        <w:t>11</w:t>
      </w:r>
      <w:r w:rsidRPr="002664CD">
        <w:rPr>
          <w:rFonts w:cs="Arial"/>
          <w:b/>
          <w:sz w:val="18"/>
        </w:rPr>
        <w:t xml:space="preserve"> (20</w:t>
      </w:r>
      <w:r>
        <w:rPr>
          <w:rFonts w:cs="Arial"/>
          <w:b/>
          <w:sz w:val="18"/>
        </w:rPr>
        <w:t>11</w:t>
      </w:r>
      <w:r w:rsidRPr="002664CD">
        <w:rPr>
          <w:rFonts w:cs="Arial"/>
          <w:b/>
          <w:sz w:val="18"/>
        </w:rPr>
        <w:t xml:space="preserve"> dollars</w:t>
      </w:r>
      <w:r>
        <w:rPr>
          <w:rFonts w:cs="Arial"/>
          <w:b/>
          <w:sz w:val="20"/>
        </w:rPr>
        <w:t>)</w:t>
      </w:r>
    </w:p>
    <w:p w:rsidR="00E46063" w:rsidRPr="008517ED" w:rsidRDefault="00EC0BE0" w:rsidP="00E46063">
      <w:pPr>
        <w:jc w:val="center"/>
        <w:rPr>
          <w:szCs w:val="22"/>
        </w:rPr>
      </w:pPr>
      <w:r>
        <w:rPr>
          <w:noProof/>
          <w:lang w:val="en-US"/>
        </w:rPr>
        <w:drawing>
          <wp:inline distT="0" distB="0" distL="0" distR="0">
            <wp:extent cx="3629025" cy="2524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3629025" cy="2524125"/>
                    </a:xfrm>
                    <a:prstGeom prst="rect">
                      <a:avLst/>
                    </a:prstGeom>
                    <a:noFill/>
                    <a:ln w="9525">
                      <a:noFill/>
                      <a:miter lim="800000"/>
                      <a:headEnd/>
                      <a:tailEnd/>
                    </a:ln>
                  </pic:spPr>
                </pic:pic>
              </a:graphicData>
            </a:graphic>
          </wp:inline>
        </w:drawing>
      </w:r>
    </w:p>
    <w:p w:rsidR="00E46063" w:rsidRDefault="00E46063" w:rsidP="00E46063">
      <w:pPr>
        <w:jc w:val="center"/>
        <w:rPr>
          <w:rFonts w:cs="Arial"/>
          <w:b/>
          <w:szCs w:val="22"/>
        </w:rPr>
      </w:pPr>
    </w:p>
    <w:p w:rsidR="00E46063" w:rsidRPr="002664CD" w:rsidRDefault="00E46063" w:rsidP="00E46063">
      <w:pPr>
        <w:jc w:val="center"/>
        <w:rPr>
          <w:rFonts w:cs="Arial"/>
          <w:b/>
          <w:sz w:val="18"/>
        </w:rPr>
      </w:pPr>
      <w:r w:rsidRPr="002664CD">
        <w:rPr>
          <w:rFonts w:cs="Arial"/>
          <w:b/>
          <w:sz w:val="18"/>
        </w:rPr>
        <w:t>Table D.1</w:t>
      </w:r>
    </w:p>
    <w:p w:rsidR="00E46063" w:rsidRPr="002664CD" w:rsidRDefault="00E46063" w:rsidP="00E46063">
      <w:pPr>
        <w:spacing w:after="120"/>
        <w:jc w:val="center"/>
        <w:rPr>
          <w:rFonts w:cs="Arial"/>
          <w:b/>
          <w:sz w:val="18"/>
        </w:rPr>
      </w:pPr>
      <w:r w:rsidRPr="002664CD">
        <w:rPr>
          <w:rFonts w:cs="Arial"/>
          <w:b/>
          <w:sz w:val="18"/>
        </w:rPr>
        <w:t>Real equivalised household</w:t>
      </w:r>
      <w:r>
        <w:rPr>
          <w:rFonts w:cs="Arial"/>
          <w:b/>
          <w:sz w:val="18"/>
        </w:rPr>
        <w:t xml:space="preserve"> disposable</w:t>
      </w:r>
      <w:r w:rsidRPr="002664CD">
        <w:rPr>
          <w:rFonts w:cs="Arial"/>
          <w:b/>
          <w:sz w:val="18"/>
        </w:rPr>
        <w:t xml:space="preserve"> incomes, 198</w:t>
      </w:r>
      <w:r>
        <w:rPr>
          <w:rFonts w:cs="Arial"/>
          <w:b/>
          <w:sz w:val="18"/>
        </w:rPr>
        <w:t>2</w:t>
      </w:r>
      <w:r w:rsidRPr="002664CD">
        <w:rPr>
          <w:rFonts w:cs="Arial"/>
          <w:b/>
          <w:sz w:val="18"/>
        </w:rPr>
        <w:t xml:space="preserve"> to 20</w:t>
      </w:r>
      <w:r>
        <w:rPr>
          <w:rFonts w:cs="Arial"/>
          <w:b/>
          <w:sz w:val="18"/>
        </w:rPr>
        <w:t>11</w:t>
      </w:r>
      <w:r w:rsidRPr="002664CD">
        <w:rPr>
          <w:rFonts w:cs="Arial"/>
          <w:b/>
          <w:sz w:val="18"/>
        </w:rPr>
        <w:t xml:space="preserve"> (20</w:t>
      </w:r>
      <w:r>
        <w:rPr>
          <w:rFonts w:cs="Arial"/>
          <w:b/>
          <w:sz w:val="18"/>
        </w:rPr>
        <w:t>11</w:t>
      </w:r>
      <w:r w:rsidRPr="002664CD">
        <w:rPr>
          <w:rFonts w:cs="Arial"/>
          <w:b/>
          <w:sz w:val="18"/>
        </w:rPr>
        <w:t xml:space="preserve"> dollars)</w:t>
      </w:r>
    </w:p>
    <w:tbl>
      <w:tblPr>
        <w:tblStyle w:val="TableGrid"/>
        <w:tblW w:w="8955" w:type="dxa"/>
        <w:jc w:val="center"/>
        <w:tblLayout w:type="fixed"/>
        <w:tblLook w:val="01E0"/>
      </w:tblPr>
      <w:tblGrid>
        <w:gridCol w:w="924"/>
        <w:gridCol w:w="535"/>
        <w:gridCol w:w="535"/>
        <w:gridCol w:w="536"/>
        <w:gridCol w:w="535"/>
        <w:gridCol w:w="536"/>
        <w:gridCol w:w="535"/>
        <w:gridCol w:w="535"/>
        <w:gridCol w:w="536"/>
        <w:gridCol w:w="535"/>
        <w:gridCol w:w="536"/>
        <w:gridCol w:w="535"/>
        <w:gridCol w:w="535"/>
        <w:gridCol w:w="536"/>
        <w:gridCol w:w="535"/>
        <w:gridCol w:w="536"/>
      </w:tblGrid>
      <w:tr w:rsidR="00E46063" w:rsidRPr="00D817DC">
        <w:trPr>
          <w:trHeight w:hRule="exact" w:val="317"/>
          <w:jc w:val="center"/>
        </w:trPr>
        <w:tc>
          <w:tcPr>
            <w:tcW w:w="924" w:type="dxa"/>
            <w:tcMar>
              <w:left w:w="43" w:type="dxa"/>
              <w:right w:w="43" w:type="dxa"/>
            </w:tcMar>
            <w:vAlign w:val="center"/>
          </w:tcPr>
          <w:p w:rsidR="00E46063" w:rsidRPr="00D817DC" w:rsidRDefault="00E46063" w:rsidP="00614C04">
            <w:pPr>
              <w:jc w:val="center"/>
              <w:rPr>
                <w:rFonts w:cs="Arial"/>
                <w:b/>
                <w:sz w:val="14"/>
                <w:szCs w:val="16"/>
              </w:rPr>
            </w:pPr>
          </w:p>
        </w:tc>
        <w:tc>
          <w:tcPr>
            <w:tcW w:w="535" w:type="dxa"/>
            <w:tcMar>
              <w:left w:w="6" w:type="dxa"/>
              <w:right w:w="6" w:type="dxa"/>
            </w:tcMar>
            <w:vAlign w:val="center"/>
          </w:tcPr>
          <w:p w:rsidR="00E46063" w:rsidRDefault="00E46063" w:rsidP="00614C04">
            <w:pPr>
              <w:jc w:val="center"/>
              <w:rPr>
                <w:rFonts w:cs="Arial"/>
                <w:b/>
                <w:sz w:val="14"/>
                <w:szCs w:val="16"/>
              </w:rPr>
            </w:pPr>
            <w:r>
              <w:rPr>
                <w:rFonts w:cs="Arial"/>
                <w:b/>
                <w:sz w:val="14"/>
                <w:szCs w:val="16"/>
              </w:rPr>
              <w:t>1982</w:t>
            </w:r>
          </w:p>
        </w:tc>
        <w:tc>
          <w:tcPr>
            <w:tcW w:w="535" w:type="dxa"/>
            <w:tcMar>
              <w:left w:w="6" w:type="dxa"/>
              <w:right w:w="6" w:type="dxa"/>
            </w:tcMar>
            <w:vAlign w:val="center"/>
          </w:tcPr>
          <w:p w:rsidR="00E46063" w:rsidRPr="00D817DC" w:rsidRDefault="00E46063" w:rsidP="00614C04">
            <w:pPr>
              <w:jc w:val="center"/>
              <w:rPr>
                <w:rFonts w:cs="Arial"/>
                <w:b/>
                <w:sz w:val="14"/>
                <w:szCs w:val="16"/>
              </w:rPr>
            </w:pPr>
            <w:r>
              <w:rPr>
                <w:rFonts w:cs="Arial"/>
                <w:b/>
                <w:sz w:val="14"/>
                <w:szCs w:val="16"/>
              </w:rPr>
              <w:t>1984</w:t>
            </w:r>
          </w:p>
        </w:tc>
        <w:tc>
          <w:tcPr>
            <w:tcW w:w="536"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1986</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1988</w:t>
            </w:r>
          </w:p>
        </w:tc>
        <w:tc>
          <w:tcPr>
            <w:tcW w:w="536"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1990</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1992</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1994</w:t>
            </w:r>
          </w:p>
        </w:tc>
        <w:tc>
          <w:tcPr>
            <w:tcW w:w="536"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1996</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1998</w:t>
            </w:r>
          </w:p>
        </w:tc>
        <w:tc>
          <w:tcPr>
            <w:tcW w:w="536"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2001</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2004</w:t>
            </w:r>
          </w:p>
        </w:tc>
        <w:tc>
          <w:tcPr>
            <w:tcW w:w="535"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2007</w:t>
            </w:r>
          </w:p>
        </w:tc>
        <w:tc>
          <w:tcPr>
            <w:tcW w:w="536" w:type="dxa"/>
            <w:tcMar>
              <w:left w:w="6" w:type="dxa"/>
              <w:right w:w="6" w:type="dxa"/>
            </w:tcMar>
            <w:vAlign w:val="center"/>
          </w:tcPr>
          <w:p w:rsidR="00E46063" w:rsidRPr="00D817DC" w:rsidRDefault="00E46063" w:rsidP="00614C04">
            <w:pPr>
              <w:jc w:val="center"/>
              <w:rPr>
                <w:rFonts w:cs="Arial"/>
                <w:b/>
                <w:sz w:val="14"/>
                <w:szCs w:val="16"/>
              </w:rPr>
            </w:pPr>
            <w:r w:rsidRPr="00D817DC">
              <w:rPr>
                <w:rFonts w:cs="Arial"/>
                <w:b/>
                <w:sz w:val="14"/>
                <w:szCs w:val="16"/>
              </w:rPr>
              <w:t>2009</w:t>
            </w:r>
          </w:p>
        </w:tc>
        <w:tc>
          <w:tcPr>
            <w:tcW w:w="535" w:type="dxa"/>
            <w:tcMar>
              <w:left w:w="6" w:type="dxa"/>
              <w:right w:w="6" w:type="dxa"/>
            </w:tcMar>
            <w:vAlign w:val="center"/>
          </w:tcPr>
          <w:p w:rsidR="00E46063" w:rsidRPr="00D817DC" w:rsidRDefault="00E46063" w:rsidP="00614C04">
            <w:pPr>
              <w:jc w:val="center"/>
              <w:rPr>
                <w:rFonts w:cs="Arial"/>
                <w:b/>
                <w:sz w:val="14"/>
                <w:szCs w:val="16"/>
              </w:rPr>
            </w:pPr>
            <w:r>
              <w:rPr>
                <w:rFonts w:cs="Arial"/>
                <w:b/>
                <w:sz w:val="14"/>
                <w:szCs w:val="16"/>
              </w:rPr>
              <w:t>2010</w:t>
            </w:r>
          </w:p>
        </w:tc>
        <w:tc>
          <w:tcPr>
            <w:tcW w:w="536" w:type="dxa"/>
            <w:tcMar>
              <w:left w:w="28" w:type="dxa"/>
              <w:right w:w="28" w:type="dxa"/>
            </w:tcMar>
            <w:vAlign w:val="center"/>
          </w:tcPr>
          <w:p w:rsidR="00E46063" w:rsidRDefault="00E46063" w:rsidP="00614C04">
            <w:pPr>
              <w:jc w:val="center"/>
              <w:rPr>
                <w:rFonts w:cs="Arial"/>
                <w:b/>
                <w:sz w:val="14"/>
                <w:szCs w:val="16"/>
              </w:rPr>
            </w:pPr>
            <w:r>
              <w:rPr>
                <w:rFonts w:cs="Arial"/>
                <w:b/>
                <w:sz w:val="14"/>
                <w:szCs w:val="16"/>
              </w:rPr>
              <w:t>2011</w:t>
            </w:r>
          </w:p>
        </w:tc>
      </w:tr>
      <w:tr w:rsidR="00E46063" w:rsidRPr="00D817DC">
        <w:trPr>
          <w:trHeight w:val="360"/>
          <w:jc w:val="center"/>
        </w:trPr>
        <w:tc>
          <w:tcPr>
            <w:tcW w:w="924" w:type="dxa"/>
            <w:tcMar>
              <w:left w:w="0" w:type="dxa"/>
              <w:right w:w="0" w:type="dxa"/>
            </w:tcMar>
            <w:vAlign w:val="center"/>
          </w:tcPr>
          <w:p w:rsidR="00E46063" w:rsidRPr="00D817DC" w:rsidRDefault="00E46063" w:rsidP="00614C04">
            <w:pPr>
              <w:jc w:val="center"/>
              <w:rPr>
                <w:b/>
                <w:sz w:val="14"/>
                <w:szCs w:val="16"/>
              </w:rPr>
            </w:pPr>
            <w:smartTag w:uri="urn:schemas-microsoft-com:office:smarttags" w:element="stockticker">
              <w:r>
                <w:rPr>
                  <w:b/>
                  <w:sz w:val="14"/>
                  <w:szCs w:val="16"/>
                </w:rPr>
                <w:t>BHC</w:t>
              </w:r>
            </w:smartTag>
            <w:r>
              <w:rPr>
                <w:b/>
                <w:sz w:val="14"/>
                <w:szCs w:val="16"/>
              </w:rPr>
              <w:t xml:space="preserve"> mean</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29,300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28,800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27,800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28,300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30,000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26,900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26,400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28,400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30,600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31,900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33,300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35,400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39,000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38,500</w:t>
            </w:r>
          </w:p>
        </w:tc>
        <w:tc>
          <w:tcPr>
            <w:tcW w:w="536" w:type="dxa"/>
            <w:tcMar>
              <w:left w:w="28" w:type="dxa"/>
              <w:right w:w="28" w:type="dxa"/>
            </w:tcMar>
            <w:vAlign w:val="center"/>
          </w:tcPr>
          <w:p w:rsidR="00E46063" w:rsidRDefault="00E46063" w:rsidP="00614C04">
            <w:pPr>
              <w:jc w:val="center"/>
              <w:rPr>
                <w:rFonts w:cs="Arial"/>
                <w:sz w:val="14"/>
                <w:szCs w:val="16"/>
              </w:rPr>
            </w:pPr>
            <w:r>
              <w:rPr>
                <w:rFonts w:cs="Arial"/>
                <w:sz w:val="14"/>
                <w:szCs w:val="16"/>
              </w:rPr>
              <w:t>39,000</w:t>
            </w:r>
          </w:p>
        </w:tc>
      </w:tr>
      <w:tr w:rsidR="00E46063" w:rsidRPr="00D817DC">
        <w:trPr>
          <w:trHeight w:val="360"/>
          <w:jc w:val="center"/>
        </w:trPr>
        <w:tc>
          <w:tcPr>
            <w:tcW w:w="924" w:type="dxa"/>
            <w:tcMar>
              <w:left w:w="0" w:type="dxa"/>
              <w:right w:w="0" w:type="dxa"/>
            </w:tcMar>
            <w:vAlign w:val="center"/>
          </w:tcPr>
          <w:p w:rsidR="00E46063" w:rsidRPr="00D817DC" w:rsidRDefault="00E46063" w:rsidP="00614C04">
            <w:pPr>
              <w:jc w:val="center"/>
              <w:rPr>
                <w:b/>
                <w:sz w:val="14"/>
                <w:szCs w:val="16"/>
              </w:rPr>
            </w:pPr>
            <w:smartTag w:uri="urn:schemas-microsoft-com:office:smarttags" w:element="stockticker">
              <w:r>
                <w:rPr>
                  <w:b/>
                  <w:sz w:val="14"/>
                  <w:szCs w:val="16"/>
                </w:rPr>
                <w:t>BHC</w:t>
              </w:r>
            </w:smartTag>
            <w:r>
              <w:rPr>
                <w:b/>
                <w:sz w:val="14"/>
                <w:szCs w:val="16"/>
              </w:rPr>
              <w:t xml:space="preserve"> median</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26,600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25,900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25,300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26,100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25,500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23,000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22,300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23,600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25,600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26,300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28,300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29,900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32,500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32,800</w:t>
            </w:r>
          </w:p>
        </w:tc>
        <w:tc>
          <w:tcPr>
            <w:tcW w:w="536" w:type="dxa"/>
            <w:tcMar>
              <w:left w:w="28" w:type="dxa"/>
              <w:right w:w="28" w:type="dxa"/>
            </w:tcMar>
            <w:vAlign w:val="center"/>
          </w:tcPr>
          <w:p w:rsidR="00E46063" w:rsidRDefault="00E46063" w:rsidP="00614C04">
            <w:pPr>
              <w:jc w:val="center"/>
              <w:rPr>
                <w:rFonts w:cs="Arial"/>
                <w:sz w:val="14"/>
                <w:szCs w:val="16"/>
              </w:rPr>
            </w:pPr>
            <w:r>
              <w:rPr>
                <w:rFonts w:cs="Arial"/>
                <w:sz w:val="14"/>
                <w:szCs w:val="16"/>
              </w:rPr>
              <w:t>31,900</w:t>
            </w:r>
          </w:p>
        </w:tc>
      </w:tr>
      <w:tr w:rsidR="00E46063" w:rsidRPr="00D817DC">
        <w:trPr>
          <w:trHeight w:val="360"/>
          <w:jc w:val="center"/>
        </w:trPr>
        <w:tc>
          <w:tcPr>
            <w:tcW w:w="924" w:type="dxa"/>
            <w:tcMar>
              <w:left w:w="0" w:type="dxa"/>
              <w:right w:w="0" w:type="dxa"/>
            </w:tcMar>
            <w:vAlign w:val="center"/>
          </w:tcPr>
          <w:p w:rsidR="00E46063" w:rsidRPr="00D817DC" w:rsidRDefault="00E46063" w:rsidP="00614C04">
            <w:pPr>
              <w:jc w:val="center"/>
              <w:rPr>
                <w:b/>
                <w:sz w:val="14"/>
                <w:szCs w:val="16"/>
              </w:rPr>
            </w:pPr>
            <w:smartTag w:uri="urn:schemas-microsoft-com:office:smarttags" w:element="stockticker">
              <w:r>
                <w:rPr>
                  <w:b/>
                  <w:sz w:val="14"/>
                  <w:szCs w:val="16"/>
                </w:rPr>
                <w:t>AHC</w:t>
              </w:r>
            </w:smartTag>
            <w:r>
              <w:rPr>
                <w:b/>
                <w:sz w:val="14"/>
                <w:szCs w:val="16"/>
              </w:rPr>
              <w:t xml:space="preserve"> median</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21,000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20,200</w:t>
            </w:r>
          </w:p>
        </w:tc>
        <w:tc>
          <w:tcPr>
            <w:tcW w:w="536" w:type="dxa"/>
            <w:tcMar>
              <w:left w:w="6" w:type="dxa"/>
              <w:right w:w="6" w:type="dxa"/>
            </w:tcMar>
            <w:vAlign w:val="center"/>
          </w:tcPr>
          <w:p w:rsidR="00E46063" w:rsidRDefault="00E46063" w:rsidP="00614C04">
            <w:pPr>
              <w:jc w:val="center"/>
              <w:rPr>
                <w:rFonts w:cs="Arial"/>
                <w:sz w:val="14"/>
                <w:szCs w:val="16"/>
              </w:rPr>
            </w:pPr>
            <w:r>
              <w:rPr>
                <w:rFonts w:cs="Arial"/>
                <w:sz w:val="14"/>
                <w:szCs w:val="16"/>
              </w:rPr>
              <w:t>21,300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20,900</w:t>
            </w:r>
          </w:p>
        </w:tc>
        <w:tc>
          <w:tcPr>
            <w:tcW w:w="536" w:type="dxa"/>
            <w:tcMar>
              <w:left w:w="6" w:type="dxa"/>
              <w:right w:w="6" w:type="dxa"/>
            </w:tcMar>
            <w:vAlign w:val="center"/>
          </w:tcPr>
          <w:p w:rsidR="00E46063" w:rsidRDefault="00E46063" w:rsidP="00614C04">
            <w:pPr>
              <w:jc w:val="center"/>
              <w:rPr>
                <w:rFonts w:cs="Arial"/>
                <w:sz w:val="14"/>
                <w:szCs w:val="16"/>
              </w:rPr>
            </w:pPr>
            <w:r>
              <w:rPr>
                <w:rFonts w:cs="Arial"/>
                <w:sz w:val="14"/>
                <w:szCs w:val="16"/>
              </w:rPr>
              <w:t>20,500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18,200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17,700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18,500</w:t>
            </w:r>
          </w:p>
        </w:tc>
        <w:tc>
          <w:tcPr>
            <w:tcW w:w="535"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20,000</w:t>
            </w:r>
          </w:p>
        </w:tc>
        <w:tc>
          <w:tcPr>
            <w:tcW w:w="536" w:type="dxa"/>
            <w:tcMar>
              <w:left w:w="6" w:type="dxa"/>
              <w:right w:w="6" w:type="dxa"/>
            </w:tcMar>
            <w:vAlign w:val="center"/>
          </w:tcPr>
          <w:p w:rsidR="00E46063" w:rsidRPr="00D817DC" w:rsidRDefault="00E46063" w:rsidP="00614C04">
            <w:pPr>
              <w:jc w:val="center"/>
              <w:rPr>
                <w:rFonts w:cs="Arial"/>
                <w:sz w:val="14"/>
                <w:szCs w:val="16"/>
              </w:rPr>
            </w:pPr>
            <w:r>
              <w:rPr>
                <w:rFonts w:cs="Arial"/>
                <w:sz w:val="14"/>
                <w:szCs w:val="16"/>
              </w:rPr>
              <w:t>20,600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22,400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23,700</w:t>
            </w:r>
          </w:p>
        </w:tc>
        <w:tc>
          <w:tcPr>
            <w:tcW w:w="536" w:type="dxa"/>
            <w:tcMar>
              <w:left w:w="6" w:type="dxa"/>
              <w:right w:w="6" w:type="dxa"/>
            </w:tcMar>
            <w:vAlign w:val="center"/>
          </w:tcPr>
          <w:p w:rsidR="00E46063" w:rsidRDefault="00E46063" w:rsidP="00614C04">
            <w:pPr>
              <w:jc w:val="center"/>
              <w:rPr>
                <w:rFonts w:cs="Arial"/>
                <w:sz w:val="14"/>
                <w:szCs w:val="16"/>
              </w:rPr>
            </w:pPr>
            <w:r>
              <w:rPr>
                <w:rFonts w:cs="Arial"/>
                <w:sz w:val="14"/>
                <w:szCs w:val="16"/>
              </w:rPr>
              <w:t>25,400</w:t>
            </w:r>
          </w:p>
        </w:tc>
        <w:tc>
          <w:tcPr>
            <w:tcW w:w="535" w:type="dxa"/>
            <w:tcMar>
              <w:left w:w="6" w:type="dxa"/>
              <w:right w:w="6" w:type="dxa"/>
            </w:tcMar>
            <w:vAlign w:val="center"/>
          </w:tcPr>
          <w:p w:rsidR="00E46063" w:rsidRDefault="00E46063" w:rsidP="00614C04">
            <w:pPr>
              <w:jc w:val="center"/>
              <w:rPr>
                <w:rFonts w:cs="Arial"/>
                <w:sz w:val="14"/>
                <w:szCs w:val="16"/>
              </w:rPr>
            </w:pPr>
            <w:r>
              <w:rPr>
                <w:rFonts w:cs="Arial"/>
                <w:sz w:val="14"/>
                <w:szCs w:val="16"/>
              </w:rPr>
              <w:t>25,900</w:t>
            </w:r>
          </w:p>
        </w:tc>
        <w:tc>
          <w:tcPr>
            <w:tcW w:w="536" w:type="dxa"/>
            <w:tcMar>
              <w:left w:w="28" w:type="dxa"/>
              <w:right w:w="28" w:type="dxa"/>
            </w:tcMar>
            <w:vAlign w:val="center"/>
          </w:tcPr>
          <w:p w:rsidR="00E46063" w:rsidRDefault="00E46063" w:rsidP="00614C04">
            <w:pPr>
              <w:jc w:val="center"/>
              <w:rPr>
                <w:rFonts w:cs="Arial"/>
                <w:sz w:val="14"/>
                <w:szCs w:val="16"/>
              </w:rPr>
            </w:pPr>
            <w:r>
              <w:rPr>
                <w:rFonts w:cs="Arial"/>
                <w:sz w:val="14"/>
                <w:szCs w:val="16"/>
              </w:rPr>
              <w:t>24,900</w:t>
            </w:r>
          </w:p>
        </w:tc>
      </w:tr>
    </w:tbl>
    <w:p w:rsidR="00E46063" w:rsidRDefault="00E46063" w:rsidP="00E46063">
      <w:pPr>
        <w:pStyle w:val="Heading3"/>
      </w:pPr>
    </w:p>
    <w:p w:rsidR="00E46063" w:rsidRPr="005C56F4" w:rsidRDefault="00E46063" w:rsidP="00E46063">
      <w:pPr>
        <w:jc w:val="both"/>
        <w:rPr>
          <w:rFonts w:cs="Arial"/>
          <w:sz w:val="20"/>
          <w:szCs w:val="22"/>
        </w:rPr>
      </w:pPr>
      <w:r w:rsidRPr="002664CD">
        <w:rPr>
          <w:rFonts w:cs="Arial"/>
          <w:sz w:val="20"/>
          <w:szCs w:val="22"/>
        </w:rPr>
        <w:t xml:space="preserve">The mean and median generally move in the same direction.  </w:t>
      </w:r>
      <w:r>
        <w:rPr>
          <w:rFonts w:cs="Arial"/>
          <w:sz w:val="20"/>
          <w:szCs w:val="22"/>
        </w:rPr>
        <w:t>Until 2009-2010 t</w:t>
      </w:r>
      <w:r w:rsidRPr="002664CD">
        <w:rPr>
          <w:rFonts w:cs="Arial"/>
          <w:sz w:val="20"/>
          <w:szCs w:val="22"/>
        </w:rPr>
        <w:t xml:space="preserve">he most notable exception </w:t>
      </w:r>
      <w:r>
        <w:rPr>
          <w:rFonts w:cs="Arial"/>
          <w:sz w:val="20"/>
          <w:szCs w:val="22"/>
        </w:rPr>
        <w:t>was</w:t>
      </w:r>
      <w:r w:rsidRPr="002664CD">
        <w:rPr>
          <w:rFonts w:cs="Arial"/>
          <w:sz w:val="20"/>
          <w:szCs w:val="22"/>
        </w:rPr>
        <w:t xml:space="preserve"> for the period 1988 to 1990 during which the mean rose but the median fell.  In this period, average incomes for households in the top quintile of the income distribution rose in real terms but those in the other four quintiles fell (see Figure D.3).  This lowered the median but raised the mean as the impact of the rises of those with higher incomes was the dominant effect. </w:t>
      </w:r>
      <w:r>
        <w:rPr>
          <w:rFonts w:cs="Arial"/>
          <w:sz w:val="20"/>
          <w:szCs w:val="22"/>
        </w:rPr>
        <w:t xml:space="preserve"> From 2009 to 2010 the mean fell while the median rose.  This happened because of the fall in real incomes for the top income quintile which has a sizeable impact on the mean but no impact on the median.  </w:t>
      </w:r>
      <w:r>
        <w:rPr>
          <w:rFonts w:cs="Arial"/>
          <w:sz w:val="20"/>
        </w:rPr>
        <w:t>The slight rise in the mean from 2010 to 2011 compared with the fall for the median reflects the fact that average income for the top quintile rose a little, largely countering the effect on the overall mean of declines elsewhere.</w:t>
      </w:r>
    </w:p>
    <w:p w:rsidR="00E46063" w:rsidRPr="00B212F2" w:rsidRDefault="00E46063" w:rsidP="00E46063">
      <w:pPr>
        <w:pStyle w:val="Heading3"/>
        <w:rPr>
          <w:sz w:val="20"/>
        </w:rPr>
      </w:pPr>
      <w:r>
        <w:br w:type="page"/>
      </w:r>
      <w:bookmarkStart w:id="77" w:name="_Toc115142505"/>
      <w:r w:rsidRPr="00B212F2">
        <w:rPr>
          <w:sz w:val="20"/>
        </w:rPr>
        <w:lastRenderedPageBreak/>
        <w:t>Differing trends for different parts of the distribution</w:t>
      </w:r>
      <w:bookmarkEnd w:id="77"/>
      <w:r w:rsidRPr="00B212F2">
        <w:rPr>
          <w:sz w:val="20"/>
        </w:rPr>
        <w:t xml:space="preserve"> (</w:t>
      </w:r>
      <w:smartTag w:uri="urn:schemas-microsoft-com:office:smarttags" w:element="stockticker">
        <w:r w:rsidRPr="00B212F2">
          <w:rPr>
            <w:sz w:val="20"/>
          </w:rPr>
          <w:t>BHC</w:t>
        </w:r>
      </w:smartTag>
      <w:r w:rsidRPr="00B212F2">
        <w:rPr>
          <w:sz w:val="20"/>
        </w:rPr>
        <w:t>)</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 xml:space="preserve">Reporting on trends in the overall median or mean household income provides useful high-level summaries, but they tell only a part of the story as different parts of the income distribution (can) show quite different relative movements over time. </w:t>
      </w:r>
    </w:p>
    <w:p w:rsidR="00E46063" w:rsidRPr="00B212F2" w:rsidRDefault="00E46063" w:rsidP="00E46063">
      <w:pPr>
        <w:jc w:val="both"/>
        <w:rPr>
          <w:rFonts w:cs="Arial"/>
          <w:sz w:val="20"/>
          <w:szCs w:val="22"/>
        </w:rPr>
      </w:pPr>
    </w:p>
    <w:p w:rsidR="00E46063" w:rsidRPr="00B212F2" w:rsidRDefault="00E46063" w:rsidP="00E46063">
      <w:pPr>
        <w:pStyle w:val="FootnoteText"/>
        <w:jc w:val="both"/>
        <w:rPr>
          <w:sz w:val="20"/>
        </w:rPr>
      </w:pPr>
      <w:r w:rsidRPr="00B212F2">
        <w:rPr>
          <w:sz w:val="20"/>
        </w:rPr>
        <w:t>One way to show these differing changes is to</w:t>
      </w:r>
      <w:r w:rsidRPr="00B212F2">
        <w:rPr>
          <w:b/>
          <w:sz w:val="20"/>
        </w:rPr>
        <w:t xml:space="preserve"> </w:t>
      </w:r>
      <w:r w:rsidRPr="00B212F2">
        <w:rPr>
          <w:sz w:val="20"/>
        </w:rPr>
        <w:t>divide the population into ten equal groups (deciles) and show the trends in real incomes for the median, mean or top of each decile.  This part of the analysis uses the latter as it fits well with the use of percentile ratios</w:t>
      </w:r>
      <w:r w:rsidRPr="00B212F2">
        <w:rPr>
          <w:rStyle w:val="FootnoteReference"/>
          <w:rFonts w:cs="Arial"/>
          <w:sz w:val="20"/>
          <w:szCs w:val="22"/>
        </w:rPr>
        <w:footnoteReference w:id="43"/>
      </w:r>
      <w:r w:rsidRPr="00B212F2">
        <w:rPr>
          <w:sz w:val="20"/>
        </w:rPr>
        <w:t xml:space="preserve"> for summarising trends in inequality, which is done later in this section.</w:t>
      </w:r>
      <w:r>
        <w:rPr>
          <w:sz w:val="20"/>
        </w:rPr>
        <w:t xml:space="preserve"> Changes for incomes at P95 (the median of the top decile) are also included.</w:t>
      </w:r>
      <w:r w:rsidRPr="00B212F2">
        <w:rPr>
          <w:sz w:val="20"/>
        </w:rPr>
        <w:t xml:space="preserve">   Decile means are reported in </w:t>
      </w:r>
      <w:r w:rsidRPr="00B212F2">
        <w:rPr>
          <w:b/>
          <w:sz w:val="20"/>
        </w:rPr>
        <w:t>Appendix 9</w:t>
      </w:r>
      <w:r w:rsidRPr="00B212F2">
        <w:rPr>
          <w:sz w:val="20"/>
        </w:rPr>
        <w:t>.</w:t>
      </w:r>
      <w:r w:rsidRPr="00B212F2">
        <w:rPr>
          <w:rStyle w:val="FootnoteReference"/>
          <w:rFonts w:cs="Arial"/>
          <w:sz w:val="20"/>
          <w:szCs w:val="22"/>
        </w:rPr>
        <w:t xml:space="preserve"> </w:t>
      </w:r>
    </w:p>
    <w:p w:rsidR="00E46063" w:rsidRDefault="00E46063" w:rsidP="00E46063">
      <w:pPr>
        <w:jc w:val="both"/>
        <w:rPr>
          <w:rFonts w:cs="Arial"/>
          <w:sz w:val="20"/>
          <w:szCs w:val="22"/>
        </w:rPr>
      </w:pPr>
    </w:p>
    <w:p w:rsidR="00E46063" w:rsidRPr="004B6CE7" w:rsidRDefault="00E46063" w:rsidP="00E46063">
      <w:pPr>
        <w:jc w:val="both"/>
        <w:rPr>
          <w:rFonts w:cs="Arial"/>
          <w:sz w:val="20"/>
          <w:szCs w:val="22"/>
          <w:u w:val="single"/>
        </w:rPr>
      </w:pPr>
      <w:r w:rsidRPr="004B6CE7">
        <w:rPr>
          <w:rFonts w:cs="Arial"/>
          <w:sz w:val="20"/>
          <w:szCs w:val="22"/>
          <w:u w:val="single"/>
        </w:rPr>
        <w:t>Recent changes (2007 HES to 2011 HES)</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sidRPr="00B212F2">
        <w:rPr>
          <w:rFonts w:cs="Arial"/>
          <w:b/>
          <w:sz w:val="20"/>
          <w:szCs w:val="22"/>
        </w:rPr>
        <w:t>Figure</w:t>
      </w:r>
      <w:r w:rsidR="009B687B">
        <w:rPr>
          <w:rFonts w:cs="Arial"/>
          <w:b/>
          <w:sz w:val="20"/>
          <w:szCs w:val="22"/>
        </w:rPr>
        <w:t>s</w:t>
      </w:r>
      <w:r w:rsidRPr="00B212F2">
        <w:rPr>
          <w:rFonts w:cs="Arial"/>
          <w:b/>
          <w:sz w:val="20"/>
          <w:szCs w:val="22"/>
        </w:rPr>
        <w:t xml:space="preserve"> D.2</w:t>
      </w:r>
      <w:r w:rsidR="009B687B">
        <w:rPr>
          <w:rFonts w:cs="Arial"/>
          <w:b/>
          <w:sz w:val="20"/>
          <w:szCs w:val="22"/>
        </w:rPr>
        <w:t xml:space="preserve"> </w:t>
      </w:r>
      <w:r w:rsidR="009B687B">
        <w:rPr>
          <w:rFonts w:cs="Arial"/>
          <w:sz w:val="20"/>
          <w:szCs w:val="22"/>
        </w:rPr>
        <w:t xml:space="preserve">and </w:t>
      </w:r>
      <w:r w:rsidR="009B687B" w:rsidRPr="009B687B">
        <w:rPr>
          <w:rFonts w:cs="Arial"/>
          <w:b/>
          <w:sz w:val="20"/>
          <w:szCs w:val="22"/>
        </w:rPr>
        <w:t>D.3</w:t>
      </w:r>
      <w:r>
        <w:rPr>
          <w:rFonts w:cs="Arial"/>
          <w:b/>
          <w:sz w:val="20"/>
          <w:szCs w:val="22"/>
        </w:rPr>
        <w:t xml:space="preserve"> </w:t>
      </w:r>
      <w:r w:rsidRPr="00B212F2">
        <w:rPr>
          <w:rFonts w:cs="Arial"/>
          <w:sz w:val="20"/>
          <w:szCs w:val="22"/>
        </w:rPr>
        <w:t xml:space="preserve">show the changes for the decile boundaries from </w:t>
      </w:r>
      <w:r>
        <w:rPr>
          <w:rFonts w:cs="Arial"/>
          <w:sz w:val="20"/>
          <w:szCs w:val="22"/>
        </w:rPr>
        <w:t>the 2007</w:t>
      </w:r>
      <w:r w:rsidR="009B687B">
        <w:rPr>
          <w:rFonts w:cs="Arial"/>
          <w:sz w:val="20"/>
          <w:szCs w:val="22"/>
        </w:rPr>
        <w:t xml:space="preserve"> HES</w:t>
      </w:r>
      <w:r>
        <w:rPr>
          <w:rFonts w:cs="Arial"/>
          <w:sz w:val="20"/>
          <w:szCs w:val="22"/>
        </w:rPr>
        <w:t xml:space="preserve"> to 2009 and </w:t>
      </w:r>
      <w:r w:rsidR="009B687B">
        <w:rPr>
          <w:rFonts w:cs="Arial"/>
          <w:sz w:val="20"/>
          <w:szCs w:val="22"/>
        </w:rPr>
        <w:t xml:space="preserve">the </w:t>
      </w:r>
      <w:r>
        <w:rPr>
          <w:rFonts w:cs="Arial"/>
          <w:sz w:val="20"/>
          <w:szCs w:val="22"/>
        </w:rPr>
        <w:t>2009</w:t>
      </w:r>
      <w:r w:rsidR="009B687B">
        <w:rPr>
          <w:rFonts w:cs="Arial"/>
          <w:sz w:val="20"/>
          <w:szCs w:val="22"/>
        </w:rPr>
        <w:t xml:space="preserve"> HES</w:t>
      </w:r>
      <w:r>
        <w:rPr>
          <w:rFonts w:cs="Arial"/>
          <w:sz w:val="20"/>
          <w:szCs w:val="22"/>
        </w:rPr>
        <w:t xml:space="preserve"> to 2011.  The impact of the economic downturn and global financial crisis is clearly evident in the 2009 to 2011 graph (the bottom one), with incomes generally flat or slightly negative across the distribution, in contrast with previous solid growth in incomes from the 2007 to 2009 HES. </w:t>
      </w:r>
    </w:p>
    <w:p w:rsidR="00E46063" w:rsidRDefault="00E46063" w:rsidP="00E46063">
      <w:pPr>
        <w:jc w:val="both"/>
        <w:rPr>
          <w:rFonts w:cs="Arial"/>
          <w:sz w:val="20"/>
          <w:szCs w:val="22"/>
        </w:rPr>
      </w:pPr>
    </w:p>
    <w:p w:rsidR="00E46063" w:rsidRPr="00B212F2" w:rsidRDefault="00E46063" w:rsidP="00E46063">
      <w:pPr>
        <w:jc w:val="center"/>
        <w:rPr>
          <w:rFonts w:cs="Arial"/>
          <w:b/>
          <w:sz w:val="18"/>
        </w:rPr>
      </w:pPr>
      <w:r w:rsidRPr="00B212F2">
        <w:rPr>
          <w:rFonts w:cs="Arial"/>
          <w:b/>
          <w:sz w:val="18"/>
        </w:rPr>
        <w:t>Figure D.2</w:t>
      </w:r>
    </w:p>
    <w:p w:rsidR="00E46063" w:rsidRDefault="00E46063" w:rsidP="00E46063">
      <w:pPr>
        <w:jc w:val="center"/>
        <w:rPr>
          <w:rFonts w:cs="Arial"/>
          <w:b/>
          <w:sz w:val="18"/>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changes for top of deciles</w:t>
      </w:r>
      <w:r>
        <w:rPr>
          <w:rFonts w:cs="Arial"/>
          <w:b/>
          <w:sz w:val="18"/>
        </w:rPr>
        <w:t>, 2007</w:t>
      </w:r>
      <w:r w:rsidR="007A3423">
        <w:rPr>
          <w:rFonts w:cs="Arial"/>
          <w:b/>
          <w:sz w:val="18"/>
        </w:rPr>
        <w:t xml:space="preserve"> HES</w:t>
      </w:r>
      <w:r>
        <w:rPr>
          <w:rFonts w:cs="Arial"/>
          <w:b/>
          <w:sz w:val="18"/>
        </w:rPr>
        <w:t xml:space="preserve"> to 20</w:t>
      </w:r>
      <w:r w:rsidR="007A3423">
        <w:rPr>
          <w:rFonts w:cs="Arial"/>
          <w:b/>
          <w:sz w:val="18"/>
        </w:rPr>
        <w:t>09</w:t>
      </w:r>
    </w:p>
    <w:p w:rsidR="002C30C8" w:rsidRPr="007A3423" w:rsidRDefault="00EC0BE0" w:rsidP="007A3423">
      <w:pPr>
        <w:jc w:val="center"/>
        <w:rPr>
          <w:sz w:val="20"/>
        </w:rPr>
      </w:pPr>
      <w:r>
        <w:rPr>
          <w:noProof/>
          <w:lang w:val="en-US"/>
        </w:rPr>
        <w:drawing>
          <wp:inline distT="0" distB="0" distL="0" distR="0">
            <wp:extent cx="3933825" cy="241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3933825" cy="2419350"/>
                    </a:xfrm>
                    <a:prstGeom prst="rect">
                      <a:avLst/>
                    </a:prstGeom>
                    <a:noFill/>
                    <a:ln w="9525">
                      <a:noFill/>
                      <a:miter lim="800000"/>
                      <a:headEnd/>
                      <a:tailEnd/>
                    </a:ln>
                  </pic:spPr>
                </pic:pic>
              </a:graphicData>
            </a:graphic>
          </wp:inline>
        </w:drawing>
      </w:r>
    </w:p>
    <w:p w:rsidR="002C30C8" w:rsidRPr="00B212F2" w:rsidRDefault="002C30C8" w:rsidP="002C30C8">
      <w:pPr>
        <w:jc w:val="center"/>
        <w:rPr>
          <w:rFonts w:cs="Arial"/>
          <w:b/>
          <w:sz w:val="18"/>
        </w:rPr>
      </w:pPr>
      <w:r w:rsidRPr="00B212F2">
        <w:rPr>
          <w:rFonts w:cs="Arial"/>
          <w:b/>
          <w:sz w:val="18"/>
        </w:rPr>
        <w:t>Figure D.</w:t>
      </w:r>
      <w:r>
        <w:rPr>
          <w:rFonts w:cs="Arial"/>
          <w:b/>
          <w:sz w:val="18"/>
        </w:rPr>
        <w:t>3</w:t>
      </w:r>
    </w:p>
    <w:p w:rsidR="002C30C8" w:rsidRDefault="002C30C8" w:rsidP="00E46063">
      <w:pPr>
        <w:jc w:val="cente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changes for top of deciles</w:t>
      </w:r>
      <w:r>
        <w:rPr>
          <w:rFonts w:cs="Arial"/>
          <w:b/>
          <w:sz w:val="18"/>
        </w:rPr>
        <w:t>, 200</w:t>
      </w:r>
      <w:r w:rsidR="007A3423">
        <w:rPr>
          <w:rFonts w:cs="Arial"/>
          <w:b/>
          <w:sz w:val="18"/>
        </w:rPr>
        <w:t>9 HES</w:t>
      </w:r>
      <w:r>
        <w:rPr>
          <w:rFonts w:cs="Arial"/>
          <w:b/>
          <w:sz w:val="18"/>
        </w:rPr>
        <w:t xml:space="preserve"> to 2011</w:t>
      </w:r>
    </w:p>
    <w:p w:rsidR="00EB0A84" w:rsidRDefault="00EC0BE0" w:rsidP="002C30C8">
      <w:pPr>
        <w:jc w:val="center"/>
      </w:pPr>
      <w:r>
        <w:rPr>
          <w:noProof/>
          <w:lang w:val="en-US"/>
        </w:rPr>
        <w:drawing>
          <wp:inline distT="0" distB="0" distL="0" distR="0">
            <wp:extent cx="3857625" cy="2371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3857625" cy="2371725"/>
                    </a:xfrm>
                    <a:prstGeom prst="rect">
                      <a:avLst/>
                    </a:prstGeom>
                    <a:noFill/>
                    <a:ln w="9525">
                      <a:noFill/>
                      <a:miter lim="800000"/>
                      <a:headEnd/>
                      <a:tailEnd/>
                    </a:ln>
                  </pic:spPr>
                </pic:pic>
              </a:graphicData>
            </a:graphic>
          </wp:inline>
        </w:drawing>
      </w:r>
    </w:p>
    <w:p w:rsidR="00E46063" w:rsidRPr="005C18BA" w:rsidRDefault="00E46063" w:rsidP="00EB0A84">
      <w:pPr>
        <w:jc w:val="both"/>
        <w:rPr>
          <w:sz w:val="20"/>
          <w:u w:val="single"/>
        </w:rPr>
      </w:pPr>
      <w:r>
        <w:rPr>
          <w:sz w:val="20"/>
          <w:u w:val="single"/>
        </w:rPr>
        <w:br w:type="page"/>
      </w:r>
      <w:r w:rsidRPr="005C18BA">
        <w:rPr>
          <w:sz w:val="20"/>
          <w:u w:val="single"/>
        </w:rPr>
        <w:lastRenderedPageBreak/>
        <w:t>The Working for Families impact (2004 HES to 2007 HES)</w:t>
      </w:r>
    </w:p>
    <w:p w:rsidR="00E46063" w:rsidRDefault="00E46063" w:rsidP="00E46063">
      <w:pPr>
        <w:jc w:val="both"/>
        <w:rPr>
          <w:sz w:val="20"/>
        </w:rPr>
      </w:pPr>
    </w:p>
    <w:p w:rsidR="00E46063" w:rsidRDefault="00E46063" w:rsidP="00E46063">
      <w:pPr>
        <w:jc w:val="both"/>
        <w:rPr>
          <w:rFonts w:cs="Arial"/>
          <w:sz w:val="20"/>
          <w:szCs w:val="22"/>
        </w:rPr>
      </w:pPr>
      <w:r>
        <w:rPr>
          <w:rFonts w:cs="Arial"/>
          <w:sz w:val="20"/>
          <w:szCs w:val="22"/>
        </w:rPr>
        <w:t>The changes from 2004 to 2007 reflected the major part of the impact of the Working for Families package (</w:t>
      </w:r>
      <w:r w:rsidRPr="00AD1C70">
        <w:rPr>
          <w:rFonts w:cs="Arial"/>
          <w:b/>
          <w:sz w:val="20"/>
          <w:szCs w:val="22"/>
        </w:rPr>
        <w:t>Figure D.</w:t>
      </w:r>
      <w:r>
        <w:rPr>
          <w:rFonts w:cs="Arial"/>
          <w:b/>
          <w:sz w:val="20"/>
          <w:szCs w:val="22"/>
        </w:rPr>
        <w:t>4</w:t>
      </w:r>
      <w:r>
        <w:rPr>
          <w:rFonts w:cs="Arial"/>
          <w:sz w:val="20"/>
          <w:szCs w:val="22"/>
        </w:rPr>
        <w:t>). The transfer of an extra approximately $1.6b pa to low- to middle-income households with children made a tangible difference to the income distribution.</w:t>
      </w:r>
      <w:r>
        <w:rPr>
          <w:rStyle w:val="FootnoteReference"/>
          <w:rFonts w:cs="Arial"/>
          <w:sz w:val="20"/>
          <w:szCs w:val="22"/>
        </w:rPr>
        <w:footnoteReference w:id="44"/>
      </w:r>
      <w:r>
        <w:rPr>
          <w:rFonts w:cs="Arial"/>
          <w:sz w:val="20"/>
          <w:szCs w:val="22"/>
        </w:rPr>
        <w:t xml:space="preserve">  The general pattern up to 2004 had been for the income of higher-income households to rise more quickly than those of lower- to middle-income households. The 2004 to 2007 period was the only one in the previous 25 years in which</w:t>
      </w:r>
      <w:r w:rsidRPr="00B212F2">
        <w:rPr>
          <w:rFonts w:cs="Arial"/>
          <w:sz w:val="20"/>
          <w:szCs w:val="22"/>
        </w:rPr>
        <w:t xml:space="preserve"> the incomes of low</w:t>
      </w:r>
      <w:r>
        <w:rPr>
          <w:rFonts w:cs="Arial"/>
          <w:sz w:val="20"/>
          <w:szCs w:val="22"/>
        </w:rPr>
        <w:t>- to middle-</w:t>
      </w:r>
      <w:r w:rsidRPr="00B212F2">
        <w:rPr>
          <w:rFonts w:cs="Arial"/>
          <w:sz w:val="20"/>
          <w:szCs w:val="22"/>
        </w:rPr>
        <w:t xml:space="preserve">income households </w:t>
      </w:r>
      <w:r>
        <w:rPr>
          <w:rFonts w:cs="Arial"/>
          <w:sz w:val="20"/>
          <w:szCs w:val="22"/>
        </w:rPr>
        <w:t>grew</w:t>
      </w:r>
      <w:r w:rsidRPr="00B212F2">
        <w:rPr>
          <w:rFonts w:cs="Arial"/>
          <w:sz w:val="20"/>
          <w:szCs w:val="22"/>
        </w:rPr>
        <w:t xml:space="preserve"> more quickly than those of households above the median</w:t>
      </w:r>
      <w:r>
        <w:rPr>
          <w:rFonts w:cs="Arial"/>
          <w:sz w:val="20"/>
          <w:szCs w:val="22"/>
        </w:rPr>
        <w:t>.</w:t>
      </w:r>
      <w:r w:rsidRPr="00B212F2">
        <w:rPr>
          <w:rFonts w:cs="Arial"/>
          <w:sz w:val="20"/>
          <w:szCs w:val="22"/>
        </w:rPr>
        <w:t xml:space="preserve"> </w:t>
      </w:r>
    </w:p>
    <w:p w:rsidR="00E46063" w:rsidRPr="00B212F2" w:rsidRDefault="00E46063" w:rsidP="00E46063">
      <w:pPr>
        <w:jc w:val="both"/>
        <w:rPr>
          <w:rFonts w:cs="Arial"/>
          <w:sz w:val="20"/>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4</w:t>
      </w:r>
    </w:p>
    <w:p w:rsidR="00E46063" w:rsidRDefault="00E46063" w:rsidP="00E46063">
      <w:pPr>
        <w:jc w:val="center"/>
        <w:rPr>
          <w:rFonts w:cs="Arial"/>
          <w:b/>
          <w:sz w:val="18"/>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changes for top of deciles, 200</w:t>
      </w:r>
      <w:r>
        <w:rPr>
          <w:rFonts w:cs="Arial"/>
          <w:b/>
          <w:sz w:val="18"/>
        </w:rPr>
        <w:t>4</w:t>
      </w:r>
      <w:r w:rsidRPr="00B212F2">
        <w:rPr>
          <w:rFonts w:cs="Arial"/>
          <w:b/>
          <w:sz w:val="18"/>
        </w:rPr>
        <w:t xml:space="preserve"> to 200</w:t>
      </w:r>
      <w:r>
        <w:rPr>
          <w:rFonts w:cs="Arial"/>
          <w:b/>
          <w:sz w:val="18"/>
        </w:rPr>
        <w:t>7</w:t>
      </w:r>
    </w:p>
    <w:p w:rsidR="00E46063" w:rsidRPr="00DB03EE" w:rsidRDefault="00EC0BE0" w:rsidP="00E46063">
      <w:pPr>
        <w:jc w:val="center"/>
      </w:pPr>
      <w:r>
        <w:rPr>
          <w:noProof/>
          <w:lang w:val="en-US"/>
        </w:rPr>
        <w:drawing>
          <wp:inline distT="0" distB="0" distL="0" distR="0">
            <wp:extent cx="3009900" cy="1857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3009900" cy="1857375"/>
                    </a:xfrm>
                    <a:prstGeom prst="rect">
                      <a:avLst/>
                    </a:prstGeom>
                    <a:noFill/>
                    <a:ln w="9525">
                      <a:noFill/>
                      <a:miter lim="800000"/>
                      <a:headEnd/>
                      <a:tailEnd/>
                    </a:ln>
                  </pic:spPr>
                </pic:pic>
              </a:graphicData>
            </a:graphic>
          </wp:inline>
        </w:drawing>
      </w:r>
    </w:p>
    <w:p w:rsidR="00E46063" w:rsidRDefault="00E46063" w:rsidP="00E46063">
      <w:pPr>
        <w:rPr>
          <w:rFonts w:cs="Arial"/>
          <w:sz w:val="20"/>
          <w:szCs w:val="22"/>
          <w:u w:val="single"/>
        </w:rPr>
      </w:pPr>
    </w:p>
    <w:p w:rsidR="00E46063" w:rsidRDefault="00E46063" w:rsidP="00E46063">
      <w:pPr>
        <w:rPr>
          <w:rFonts w:cs="Arial"/>
          <w:sz w:val="20"/>
          <w:szCs w:val="22"/>
          <w:u w:val="single"/>
        </w:rPr>
      </w:pPr>
    </w:p>
    <w:p w:rsidR="00E46063" w:rsidRPr="00B212F2" w:rsidRDefault="00E46063" w:rsidP="00E46063">
      <w:pPr>
        <w:rPr>
          <w:rFonts w:cs="Arial"/>
          <w:sz w:val="20"/>
          <w:szCs w:val="22"/>
        </w:rPr>
      </w:pPr>
      <w:r w:rsidRPr="00B212F2">
        <w:rPr>
          <w:rFonts w:cs="Arial"/>
          <w:sz w:val="20"/>
          <w:szCs w:val="22"/>
          <w:u w:val="single"/>
        </w:rPr>
        <w:t>Longer term trends</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b/>
          <w:sz w:val="20"/>
          <w:szCs w:val="22"/>
        </w:rPr>
        <w:t>Figure D.</w:t>
      </w:r>
      <w:r>
        <w:rPr>
          <w:rFonts w:cs="Arial"/>
          <w:b/>
          <w:sz w:val="20"/>
          <w:szCs w:val="22"/>
        </w:rPr>
        <w:t>5</w:t>
      </w:r>
      <w:r w:rsidRPr="00B212F2">
        <w:rPr>
          <w:rFonts w:cs="Arial"/>
          <w:b/>
          <w:sz w:val="20"/>
          <w:szCs w:val="22"/>
        </w:rPr>
        <w:t xml:space="preserve"> </w:t>
      </w:r>
      <w:r w:rsidRPr="00DB03EE">
        <w:rPr>
          <w:rFonts w:cs="Arial"/>
          <w:sz w:val="20"/>
          <w:szCs w:val="22"/>
        </w:rPr>
        <w:t>shows</w:t>
      </w:r>
      <w:r w:rsidRPr="00B212F2">
        <w:rPr>
          <w:rFonts w:cs="Arial"/>
          <w:sz w:val="20"/>
          <w:szCs w:val="22"/>
        </w:rPr>
        <w:t xml:space="preserve"> the differing changes for different parts of the income distribution (top of deciles 1 to 9</w:t>
      </w:r>
      <w:r>
        <w:rPr>
          <w:rFonts w:cs="Arial"/>
          <w:sz w:val="20"/>
          <w:szCs w:val="22"/>
        </w:rPr>
        <w:t>, plus P95</w:t>
      </w:r>
      <w:r w:rsidRPr="00B212F2">
        <w:rPr>
          <w:rFonts w:cs="Arial"/>
          <w:sz w:val="20"/>
          <w:szCs w:val="22"/>
        </w:rPr>
        <w:t xml:space="preserve">) </w:t>
      </w:r>
      <w:r>
        <w:rPr>
          <w:rFonts w:cs="Arial"/>
          <w:sz w:val="20"/>
          <w:szCs w:val="22"/>
        </w:rPr>
        <w:t>from 1988 to 2004</w:t>
      </w:r>
      <w:r w:rsidRPr="00B212F2">
        <w:rPr>
          <w:rFonts w:cs="Arial"/>
          <w:sz w:val="20"/>
          <w:szCs w:val="22"/>
        </w:rPr>
        <w:t xml:space="preserve">.  The period is divided at </w:t>
      </w:r>
      <w:r>
        <w:rPr>
          <w:rFonts w:cs="Arial"/>
          <w:sz w:val="20"/>
          <w:szCs w:val="22"/>
        </w:rPr>
        <w:t>1994</w:t>
      </w:r>
      <w:r w:rsidRPr="00B212F2">
        <w:rPr>
          <w:rFonts w:cs="Arial"/>
          <w:sz w:val="20"/>
          <w:szCs w:val="22"/>
        </w:rPr>
        <w:t xml:space="preserve"> when </w:t>
      </w:r>
      <w:r>
        <w:rPr>
          <w:rFonts w:cs="Arial"/>
          <w:sz w:val="20"/>
          <w:szCs w:val="22"/>
        </w:rPr>
        <w:t>incomes were at their lowest in real terms.</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Pr>
          <w:rFonts w:cs="Arial"/>
          <w:sz w:val="20"/>
          <w:szCs w:val="22"/>
        </w:rPr>
        <w:t xml:space="preserve">The graphs show the very large falls in real household income from 1988 to 1994 for all but the very highest income group, followed from 1994 to 2004 by steady and fairly even income growth across the whole income distribution, although the growth for lower income households (bottom 20 to 30%) was not as strong as for the rest.  </w:t>
      </w:r>
    </w:p>
    <w:p w:rsidR="00E46063" w:rsidRDefault="00E46063" w:rsidP="00E46063">
      <w:pPr>
        <w:jc w:val="both"/>
        <w:rPr>
          <w:rFonts w:cs="Arial"/>
          <w:sz w:val="20"/>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5</w:t>
      </w:r>
    </w:p>
    <w:p w:rsidR="00E46063" w:rsidRDefault="00EC0BE0" w:rsidP="00E46063">
      <w:pPr>
        <w:jc w:val="center"/>
        <w:rPr>
          <w:rFonts w:cs="Arial"/>
          <w:b/>
          <w:sz w:val="18"/>
        </w:rPr>
      </w:pPr>
      <w:r>
        <w:rPr>
          <w:noProof/>
          <w:lang w:val="en-US"/>
        </w:rPr>
        <w:drawing>
          <wp:anchor distT="0" distB="0" distL="114300" distR="114300" simplePos="0" relativeHeight="251667968" behindDoc="0" locked="0" layoutInCell="1" allowOverlap="1">
            <wp:simplePos x="0" y="0"/>
            <wp:positionH relativeFrom="column">
              <wp:posOffset>-114300</wp:posOffset>
            </wp:positionH>
            <wp:positionV relativeFrom="paragraph">
              <wp:posOffset>200025</wp:posOffset>
            </wp:positionV>
            <wp:extent cx="2860675" cy="1763395"/>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srcRect/>
                    <a:stretch>
                      <a:fillRect/>
                    </a:stretch>
                  </pic:blipFill>
                  <pic:spPr bwMode="auto">
                    <a:xfrm>
                      <a:off x="0" y="0"/>
                      <a:ext cx="2860675" cy="17633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944" behindDoc="0" locked="0" layoutInCell="1" allowOverlap="1">
            <wp:simplePos x="0" y="0"/>
            <wp:positionH relativeFrom="column">
              <wp:posOffset>2874645</wp:posOffset>
            </wp:positionH>
            <wp:positionV relativeFrom="paragraph">
              <wp:posOffset>180975</wp:posOffset>
            </wp:positionV>
            <wp:extent cx="2799080" cy="1729105"/>
            <wp:effectExtent l="0" t="0" r="127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1"/>
                    <a:srcRect/>
                    <a:stretch>
                      <a:fillRect/>
                    </a:stretch>
                  </pic:blipFill>
                  <pic:spPr bwMode="auto">
                    <a:xfrm>
                      <a:off x="0" y="0"/>
                      <a:ext cx="2799080" cy="1729105"/>
                    </a:xfrm>
                    <a:prstGeom prst="rect">
                      <a:avLst/>
                    </a:prstGeom>
                    <a:noFill/>
                    <a:ln w="9525">
                      <a:noFill/>
                      <a:miter lim="800000"/>
                      <a:headEnd/>
                      <a:tailEnd/>
                    </a:ln>
                  </pic:spPr>
                </pic:pic>
              </a:graphicData>
            </a:graphic>
          </wp:anchor>
        </w:drawing>
      </w:r>
      <w:r w:rsidR="00F55DC3" w:rsidRPr="00F55DC3">
        <w:rPr>
          <w:rFonts w:cs="Arial"/>
          <w:b/>
          <w:sz w:val="18"/>
        </w:rPr>
        <w:t xml:space="preserve">  </w:t>
      </w:r>
      <w:r w:rsidR="00E46063" w:rsidRPr="00F762EF">
        <w:rPr>
          <w:rFonts w:cs="Arial"/>
          <w:b/>
          <w:sz w:val="18"/>
        </w:rPr>
        <w:t xml:space="preserve"> </w:t>
      </w:r>
      <w:r w:rsidR="00E46063" w:rsidRPr="00B212F2">
        <w:rPr>
          <w:rFonts w:cs="Arial"/>
          <w:b/>
          <w:sz w:val="18"/>
        </w:rPr>
        <w:t>Real equivalised household incomes (</w:t>
      </w:r>
      <w:smartTag w:uri="urn:schemas-microsoft-com:office:smarttags" w:element="stockticker">
        <w:r w:rsidR="00E46063" w:rsidRPr="00B212F2">
          <w:rPr>
            <w:rFonts w:cs="Arial"/>
            <w:b/>
            <w:sz w:val="18"/>
          </w:rPr>
          <w:t>BHC</w:t>
        </w:r>
      </w:smartTag>
      <w:r w:rsidR="00E46063" w:rsidRPr="00B212F2">
        <w:rPr>
          <w:rFonts w:cs="Arial"/>
          <w:b/>
          <w:sz w:val="18"/>
        </w:rPr>
        <w:t>): changes for top of deciles</w:t>
      </w:r>
      <w:r w:rsidR="00E46063">
        <w:rPr>
          <w:rFonts w:cs="Arial"/>
          <w:b/>
          <w:sz w:val="18"/>
        </w:rPr>
        <w:t>, 1988-94, and 1994-04</w:t>
      </w:r>
    </w:p>
    <w:p w:rsidR="00E46063" w:rsidRPr="0081519F" w:rsidRDefault="00E46063" w:rsidP="00E46063">
      <w:pPr>
        <w:jc w:val="center"/>
        <w:rPr>
          <w:sz w:val="20"/>
        </w:rPr>
      </w:pPr>
    </w:p>
    <w:p w:rsidR="00E46063" w:rsidRDefault="00E46063" w:rsidP="00E46063">
      <w:pPr>
        <w:jc w:val="both"/>
        <w:rPr>
          <w:rFonts w:cs="Arial"/>
          <w:sz w:val="20"/>
          <w:szCs w:val="22"/>
        </w:rPr>
      </w:pPr>
      <w:r>
        <w:rPr>
          <w:rFonts w:cs="Arial"/>
          <w:sz w:val="20"/>
          <w:szCs w:val="22"/>
        </w:rPr>
        <w:br w:type="page"/>
      </w:r>
      <w:r>
        <w:rPr>
          <w:rFonts w:cs="Arial"/>
          <w:sz w:val="20"/>
          <w:szCs w:val="22"/>
        </w:rPr>
        <w:lastRenderedPageBreak/>
        <w:t xml:space="preserve">The net effect of the changes from 1988 to 2004 is captured in </w:t>
      </w:r>
      <w:r w:rsidRPr="00DB03EE">
        <w:rPr>
          <w:rFonts w:cs="Arial"/>
          <w:b/>
          <w:sz w:val="20"/>
          <w:szCs w:val="22"/>
        </w:rPr>
        <w:t>Figure D.6</w:t>
      </w:r>
      <w:r>
        <w:rPr>
          <w:rFonts w:cs="Arial"/>
          <w:sz w:val="20"/>
          <w:szCs w:val="22"/>
        </w:rPr>
        <w:t xml:space="preserve"> which shows the large increase in inequality that took place in that relatively short period, based on the deterioration of incomes for the lower deciles and the gains for higher deciles.</w:t>
      </w:r>
    </w:p>
    <w:p w:rsidR="00E46063" w:rsidRDefault="00E46063" w:rsidP="00E46063">
      <w:pPr>
        <w:jc w:val="both"/>
        <w:rPr>
          <w:rFonts w:cs="Arial"/>
          <w:sz w:val="20"/>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6</w:t>
      </w:r>
    </w:p>
    <w:p w:rsidR="00E46063" w:rsidRDefault="00E46063" w:rsidP="00E46063">
      <w:pPr>
        <w:jc w:val="center"/>
        <w:rPr>
          <w:rFonts w:cs="Arial"/>
          <w:sz w:val="20"/>
          <w:szCs w:val="22"/>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changes for top of deciles,198</w:t>
      </w:r>
      <w:r>
        <w:rPr>
          <w:rFonts w:cs="Arial"/>
          <w:b/>
          <w:sz w:val="18"/>
        </w:rPr>
        <w:t>8</w:t>
      </w:r>
      <w:r w:rsidRPr="00B212F2">
        <w:rPr>
          <w:rFonts w:cs="Arial"/>
          <w:b/>
          <w:sz w:val="18"/>
        </w:rPr>
        <w:t xml:space="preserve"> to 20</w:t>
      </w:r>
      <w:r>
        <w:rPr>
          <w:rFonts w:cs="Arial"/>
          <w:b/>
          <w:sz w:val="18"/>
        </w:rPr>
        <w:t>04</w:t>
      </w:r>
    </w:p>
    <w:p w:rsidR="00E46063" w:rsidRPr="00DB03EE" w:rsidRDefault="00EC0BE0" w:rsidP="00E46063">
      <w:pPr>
        <w:jc w:val="center"/>
        <w:rPr>
          <w:rFonts w:cs="Arial"/>
          <w:sz w:val="20"/>
          <w:szCs w:val="22"/>
        </w:rPr>
      </w:pPr>
      <w:r>
        <w:rPr>
          <w:noProof/>
          <w:lang w:val="en-US"/>
        </w:rPr>
        <w:drawing>
          <wp:inline distT="0" distB="0" distL="0" distR="0">
            <wp:extent cx="3495675" cy="2152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495675" cy="2152650"/>
                    </a:xfrm>
                    <a:prstGeom prst="rect">
                      <a:avLst/>
                    </a:prstGeom>
                    <a:noFill/>
                    <a:ln w="9525">
                      <a:noFill/>
                      <a:miter lim="800000"/>
                      <a:headEnd/>
                      <a:tailEnd/>
                    </a:ln>
                  </pic:spPr>
                </pic:pic>
              </a:graphicData>
            </a:graphic>
          </wp:inline>
        </w:drawing>
      </w:r>
    </w:p>
    <w:p w:rsidR="00E46063" w:rsidRDefault="00E46063" w:rsidP="00E46063">
      <w:pPr>
        <w:jc w:val="both"/>
        <w:rPr>
          <w:rFonts w:cs="Arial"/>
          <w:sz w:val="20"/>
          <w:szCs w:val="22"/>
        </w:rPr>
      </w:pP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b/>
          <w:sz w:val="20"/>
          <w:szCs w:val="22"/>
        </w:rPr>
        <w:t>Figure D.</w:t>
      </w:r>
      <w:r>
        <w:rPr>
          <w:rFonts w:cs="Arial"/>
          <w:b/>
          <w:sz w:val="20"/>
          <w:szCs w:val="22"/>
        </w:rPr>
        <w:t>7</w:t>
      </w:r>
      <w:r w:rsidRPr="00B212F2">
        <w:rPr>
          <w:rFonts w:cs="Arial"/>
          <w:b/>
          <w:sz w:val="20"/>
          <w:szCs w:val="22"/>
        </w:rPr>
        <w:t xml:space="preserve"> </w:t>
      </w:r>
      <w:r w:rsidRPr="00B212F2">
        <w:rPr>
          <w:rFonts w:cs="Arial"/>
          <w:sz w:val="20"/>
          <w:szCs w:val="22"/>
        </w:rPr>
        <w:t>shows th</w:t>
      </w:r>
      <w:r>
        <w:rPr>
          <w:rFonts w:cs="Arial"/>
          <w:sz w:val="20"/>
          <w:szCs w:val="22"/>
        </w:rPr>
        <w:t>e net changes for the full per</w:t>
      </w:r>
      <w:r w:rsidRPr="00B212F2">
        <w:rPr>
          <w:rFonts w:cs="Arial"/>
          <w:sz w:val="20"/>
          <w:szCs w:val="22"/>
        </w:rPr>
        <w:t>iod from 198</w:t>
      </w:r>
      <w:r>
        <w:rPr>
          <w:rFonts w:cs="Arial"/>
          <w:sz w:val="20"/>
          <w:szCs w:val="22"/>
        </w:rPr>
        <w:t>2</w:t>
      </w:r>
      <w:r w:rsidRPr="00B212F2">
        <w:rPr>
          <w:rFonts w:cs="Arial"/>
          <w:sz w:val="20"/>
          <w:szCs w:val="22"/>
        </w:rPr>
        <w:t xml:space="preserve"> to 20</w:t>
      </w:r>
      <w:r>
        <w:rPr>
          <w:rFonts w:cs="Arial"/>
          <w:sz w:val="20"/>
          <w:szCs w:val="22"/>
        </w:rPr>
        <w:t>11.  All income groups gained in real terms, with the highest income group gaining much more than deciles 3-8, and the lowest income decile gaining the least.  The different growth rates show not only that income inequality is higher in 2011 than in 1982, but also that what has driven the net rise is what has happened at the top and bottom rather than in the middle 60% to 70% of incomes.</w:t>
      </w:r>
    </w:p>
    <w:p w:rsidR="00E46063" w:rsidRPr="00F0183F" w:rsidRDefault="00E46063" w:rsidP="00E46063">
      <w:pPr>
        <w:jc w:val="both"/>
        <w:rPr>
          <w:rFonts w:cs="Arial"/>
          <w:b/>
          <w:sz w:val="18"/>
          <w:szCs w:val="18"/>
        </w:rPr>
      </w:pPr>
    </w:p>
    <w:p w:rsidR="00E46063" w:rsidRPr="00B212F2" w:rsidRDefault="00E46063" w:rsidP="00E46063">
      <w:pPr>
        <w:jc w:val="center"/>
        <w:rPr>
          <w:rFonts w:cs="Arial"/>
          <w:b/>
          <w:sz w:val="18"/>
        </w:rPr>
      </w:pPr>
      <w:r w:rsidRPr="00B212F2">
        <w:rPr>
          <w:rFonts w:cs="Arial"/>
          <w:b/>
          <w:sz w:val="18"/>
        </w:rPr>
        <w:t>Figure D.</w:t>
      </w:r>
      <w:r>
        <w:rPr>
          <w:rFonts w:cs="Arial"/>
          <w:b/>
          <w:sz w:val="18"/>
        </w:rPr>
        <w:t>7</w:t>
      </w:r>
    </w:p>
    <w:p w:rsidR="00E46063" w:rsidRPr="00B212F2" w:rsidRDefault="00E46063" w:rsidP="00E46063">
      <w:pPr>
        <w:jc w:val="center"/>
        <w:rPr>
          <w:rFonts w:cs="Arial"/>
          <w:b/>
          <w:sz w:val="18"/>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changes for top of deciles,198</w:t>
      </w:r>
      <w:r>
        <w:rPr>
          <w:rFonts w:cs="Arial"/>
          <w:b/>
          <w:sz w:val="18"/>
        </w:rPr>
        <w:t>2</w:t>
      </w:r>
      <w:r w:rsidRPr="00B212F2">
        <w:rPr>
          <w:rFonts w:cs="Arial"/>
          <w:b/>
          <w:sz w:val="18"/>
        </w:rPr>
        <w:t xml:space="preserve"> to 20</w:t>
      </w:r>
      <w:r>
        <w:rPr>
          <w:rFonts w:cs="Arial"/>
          <w:b/>
          <w:sz w:val="18"/>
        </w:rPr>
        <w:t>11</w:t>
      </w:r>
    </w:p>
    <w:p w:rsidR="00E46063" w:rsidRPr="00811D01" w:rsidRDefault="00EC0BE0" w:rsidP="00E46063">
      <w:pPr>
        <w:spacing w:after="120"/>
        <w:jc w:val="center"/>
      </w:pPr>
      <w:r>
        <w:rPr>
          <w:noProof/>
          <w:lang w:val="en-US"/>
        </w:rPr>
        <w:drawing>
          <wp:inline distT="0" distB="0" distL="0" distR="0">
            <wp:extent cx="3600450" cy="2228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3600450" cy="2228850"/>
                    </a:xfrm>
                    <a:prstGeom prst="rect">
                      <a:avLst/>
                    </a:prstGeom>
                    <a:noFill/>
                    <a:ln w="9525">
                      <a:noFill/>
                      <a:miter lim="800000"/>
                      <a:headEnd/>
                      <a:tailEnd/>
                    </a:ln>
                  </pic:spPr>
                </pic:pic>
              </a:graphicData>
            </a:graphic>
          </wp:inline>
        </w:drawing>
      </w:r>
    </w:p>
    <w:p w:rsidR="00E46063" w:rsidRDefault="00E46063" w:rsidP="00E46063">
      <w:pPr>
        <w:spacing w:after="120"/>
        <w:jc w:val="both"/>
        <w:rPr>
          <w:rFonts w:cs="Arial"/>
          <w:b/>
          <w:sz w:val="20"/>
          <w:szCs w:val="22"/>
        </w:rPr>
      </w:pPr>
    </w:p>
    <w:p w:rsidR="00E46063" w:rsidRDefault="00E46063" w:rsidP="00E46063">
      <w:pPr>
        <w:jc w:val="both"/>
        <w:rPr>
          <w:rFonts w:cs="Arial"/>
          <w:sz w:val="20"/>
          <w:szCs w:val="22"/>
        </w:rPr>
      </w:pPr>
      <w:r>
        <w:rPr>
          <w:rFonts w:cs="Arial"/>
          <w:b/>
          <w:noProof/>
          <w:sz w:val="20"/>
          <w:szCs w:val="22"/>
          <w:lang w:val="en-AU" w:eastAsia="en-AU"/>
        </w:rPr>
        <w:pict>
          <v:shape id="_x0000_s1219" type="#_x0000_t202" style="position:absolute;left:0;text-align:left;margin-left:17.9pt;margin-top:.1pt;width:401.25pt;height:120.75pt;z-index:251664896">
            <v:textbox>
              <w:txbxContent>
                <w:p w:rsidR="00DE4A2A" w:rsidRPr="00192888" w:rsidRDefault="00DE4A2A" w:rsidP="00E46063">
                  <w:pPr>
                    <w:spacing w:before="60"/>
                    <w:jc w:val="center"/>
                    <w:rPr>
                      <w:rFonts w:cs="Arial"/>
                      <w:b/>
                      <w:sz w:val="20"/>
                      <w:szCs w:val="22"/>
                    </w:rPr>
                  </w:pPr>
                  <w:r w:rsidRPr="00192888">
                    <w:rPr>
                      <w:rFonts w:cs="Arial"/>
                      <w:b/>
                      <w:sz w:val="20"/>
                      <w:szCs w:val="22"/>
                    </w:rPr>
                    <w:t>Static and dynamic analysis</w:t>
                  </w:r>
                </w:p>
                <w:p w:rsidR="00DE4A2A" w:rsidRPr="00B212F2" w:rsidRDefault="00DE4A2A" w:rsidP="00E46063">
                  <w:pPr>
                    <w:spacing w:before="120"/>
                    <w:jc w:val="both"/>
                    <w:rPr>
                      <w:rFonts w:cs="Arial"/>
                      <w:sz w:val="20"/>
                      <w:szCs w:val="22"/>
                    </w:rPr>
                  </w:pPr>
                  <w:r>
                    <w:rPr>
                      <w:rFonts w:cs="Arial"/>
                      <w:sz w:val="20"/>
                      <w:szCs w:val="22"/>
                    </w:rPr>
                    <w:t xml:space="preserve">In interpreting the time series analysis that is based on the HES data (as above), it is important to understand that the HES provides repeat cross-sectional data with different people interviewed each survey. The HES does not follow the same households or individuals across time.  Some individuals do stay in roughly the same income band for many years, some move up and some move down.  </w:t>
                  </w:r>
                  <w:r w:rsidRPr="0074135C">
                    <w:rPr>
                      <w:rFonts w:cs="Arial"/>
                      <w:b/>
                      <w:sz w:val="20"/>
                      <w:szCs w:val="22"/>
                    </w:rPr>
                    <w:t>The degree of income mobility in New Zealand is discussed in</w:t>
                  </w:r>
                  <w:r>
                    <w:rPr>
                      <w:rFonts w:cs="Arial"/>
                      <w:sz w:val="20"/>
                      <w:szCs w:val="22"/>
                    </w:rPr>
                    <w:t xml:space="preserve"> </w:t>
                  </w:r>
                  <w:r w:rsidRPr="0074135C">
                    <w:rPr>
                      <w:rFonts w:cs="Arial"/>
                      <w:b/>
                      <w:sz w:val="20"/>
                      <w:szCs w:val="22"/>
                    </w:rPr>
                    <w:t xml:space="preserve">new Section </w:t>
                  </w:r>
                  <w:r>
                    <w:rPr>
                      <w:rFonts w:cs="Arial"/>
                      <w:b/>
                      <w:sz w:val="20"/>
                      <w:szCs w:val="22"/>
                    </w:rPr>
                    <w:t>L</w:t>
                  </w:r>
                  <w:r>
                    <w:rPr>
                      <w:rFonts w:cs="Arial"/>
                      <w:sz w:val="20"/>
                      <w:szCs w:val="22"/>
                    </w:rPr>
                    <w:t xml:space="preserve"> using longitudinal data from Statistics New Zealand’s survey of Family, Income and Employment (SoFIE).</w:t>
                  </w:r>
                </w:p>
                <w:p w:rsidR="00DE4A2A" w:rsidRDefault="00DE4A2A" w:rsidP="00E46063">
                  <w:pPr>
                    <w:jc w:val="both"/>
                  </w:pPr>
                </w:p>
              </w:txbxContent>
            </v:textbox>
          </v:shape>
        </w:pict>
      </w: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Default="00E46063" w:rsidP="00E46063">
      <w:pPr>
        <w:jc w:val="both"/>
        <w:rPr>
          <w:rFonts w:cs="Arial"/>
          <w:sz w:val="20"/>
          <w:szCs w:val="22"/>
        </w:rPr>
      </w:pPr>
    </w:p>
    <w:p w:rsidR="00E46063" w:rsidRPr="00B212F2" w:rsidRDefault="00E46063" w:rsidP="00E46063">
      <w:pPr>
        <w:spacing w:after="120"/>
        <w:jc w:val="both"/>
        <w:rPr>
          <w:rFonts w:cs="Arial"/>
          <w:sz w:val="20"/>
          <w:szCs w:val="22"/>
        </w:rPr>
      </w:pPr>
      <w:r>
        <w:rPr>
          <w:rFonts w:cs="Arial"/>
          <w:b/>
          <w:sz w:val="20"/>
          <w:szCs w:val="22"/>
        </w:rPr>
        <w:br w:type="page"/>
      </w:r>
      <w:r w:rsidRPr="00B212F2">
        <w:rPr>
          <w:rFonts w:cs="Arial"/>
          <w:b/>
          <w:sz w:val="20"/>
          <w:szCs w:val="22"/>
        </w:rPr>
        <w:lastRenderedPageBreak/>
        <w:t>Figure D.</w:t>
      </w:r>
      <w:r>
        <w:rPr>
          <w:rFonts w:cs="Arial"/>
          <w:b/>
          <w:sz w:val="20"/>
          <w:szCs w:val="22"/>
        </w:rPr>
        <w:t>8</w:t>
      </w:r>
      <w:r w:rsidRPr="00B212F2">
        <w:rPr>
          <w:rFonts w:cs="Arial"/>
          <w:b/>
          <w:sz w:val="20"/>
          <w:szCs w:val="22"/>
        </w:rPr>
        <w:t xml:space="preserve"> and Table D.2 </w:t>
      </w:r>
      <w:r w:rsidRPr="00B212F2">
        <w:rPr>
          <w:rFonts w:cs="Arial"/>
          <w:sz w:val="20"/>
          <w:szCs w:val="22"/>
        </w:rPr>
        <w:t>show the above analysis in a different way.  The increas</w:t>
      </w:r>
      <w:r>
        <w:rPr>
          <w:rFonts w:cs="Arial"/>
          <w:sz w:val="20"/>
          <w:szCs w:val="22"/>
        </w:rPr>
        <w:t>ed</w:t>
      </w:r>
      <w:r w:rsidRPr="00B212F2">
        <w:rPr>
          <w:rFonts w:cs="Arial"/>
          <w:sz w:val="20"/>
          <w:szCs w:val="22"/>
        </w:rPr>
        <w:t xml:space="preserve"> dispersion of household incomes </w:t>
      </w:r>
      <w:r>
        <w:rPr>
          <w:rFonts w:cs="Arial"/>
          <w:sz w:val="20"/>
          <w:szCs w:val="22"/>
        </w:rPr>
        <w:t xml:space="preserve">in 2011 compared with the 1980s is clear. </w:t>
      </w:r>
      <w:r w:rsidRPr="00B212F2">
        <w:rPr>
          <w:rFonts w:cs="Arial"/>
          <w:sz w:val="20"/>
          <w:szCs w:val="22"/>
        </w:rPr>
        <w:t xml:space="preserve"> For the period as a whole, incomes for households </w:t>
      </w:r>
      <w:r>
        <w:rPr>
          <w:rFonts w:cs="Arial"/>
          <w:sz w:val="20"/>
          <w:szCs w:val="22"/>
        </w:rPr>
        <w:t>in the top quintile</w:t>
      </w:r>
      <w:r w:rsidRPr="00B212F2">
        <w:rPr>
          <w:rFonts w:cs="Arial"/>
          <w:sz w:val="20"/>
          <w:szCs w:val="22"/>
        </w:rPr>
        <w:t xml:space="preserve"> increased proportionately much more than did the incomes of househo</w:t>
      </w:r>
      <w:r>
        <w:rPr>
          <w:rFonts w:cs="Arial"/>
          <w:sz w:val="20"/>
          <w:szCs w:val="22"/>
        </w:rPr>
        <w:t>lds in the lower-income deciles.</w:t>
      </w:r>
    </w:p>
    <w:p w:rsidR="00E46063" w:rsidRDefault="00E46063" w:rsidP="00E46063">
      <w:pPr>
        <w:jc w:val="both"/>
        <w:rPr>
          <w:rFonts w:cs="Arial"/>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8</w:t>
      </w:r>
    </w:p>
    <w:p w:rsidR="00E46063" w:rsidRPr="00B212F2" w:rsidRDefault="00E46063" w:rsidP="00E46063">
      <w:pPr>
        <w:jc w:val="center"/>
        <w:rPr>
          <w:rFonts w:cs="Arial"/>
          <w:b/>
          <w:sz w:val="18"/>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decile boundaries, 1982 to 20</w:t>
      </w:r>
      <w:r>
        <w:rPr>
          <w:rFonts w:cs="Arial"/>
          <w:b/>
          <w:sz w:val="18"/>
        </w:rPr>
        <w:t>11</w:t>
      </w:r>
    </w:p>
    <w:p w:rsidR="00E46063" w:rsidRPr="00710BBB" w:rsidRDefault="00EC0BE0" w:rsidP="00E46063">
      <w:pPr>
        <w:jc w:val="center"/>
        <w:rPr>
          <w:szCs w:val="22"/>
        </w:rPr>
      </w:pPr>
      <w:r>
        <w:rPr>
          <w:noProof/>
          <w:lang w:val="en-US"/>
        </w:rPr>
        <w:drawing>
          <wp:inline distT="0" distB="0" distL="0" distR="0">
            <wp:extent cx="4772025" cy="2943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4772025" cy="2943225"/>
                    </a:xfrm>
                    <a:prstGeom prst="rect">
                      <a:avLst/>
                    </a:prstGeom>
                    <a:noFill/>
                    <a:ln w="9525">
                      <a:noFill/>
                      <a:miter lim="800000"/>
                      <a:headEnd/>
                      <a:tailEnd/>
                    </a:ln>
                  </pic:spPr>
                </pic:pic>
              </a:graphicData>
            </a:graphic>
          </wp:inline>
        </w:drawing>
      </w:r>
    </w:p>
    <w:p w:rsidR="00E46063" w:rsidRDefault="00E46063" w:rsidP="00E46063">
      <w:pPr>
        <w:jc w:val="center"/>
        <w:rPr>
          <w:rFonts w:cs="Arial"/>
          <w:b/>
          <w:sz w:val="20"/>
        </w:rPr>
      </w:pPr>
    </w:p>
    <w:p w:rsidR="00E46063" w:rsidRDefault="00E46063" w:rsidP="00E46063">
      <w:pPr>
        <w:jc w:val="center"/>
        <w:rPr>
          <w:rFonts w:cs="Arial"/>
          <w:b/>
          <w:sz w:val="20"/>
        </w:rPr>
      </w:pPr>
    </w:p>
    <w:p w:rsidR="00E46063" w:rsidRPr="00B212F2" w:rsidRDefault="00E46063" w:rsidP="00E46063">
      <w:pPr>
        <w:jc w:val="center"/>
        <w:rPr>
          <w:rFonts w:cs="Arial"/>
          <w:b/>
          <w:sz w:val="18"/>
        </w:rPr>
      </w:pPr>
      <w:r w:rsidRPr="00B212F2">
        <w:rPr>
          <w:rFonts w:cs="Arial"/>
          <w:b/>
          <w:sz w:val="18"/>
        </w:rPr>
        <w:t>Table D.2</w:t>
      </w:r>
    </w:p>
    <w:p w:rsidR="00E46063" w:rsidRPr="00B212F2" w:rsidRDefault="00E46063" w:rsidP="00E46063">
      <w:pPr>
        <w:spacing w:after="120"/>
        <w:jc w:val="center"/>
        <w:rPr>
          <w:b/>
          <w:sz w:val="18"/>
        </w:rPr>
      </w:pPr>
      <w:r w:rsidRPr="00B212F2">
        <w:rPr>
          <w:rFonts w:cs="Arial"/>
          <w:b/>
          <w:sz w:val="18"/>
        </w:rPr>
        <w:t>Real equivalised household incomes (</w:t>
      </w:r>
      <w:smartTag w:uri="urn:schemas-microsoft-com:office:smarttags" w:element="stockticker">
        <w:r w:rsidRPr="00B212F2">
          <w:rPr>
            <w:rFonts w:cs="Arial"/>
            <w:b/>
            <w:sz w:val="18"/>
          </w:rPr>
          <w:t>BHC</w:t>
        </w:r>
      </w:smartTag>
      <w:r w:rsidRPr="00B212F2">
        <w:rPr>
          <w:rFonts w:cs="Arial"/>
          <w:b/>
          <w:sz w:val="18"/>
        </w:rPr>
        <w:t>): decile boundaries (20</w:t>
      </w:r>
      <w:r>
        <w:rPr>
          <w:rFonts w:cs="Arial"/>
          <w:b/>
          <w:sz w:val="18"/>
        </w:rPr>
        <w:t>11</w:t>
      </w:r>
      <w:r w:rsidRPr="00B212F2">
        <w:rPr>
          <w:rFonts w:cs="Arial"/>
          <w:b/>
          <w:sz w:val="18"/>
        </w:rPr>
        <w:t xml:space="preserve"> dollars)</w:t>
      </w:r>
    </w:p>
    <w:tbl>
      <w:tblPr>
        <w:tblStyle w:val="TableGrid"/>
        <w:tblW w:w="8671" w:type="dxa"/>
        <w:jc w:val="center"/>
        <w:tblLayout w:type="fixed"/>
        <w:tblLook w:val="01E0"/>
      </w:tblPr>
      <w:tblGrid>
        <w:gridCol w:w="450"/>
        <w:gridCol w:w="548"/>
        <w:gridCol w:w="548"/>
        <w:gridCol w:w="548"/>
        <w:gridCol w:w="548"/>
        <w:gridCol w:w="548"/>
        <w:gridCol w:w="548"/>
        <w:gridCol w:w="548"/>
        <w:gridCol w:w="548"/>
        <w:gridCol w:w="548"/>
        <w:gridCol w:w="548"/>
        <w:gridCol w:w="548"/>
        <w:gridCol w:w="548"/>
        <w:gridCol w:w="548"/>
        <w:gridCol w:w="548"/>
        <w:gridCol w:w="549"/>
      </w:tblGrid>
      <w:tr w:rsidR="00E46063">
        <w:trPr>
          <w:trHeight w:hRule="exact" w:val="317"/>
          <w:jc w:val="center"/>
        </w:trPr>
        <w:tc>
          <w:tcPr>
            <w:tcW w:w="450" w:type="dxa"/>
            <w:tcMar>
              <w:left w:w="14" w:type="dxa"/>
              <w:right w:w="14" w:type="dxa"/>
            </w:tcMar>
            <w:vAlign w:val="center"/>
          </w:tcPr>
          <w:p w:rsidR="00E46063" w:rsidRPr="00D817DC" w:rsidRDefault="00E46063" w:rsidP="00614C04">
            <w:pPr>
              <w:jc w:val="center"/>
              <w:rPr>
                <w:rFonts w:cs="Arial"/>
                <w:b/>
                <w:sz w:val="14"/>
                <w:szCs w:val="16"/>
              </w:rPr>
            </w:pPr>
          </w:p>
        </w:tc>
        <w:tc>
          <w:tcPr>
            <w:tcW w:w="548" w:type="dxa"/>
            <w:tcMar>
              <w:left w:w="14" w:type="dxa"/>
              <w:right w:w="14" w:type="dxa"/>
            </w:tcMar>
            <w:vAlign w:val="center"/>
          </w:tcPr>
          <w:p w:rsidR="00E46063" w:rsidRDefault="00E46063" w:rsidP="00614C04">
            <w:pPr>
              <w:jc w:val="center"/>
              <w:rPr>
                <w:rFonts w:cs="Arial"/>
                <w:b/>
                <w:sz w:val="14"/>
                <w:szCs w:val="16"/>
              </w:rPr>
            </w:pPr>
            <w:r>
              <w:rPr>
                <w:rFonts w:cs="Arial"/>
                <w:b/>
                <w:sz w:val="14"/>
                <w:szCs w:val="16"/>
              </w:rPr>
              <w:t>1982</w:t>
            </w:r>
          </w:p>
        </w:tc>
        <w:tc>
          <w:tcPr>
            <w:tcW w:w="548" w:type="dxa"/>
            <w:tcMar>
              <w:left w:w="14" w:type="dxa"/>
              <w:right w:w="14" w:type="dxa"/>
            </w:tcMar>
            <w:vAlign w:val="center"/>
          </w:tcPr>
          <w:p w:rsidR="00E46063" w:rsidRPr="00D817DC" w:rsidRDefault="00E46063" w:rsidP="00614C04">
            <w:pPr>
              <w:jc w:val="center"/>
              <w:rPr>
                <w:rFonts w:cs="Arial"/>
                <w:b/>
                <w:sz w:val="14"/>
                <w:szCs w:val="16"/>
              </w:rPr>
            </w:pPr>
            <w:r>
              <w:rPr>
                <w:rFonts w:cs="Arial"/>
                <w:b/>
                <w:sz w:val="14"/>
                <w:szCs w:val="16"/>
              </w:rPr>
              <w:t>1984</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1986</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1988</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1990</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1992</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1994</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1996</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1998</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2001</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2004</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2007</w:t>
            </w:r>
          </w:p>
        </w:tc>
        <w:tc>
          <w:tcPr>
            <w:tcW w:w="54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2009</w:t>
            </w:r>
          </w:p>
        </w:tc>
        <w:tc>
          <w:tcPr>
            <w:tcW w:w="548" w:type="dxa"/>
            <w:tcMar>
              <w:left w:w="14" w:type="dxa"/>
              <w:right w:w="14" w:type="dxa"/>
            </w:tcMar>
            <w:vAlign w:val="center"/>
          </w:tcPr>
          <w:p w:rsidR="00E46063" w:rsidRPr="00D817DC" w:rsidRDefault="00E46063" w:rsidP="00614C04">
            <w:pPr>
              <w:jc w:val="center"/>
              <w:rPr>
                <w:rFonts w:cs="Arial"/>
                <w:b/>
                <w:sz w:val="14"/>
                <w:szCs w:val="16"/>
              </w:rPr>
            </w:pPr>
            <w:r>
              <w:rPr>
                <w:rFonts w:cs="Arial"/>
                <w:b/>
                <w:sz w:val="14"/>
                <w:szCs w:val="16"/>
              </w:rPr>
              <w:t>2010</w:t>
            </w:r>
          </w:p>
        </w:tc>
        <w:tc>
          <w:tcPr>
            <w:tcW w:w="549" w:type="dxa"/>
            <w:tcMar>
              <w:left w:w="28" w:type="dxa"/>
              <w:right w:w="28" w:type="dxa"/>
            </w:tcMar>
            <w:vAlign w:val="center"/>
          </w:tcPr>
          <w:p w:rsidR="00E46063" w:rsidRDefault="00E46063" w:rsidP="00614C04">
            <w:pPr>
              <w:jc w:val="center"/>
              <w:rPr>
                <w:rFonts w:cs="Arial"/>
                <w:b/>
                <w:sz w:val="14"/>
                <w:szCs w:val="16"/>
              </w:rPr>
            </w:pPr>
            <w:r>
              <w:rPr>
                <w:rFonts w:cs="Arial"/>
                <w:b/>
                <w:sz w:val="14"/>
                <w:szCs w:val="16"/>
              </w:rPr>
              <w:t>2011</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P90</w:t>
            </w:r>
          </w:p>
        </w:tc>
        <w:tc>
          <w:tcPr>
            <w:tcW w:w="548" w:type="dxa"/>
            <w:tcMar>
              <w:left w:w="14" w:type="dxa"/>
              <w:right w:w="14" w:type="dxa"/>
            </w:tcMar>
            <w:vAlign w:val="center"/>
          </w:tcPr>
          <w:p w:rsidR="00E46063" w:rsidRDefault="00E46063" w:rsidP="00614C04">
            <w:pPr>
              <w:jc w:val="center"/>
              <w:rPr>
                <w:rFonts w:cs="Arial"/>
                <w:sz w:val="14"/>
                <w:szCs w:val="16"/>
              </w:rPr>
            </w:pPr>
            <w:r>
              <w:rPr>
                <w:rFonts w:cs="Arial"/>
                <w:sz w:val="14"/>
                <w:szCs w:val="16"/>
              </w:rPr>
              <w:t>47,900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48,000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45,900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46,200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50,200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47,100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45,900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49,300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52,300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55,200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58,000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60,500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66,100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64,000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66,000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P80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40,300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37,400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40,900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37,700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36,900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42,200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43,500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45,900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47,900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51,300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50,600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51,400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P70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35,000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34,100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31,800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34,100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33,600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31,400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34,900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36,200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42,800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43,000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43,500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P60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28,100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31,100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33,800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34,400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37,600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37,500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36,700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Pr>
                <w:b/>
                <w:sz w:val="14"/>
                <w:szCs w:val="16"/>
              </w:rPr>
              <w:t>P50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28,300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32,800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31,900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P40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28,400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29,100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27,900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P30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24,500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25,200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23,800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P20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16,300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20,900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19,900</w:t>
            </w:r>
          </w:p>
        </w:tc>
      </w:tr>
      <w:tr w:rsidR="00E46063">
        <w:trPr>
          <w:trHeight w:val="360"/>
          <w:jc w:val="center"/>
        </w:trPr>
        <w:tc>
          <w:tcPr>
            <w:tcW w:w="450"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P10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14,700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14,500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14,600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12,400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11,800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13,000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14,200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14,100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14,900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16,400</w:t>
            </w:r>
          </w:p>
        </w:tc>
        <w:tc>
          <w:tcPr>
            <w:tcW w:w="54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16,800</w:t>
            </w:r>
          </w:p>
        </w:tc>
        <w:tc>
          <w:tcPr>
            <w:tcW w:w="549" w:type="dxa"/>
            <w:tcMar>
              <w:left w:w="28" w:type="dxa"/>
              <w:right w:w="28" w:type="dxa"/>
            </w:tcMar>
            <w:vAlign w:val="center"/>
          </w:tcPr>
          <w:p w:rsidR="00E46063" w:rsidRDefault="00E46063" w:rsidP="00614C04">
            <w:pPr>
              <w:jc w:val="center"/>
              <w:rPr>
                <w:rFonts w:cs="Arial"/>
                <w:sz w:val="14"/>
                <w:szCs w:val="16"/>
              </w:rPr>
            </w:pPr>
            <w:r>
              <w:rPr>
                <w:rFonts w:cs="Arial"/>
                <w:sz w:val="14"/>
                <w:szCs w:val="16"/>
              </w:rPr>
              <w:t>16,600</w:t>
            </w:r>
          </w:p>
        </w:tc>
      </w:tr>
    </w:tbl>
    <w:p w:rsidR="00E46063" w:rsidRDefault="00E46063" w:rsidP="00E46063">
      <w:pPr>
        <w:jc w:val="both"/>
        <w:rPr>
          <w:rFonts w:cs="Arial"/>
          <w:b/>
          <w:szCs w:val="22"/>
        </w:rPr>
      </w:pPr>
    </w:p>
    <w:p w:rsidR="00E46063" w:rsidRDefault="00E46063" w:rsidP="00E46063">
      <w:pPr>
        <w:jc w:val="both"/>
        <w:rPr>
          <w:rFonts w:cs="Arial"/>
          <w:b/>
          <w:szCs w:val="22"/>
        </w:rPr>
      </w:pPr>
    </w:p>
    <w:p w:rsidR="00E46063" w:rsidRDefault="00E46063" w:rsidP="00E46063">
      <w:pPr>
        <w:jc w:val="both"/>
        <w:rPr>
          <w:rFonts w:cs="Arial"/>
          <w:b/>
          <w:szCs w:val="22"/>
        </w:rPr>
      </w:pPr>
    </w:p>
    <w:p w:rsidR="00E46063" w:rsidRDefault="00E46063" w:rsidP="00E46063">
      <w:pPr>
        <w:jc w:val="both"/>
        <w:rPr>
          <w:rFonts w:cs="Arial"/>
          <w:b/>
          <w:szCs w:val="22"/>
        </w:rPr>
      </w:pPr>
    </w:p>
    <w:p w:rsidR="00E46063" w:rsidRDefault="00E46063" w:rsidP="00E46063">
      <w:pPr>
        <w:jc w:val="both"/>
        <w:rPr>
          <w:rFonts w:cs="Arial"/>
          <w:b/>
          <w:szCs w:val="22"/>
        </w:rPr>
      </w:pPr>
    </w:p>
    <w:p w:rsidR="00E46063" w:rsidRDefault="00E46063" w:rsidP="00E46063">
      <w:pPr>
        <w:jc w:val="both"/>
        <w:rPr>
          <w:rFonts w:cs="Arial"/>
          <w:b/>
          <w:szCs w:val="22"/>
        </w:rPr>
      </w:pPr>
    </w:p>
    <w:p w:rsidR="00E46063" w:rsidRPr="00B212F2" w:rsidRDefault="00E46063" w:rsidP="00E46063">
      <w:pPr>
        <w:jc w:val="both"/>
        <w:rPr>
          <w:rFonts w:cs="Arial"/>
          <w:sz w:val="20"/>
          <w:szCs w:val="22"/>
        </w:rPr>
      </w:pPr>
      <w:r>
        <w:rPr>
          <w:rFonts w:cs="Arial"/>
          <w:b/>
          <w:sz w:val="20"/>
          <w:szCs w:val="22"/>
        </w:rPr>
        <w:br w:type="page"/>
      </w:r>
      <w:r w:rsidRPr="00B212F2">
        <w:rPr>
          <w:rFonts w:cs="Arial"/>
          <w:b/>
          <w:sz w:val="20"/>
          <w:szCs w:val="22"/>
        </w:rPr>
        <w:lastRenderedPageBreak/>
        <w:t>Table D.3</w:t>
      </w:r>
      <w:r w:rsidRPr="00B212F2">
        <w:rPr>
          <w:rFonts w:cs="Arial"/>
          <w:sz w:val="20"/>
          <w:szCs w:val="22"/>
        </w:rPr>
        <w:t xml:space="preserve"> translates the income information in Table D.2 into index form using various base years.  The numbers in the body of the table indicate the percentage gains or losses over a given period (119 means a 19% rise; 84 means a 16% fall, and so on).</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6E2617">
        <w:rPr>
          <w:rFonts w:cs="Arial"/>
          <w:sz w:val="20"/>
        </w:rPr>
        <w:t>A disadvantage of using upper decile boundaries is that the top of decile 10</w:t>
      </w:r>
      <w:r>
        <w:rPr>
          <w:rFonts w:cs="Arial"/>
          <w:sz w:val="20"/>
        </w:rPr>
        <w:t xml:space="preserve"> (P100)</w:t>
      </w:r>
      <w:r w:rsidRPr="006E2617">
        <w:rPr>
          <w:rFonts w:cs="Arial"/>
          <w:sz w:val="20"/>
        </w:rPr>
        <w:t xml:space="preserve"> is very volatile and it is not sensible to report that trend.  </w:t>
      </w:r>
      <w:r>
        <w:rPr>
          <w:rFonts w:cs="Arial"/>
          <w:sz w:val="20"/>
        </w:rPr>
        <w:t xml:space="preserve">In line with the graphs above, </w:t>
      </w:r>
      <w:r w:rsidRPr="006E2617">
        <w:rPr>
          <w:rFonts w:cs="Arial"/>
          <w:sz w:val="20"/>
        </w:rPr>
        <w:t>Table D.3 incorporates information on changes for P95 to give some indication of trends for the top decile</w:t>
      </w:r>
      <w:r>
        <w:rPr>
          <w:rFonts w:cs="Arial"/>
          <w:sz w:val="20"/>
        </w:rPr>
        <w:t>,</w:t>
      </w:r>
      <w:r w:rsidRPr="00B212F2">
        <w:rPr>
          <w:rFonts w:cs="Arial"/>
          <w:sz w:val="20"/>
          <w:szCs w:val="22"/>
        </w:rPr>
        <w:t xml:space="preserve"> while avoiding the misleading picture that reporting on P100 would give.</w:t>
      </w:r>
    </w:p>
    <w:p w:rsidR="00E46063" w:rsidRPr="006E2617" w:rsidRDefault="00E46063" w:rsidP="00E46063">
      <w:pPr>
        <w:jc w:val="both"/>
        <w:rPr>
          <w:rFonts w:cs="Arial"/>
          <w:sz w:val="20"/>
        </w:rPr>
      </w:pPr>
    </w:p>
    <w:p w:rsidR="00E46063" w:rsidRDefault="00E46063" w:rsidP="00E46063">
      <w:pPr>
        <w:spacing w:after="120"/>
        <w:jc w:val="both"/>
        <w:rPr>
          <w:rFonts w:cs="Arial"/>
          <w:szCs w:val="22"/>
        </w:rPr>
      </w:pPr>
    </w:p>
    <w:p w:rsidR="00E46063" w:rsidRPr="00B212F2" w:rsidRDefault="00E46063" w:rsidP="00E46063">
      <w:pPr>
        <w:jc w:val="center"/>
        <w:rPr>
          <w:sz w:val="20"/>
        </w:rPr>
      </w:pPr>
      <w:r w:rsidRPr="00B212F2">
        <w:rPr>
          <w:rFonts w:cs="Arial"/>
          <w:b/>
          <w:sz w:val="18"/>
        </w:rPr>
        <w:t>Table D.3</w:t>
      </w:r>
    </w:p>
    <w:p w:rsidR="00E46063" w:rsidRPr="00B212F2" w:rsidRDefault="00E46063" w:rsidP="00E46063">
      <w:pPr>
        <w:jc w:val="center"/>
        <w:rPr>
          <w:rFonts w:cs="Arial"/>
          <w:b/>
          <w:sz w:val="18"/>
        </w:rPr>
      </w:pPr>
      <w:r w:rsidRPr="00B212F2">
        <w:rPr>
          <w:rFonts w:cs="Arial"/>
          <w:b/>
          <w:sz w:val="18"/>
        </w:rPr>
        <w:t>Changes in real equivalised household incomes (</w:t>
      </w:r>
      <w:smartTag w:uri="urn:schemas-microsoft-com:office:smarttags" w:element="stockticker">
        <w:r w:rsidRPr="00B212F2">
          <w:rPr>
            <w:rFonts w:cs="Arial"/>
            <w:b/>
            <w:sz w:val="18"/>
          </w:rPr>
          <w:t>BHC</w:t>
        </w:r>
      </w:smartTag>
      <w:r w:rsidRPr="00B212F2">
        <w:rPr>
          <w:rFonts w:cs="Arial"/>
          <w:b/>
          <w:sz w:val="18"/>
        </w:rPr>
        <w:t>) relative to selected base years:</w:t>
      </w:r>
    </w:p>
    <w:p w:rsidR="00E46063" w:rsidRPr="00B212F2" w:rsidRDefault="00E46063" w:rsidP="00E46063">
      <w:pPr>
        <w:spacing w:after="120"/>
        <w:jc w:val="center"/>
        <w:rPr>
          <w:rFonts w:cs="Arial"/>
          <w:b/>
          <w:sz w:val="18"/>
        </w:rPr>
      </w:pPr>
      <w:r w:rsidRPr="00B212F2">
        <w:rPr>
          <w:rFonts w:cs="Arial"/>
          <w:b/>
          <w:sz w:val="18"/>
        </w:rPr>
        <w:t>index = 100 in base year</w:t>
      </w:r>
    </w:p>
    <w:tbl>
      <w:tblPr>
        <w:tblStyle w:val="TableGrid"/>
        <w:tblW w:w="0" w:type="auto"/>
        <w:jc w:val="center"/>
        <w:tblInd w:w="413" w:type="dxa"/>
        <w:tblLook w:val="01E0"/>
      </w:tblPr>
      <w:tblGrid>
        <w:gridCol w:w="1440"/>
        <w:gridCol w:w="1018"/>
        <w:gridCol w:w="613"/>
        <w:gridCol w:w="613"/>
        <w:gridCol w:w="614"/>
        <w:gridCol w:w="613"/>
        <w:gridCol w:w="614"/>
        <w:gridCol w:w="613"/>
        <w:gridCol w:w="614"/>
        <w:gridCol w:w="613"/>
        <w:gridCol w:w="614"/>
        <w:gridCol w:w="565"/>
      </w:tblGrid>
      <w:tr w:rsidR="00E46063">
        <w:trPr>
          <w:trHeight w:hRule="exact" w:val="346"/>
          <w:jc w:val="center"/>
        </w:trPr>
        <w:tc>
          <w:tcPr>
            <w:tcW w:w="1440" w:type="dxa"/>
            <w:vAlign w:val="center"/>
          </w:tcPr>
          <w:p w:rsidR="00E46063" w:rsidRPr="00276D7B" w:rsidRDefault="00E46063" w:rsidP="00614C04">
            <w:pPr>
              <w:jc w:val="center"/>
              <w:rPr>
                <w:b/>
                <w:sz w:val="14"/>
                <w:szCs w:val="16"/>
              </w:rPr>
            </w:pPr>
            <w:r w:rsidRPr="00276D7B">
              <w:rPr>
                <w:b/>
                <w:sz w:val="14"/>
                <w:szCs w:val="16"/>
              </w:rPr>
              <w:t>period</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 xml:space="preserve">base </w:t>
            </w:r>
            <w:r>
              <w:rPr>
                <w:sz w:val="14"/>
                <w:szCs w:val="16"/>
              </w:rPr>
              <w:t xml:space="preserve">HES </w:t>
            </w:r>
            <w:r w:rsidRPr="00276D7B">
              <w:rPr>
                <w:sz w:val="14"/>
                <w:szCs w:val="16"/>
              </w:rPr>
              <w:t>year</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P10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P20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P30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P40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P50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P60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P70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P80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P90</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P95</w:t>
            </w:r>
          </w:p>
        </w:tc>
      </w:tr>
      <w:tr w:rsidR="00E46063">
        <w:trPr>
          <w:trHeight w:hRule="exact" w:val="346"/>
          <w:jc w:val="center"/>
        </w:trPr>
        <w:tc>
          <w:tcPr>
            <w:tcW w:w="4911" w:type="dxa"/>
            <w:gridSpan w:val="6"/>
            <w:vAlign w:val="center"/>
          </w:tcPr>
          <w:p w:rsidR="00E46063" w:rsidRPr="00276D7B" w:rsidRDefault="00E46063" w:rsidP="00614C04">
            <w:pPr>
              <w:spacing w:before="40" w:after="40"/>
              <w:rPr>
                <w:b/>
                <w:sz w:val="14"/>
                <w:szCs w:val="16"/>
              </w:rPr>
            </w:pPr>
            <w:r w:rsidRPr="00276D7B">
              <w:rPr>
                <w:b/>
                <w:sz w:val="14"/>
                <w:szCs w:val="16"/>
              </w:rPr>
              <w:t>198</w:t>
            </w:r>
            <w:r>
              <w:rPr>
                <w:b/>
                <w:sz w:val="14"/>
                <w:szCs w:val="16"/>
              </w:rPr>
              <w:t>2</w:t>
            </w:r>
            <w:r w:rsidRPr="00276D7B">
              <w:rPr>
                <w:b/>
                <w:sz w:val="14"/>
                <w:szCs w:val="16"/>
              </w:rPr>
              <w:t>-201</w:t>
            </w:r>
            <w:r>
              <w:rPr>
                <w:b/>
                <w:sz w:val="14"/>
                <w:szCs w:val="16"/>
              </w:rPr>
              <w:t>1</w:t>
            </w:r>
            <w:r w:rsidRPr="00276D7B">
              <w:rPr>
                <w:b/>
                <w:sz w:val="14"/>
                <w:szCs w:val="16"/>
              </w:rPr>
              <w:t xml:space="preserve">: overall </w:t>
            </w:r>
          </w:p>
        </w:tc>
        <w:tc>
          <w:tcPr>
            <w:tcW w:w="614" w:type="dxa"/>
            <w:vAlign w:val="center"/>
          </w:tcPr>
          <w:p w:rsidR="00E46063" w:rsidRPr="00276D7B" w:rsidRDefault="00E46063" w:rsidP="00614C04">
            <w:pPr>
              <w:spacing w:before="40" w:after="40"/>
              <w:rPr>
                <w:b/>
                <w:sz w:val="14"/>
                <w:szCs w:val="16"/>
              </w:rPr>
            </w:pPr>
          </w:p>
        </w:tc>
        <w:tc>
          <w:tcPr>
            <w:tcW w:w="613" w:type="dxa"/>
            <w:vAlign w:val="center"/>
          </w:tcPr>
          <w:p w:rsidR="00E46063" w:rsidRPr="00276D7B" w:rsidRDefault="00E46063" w:rsidP="00614C04">
            <w:pPr>
              <w:spacing w:before="40" w:after="40"/>
              <w:rPr>
                <w:b/>
                <w:sz w:val="14"/>
                <w:szCs w:val="16"/>
              </w:rPr>
            </w:pPr>
          </w:p>
        </w:tc>
        <w:tc>
          <w:tcPr>
            <w:tcW w:w="614" w:type="dxa"/>
            <w:vAlign w:val="center"/>
          </w:tcPr>
          <w:p w:rsidR="00E46063" w:rsidRPr="00276D7B" w:rsidRDefault="00E46063" w:rsidP="00614C04">
            <w:pPr>
              <w:spacing w:before="40" w:after="40"/>
              <w:rPr>
                <w:b/>
                <w:sz w:val="14"/>
                <w:szCs w:val="16"/>
              </w:rPr>
            </w:pPr>
          </w:p>
        </w:tc>
        <w:tc>
          <w:tcPr>
            <w:tcW w:w="613" w:type="dxa"/>
            <w:vAlign w:val="center"/>
          </w:tcPr>
          <w:p w:rsidR="00E46063" w:rsidRPr="00276D7B" w:rsidRDefault="00E46063" w:rsidP="00614C04">
            <w:pPr>
              <w:spacing w:before="40" w:after="40"/>
              <w:rPr>
                <w:b/>
                <w:sz w:val="14"/>
                <w:szCs w:val="16"/>
              </w:rPr>
            </w:pPr>
          </w:p>
        </w:tc>
        <w:tc>
          <w:tcPr>
            <w:tcW w:w="614" w:type="dxa"/>
            <w:vAlign w:val="center"/>
          </w:tcPr>
          <w:p w:rsidR="00E46063" w:rsidRPr="00276D7B" w:rsidRDefault="00E46063" w:rsidP="00614C04">
            <w:pPr>
              <w:spacing w:before="40" w:after="40"/>
              <w:rPr>
                <w:b/>
                <w:sz w:val="14"/>
                <w:szCs w:val="16"/>
              </w:rPr>
            </w:pPr>
          </w:p>
        </w:tc>
        <w:tc>
          <w:tcPr>
            <w:tcW w:w="565" w:type="dxa"/>
            <w:vAlign w:val="center"/>
          </w:tcPr>
          <w:p w:rsidR="00E46063" w:rsidRPr="00276D7B" w:rsidRDefault="00E46063" w:rsidP="00614C04">
            <w:pPr>
              <w:spacing w:before="40" w:after="40"/>
              <w:rPr>
                <w:b/>
                <w:sz w:val="14"/>
                <w:szCs w:val="16"/>
              </w:rPr>
            </w:pP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198</w:t>
            </w:r>
            <w:r>
              <w:rPr>
                <w:sz w:val="14"/>
                <w:szCs w:val="16"/>
              </w:rPr>
              <w:t>2</w:t>
            </w:r>
            <w:r w:rsidRPr="00276D7B">
              <w:rPr>
                <w:sz w:val="14"/>
                <w:szCs w:val="16"/>
              </w:rPr>
              <w:t xml:space="preserve"> - 201</w:t>
            </w:r>
            <w:r>
              <w:rPr>
                <w:sz w:val="14"/>
                <w:szCs w:val="16"/>
              </w:rPr>
              <w:t>1</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198</w:t>
            </w:r>
            <w:r>
              <w:rPr>
                <w:sz w:val="14"/>
                <w:szCs w:val="16"/>
              </w:rPr>
              <w:t>2</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113</w:t>
            </w:r>
          </w:p>
        </w:tc>
        <w:tc>
          <w:tcPr>
            <w:tcW w:w="613" w:type="dxa"/>
            <w:vAlign w:val="center"/>
          </w:tcPr>
          <w:p w:rsidR="00E46063" w:rsidRPr="00276D7B" w:rsidRDefault="00E46063" w:rsidP="00614C04">
            <w:pPr>
              <w:spacing w:before="40" w:after="40"/>
              <w:jc w:val="center"/>
              <w:rPr>
                <w:sz w:val="14"/>
                <w:szCs w:val="16"/>
              </w:rPr>
            </w:pPr>
            <w:r>
              <w:rPr>
                <w:sz w:val="14"/>
                <w:szCs w:val="16"/>
              </w:rPr>
              <w:t>115</w:t>
            </w:r>
          </w:p>
        </w:tc>
        <w:tc>
          <w:tcPr>
            <w:tcW w:w="614" w:type="dxa"/>
            <w:vAlign w:val="center"/>
          </w:tcPr>
          <w:p w:rsidR="00E46063" w:rsidRPr="00276D7B" w:rsidRDefault="00E46063" w:rsidP="00614C04">
            <w:pPr>
              <w:spacing w:before="40" w:after="40"/>
              <w:jc w:val="center"/>
              <w:rPr>
                <w:sz w:val="14"/>
                <w:szCs w:val="16"/>
              </w:rPr>
            </w:pPr>
            <w:r>
              <w:rPr>
                <w:sz w:val="14"/>
                <w:szCs w:val="16"/>
              </w:rPr>
              <w:t>117</w:t>
            </w:r>
          </w:p>
        </w:tc>
        <w:tc>
          <w:tcPr>
            <w:tcW w:w="613" w:type="dxa"/>
            <w:vAlign w:val="center"/>
          </w:tcPr>
          <w:p w:rsidR="00E46063" w:rsidRPr="00276D7B" w:rsidRDefault="00E46063" w:rsidP="00614C04">
            <w:pPr>
              <w:spacing w:before="40" w:after="40"/>
              <w:jc w:val="center"/>
              <w:rPr>
                <w:sz w:val="14"/>
                <w:szCs w:val="16"/>
              </w:rPr>
            </w:pPr>
            <w:r>
              <w:rPr>
                <w:sz w:val="14"/>
                <w:szCs w:val="16"/>
              </w:rPr>
              <w:t>119</w:t>
            </w:r>
          </w:p>
        </w:tc>
        <w:tc>
          <w:tcPr>
            <w:tcW w:w="614" w:type="dxa"/>
            <w:vAlign w:val="center"/>
          </w:tcPr>
          <w:p w:rsidR="00E46063" w:rsidRPr="00276D7B" w:rsidRDefault="00E46063" w:rsidP="00614C04">
            <w:pPr>
              <w:spacing w:before="40" w:after="40"/>
              <w:jc w:val="center"/>
              <w:rPr>
                <w:sz w:val="14"/>
                <w:szCs w:val="16"/>
              </w:rPr>
            </w:pPr>
            <w:r>
              <w:rPr>
                <w:sz w:val="14"/>
                <w:szCs w:val="16"/>
              </w:rPr>
              <w:t>120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12</w:t>
            </w:r>
            <w:r>
              <w:rPr>
                <w:sz w:val="14"/>
                <w:szCs w:val="16"/>
              </w:rPr>
              <w:t>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12</w:t>
            </w:r>
            <w:r>
              <w:rPr>
                <w:sz w:val="14"/>
                <w:szCs w:val="16"/>
              </w:rPr>
              <w:t>5</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28</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13</w:t>
            </w:r>
            <w:r>
              <w:rPr>
                <w:sz w:val="14"/>
                <w:szCs w:val="16"/>
              </w:rPr>
              <w:t>8</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15</w:t>
            </w:r>
            <w:r>
              <w:rPr>
                <w:sz w:val="14"/>
                <w:szCs w:val="16"/>
              </w:rPr>
              <w:t>0</w:t>
            </w:r>
          </w:p>
        </w:tc>
      </w:tr>
      <w:tr w:rsidR="00E46063">
        <w:trPr>
          <w:trHeight w:hRule="exact" w:val="346"/>
          <w:jc w:val="center"/>
        </w:trPr>
        <w:tc>
          <w:tcPr>
            <w:tcW w:w="2458" w:type="dxa"/>
            <w:gridSpan w:val="2"/>
            <w:vAlign w:val="center"/>
          </w:tcPr>
          <w:p w:rsidR="00E46063" w:rsidRPr="00276D7B" w:rsidRDefault="00E46063" w:rsidP="00614C04">
            <w:pPr>
              <w:spacing w:before="40" w:after="40"/>
              <w:rPr>
                <w:b/>
                <w:sz w:val="14"/>
                <w:szCs w:val="16"/>
              </w:rPr>
            </w:pPr>
            <w:r w:rsidRPr="00276D7B">
              <w:rPr>
                <w:b/>
                <w:sz w:val="14"/>
                <w:szCs w:val="16"/>
              </w:rPr>
              <w:t>Relative to low point in 1994</w:t>
            </w:r>
          </w:p>
        </w:tc>
        <w:tc>
          <w:tcPr>
            <w:tcW w:w="613" w:type="dxa"/>
            <w:vAlign w:val="center"/>
          </w:tcPr>
          <w:p w:rsidR="00E46063" w:rsidRPr="00276D7B" w:rsidRDefault="00E46063" w:rsidP="00614C04">
            <w:pPr>
              <w:spacing w:before="40" w:after="40"/>
              <w:jc w:val="center"/>
              <w:rPr>
                <w:sz w:val="14"/>
                <w:szCs w:val="16"/>
              </w:rPr>
            </w:pPr>
          </w:p>
        </w:tc>
        <w:tc>
          <w:tcPr>
            <w:tcW w:w="613" w:type="dxa"/>
            <w:vAlign w:val="center"/>
          </w:tcPr>
          <w:p w:rsidR="00E46063" w:rsidRPr="00276D7B" w:rsidRDefault="00E46063" w:rsidP="00614C04">
            <w:pPr>
              <w:spacing w:before="40" w:after="40"/>
              <w:jc w:val="center"/>
              <w:rPr>
                <w:sz w:val="14"/>
                <w:szCs w:val="16"/>
              </w:rPr>
            </w:pPr>
          </w:p>
        </w:tc>
        <w:tc>
          <w:tcPr>
            <w:tcW w:w="614" w:type="dxa"/>
            <w:vAlign w:val="center"/>
          </w:tcPr>
          <w:p w:rsidR="00E46063" w:rsidRPr="00276D7B" w:rsidRDefault="00E46063" w:rsidP="00614C04">
            <w:pPr>
              <w:spacing w:before="40" w:after="40"/>
              <w:jc w:val="center"/>
              <w:rPr>
                <w:sz w:val="14"/>
                <w:szCs w:val="16"/>
              </w:rPr>
            </w:pPr>
          </w:p>
        </w:tc>
        <w:tc>
          <w:tcPr>
            <w:tcW w:w="613" w:type="dxa"/>
            <w:vAlign w:val="center"/>
          </w:tcPr>
          <w:p w:rsidR="00E46063" w:rsidRPr="00276D7B" w:rsidRDefault="00E46063" w:rsidP="00614C04">
            <w:pPr>
              <w:spacing w:before="40" w:after="40"/>
              <w:jc w:val="center"/>
              <w:rPr>
                <w:sz w:val="14"/>
                <w:szCs w:val="16"/>
              </w:rPr>
            </w:pPr>
          </w:p>
        </w:tc>
        <w:tc>
          <w:tcPr>
            <w:tcW w:w="614" w:type="dxa"/>
            <w:vAlign w:val="center"/>
          </w:tcPr>
          <w:p w:rsidR="00E46063" w:rsidRPr="00276D7B" w:rsidRDefault="00E46063" w:rsidP="00614C04">
            <w:pPr>
              <w:spacing w:before="40" w:after="40"/>
              <w:jc w:val="center"/>
              <w:rPr>
                <w:sz w:val="14"/>
                <w:szCs w:val="16"/>
              </w:rPr>
            </w:pPr>
          </w:p>
        </w:tc>
        <w:tc>
          <w:tcPr>
            <w:tcW w:w="613" w:type="dxa"/>
            <w:vAlign w:val="center"/>
          </w:tcPr>
          <w:p w:rsidR="00E46063" w:rsidRPr="00276D7B" w:rsidRDefault="00E46063" w:rsidP="00614C04">
            <w:pPr>
              <w:spacing w:before="40" w:after="40"/>
              <w:jc w:val="center"/>
              <w:rPr>
                <w:sz w:val="14"/>
                <w:szCs w:val="16"/>
              </w:rPr>
            </w:pPr>
          </w:p>
        </w:tc>
        <w:tc>
          <w:tcPr>
            <w:tcW w:w="614" w:type="dxa"/>
            <w:vAlign w:val="center"/>
          </w:tcPr>
          <w:p w:rsidR="00E46063" w:rsidRPr="00276D7B" w:rsidRDefault="00E46063" w:rsidP="00614C04">
            <w:pPr>
              <w:spacing w:before="40" w:after="40"/>
              <w:jc w:val="center"/>
              <w:rPr>
                <w:sz w:val="14"/>
                <w:szCs w:val="16"/>
              </w:rPr>
            </w:pPr>
          </w:p>
        </w:tc>
        <w:tc>
          <w:tcPr>
            <w:tcW w:w="613" w:type="dxa"/>
            <w:vAlign w:val="center"/>
          </w:tcPr>
          <w:p w:rsidR="00E46063" w:rsidRPr="00276D7B" w:rsidRDefault="00E46063" w:rsidP="00614C04">
            <w:pPr>
              <w:spacing w:before="40" w:after="40"/>
              <w:jc w:val="center"/>
              <w:rPr>
                <w:sz w:val="14"/>
                <w:szCs w:val="16"/>
              </w:rPr>
            </w:pPr>
          </w:p>
        </w:tc>
        <w:tc>
          <w:tcPr>
            <w:tcW w:w="614" w:type="dxa"/>
            <w:vAlign w:val="center"/>
          </w:tcPr>
          <w:p w:rsidR="00E46063" w:rsidRPr="00276D7B" w:rsidRDefault="00E46063" w:rsidP="00614C04">
            <w:pPr>
              <w:spacing w:before="40" w:after="40"/>
              <w:jc w:val="center"/>
              <w:rPr>
                <w:sz w:val="14"/>
                <w:szCs w:val="16"/>
              </w:rPr>
            </w:pPr>
          </w:p>
        </w:tc>
        <w:tc>
          <w:tcPr>
            <w:tcW w:w="565" w:type="dxa"/>
            <w:vAlign w:val="center"/>
          </w:tcPr>
          <w:p w:rsidR="00E46063" w:rsidRPr="00276D7B" w:rsidRDefault="00E46063" w:rsidP="00614C04">
            <w:pPr>
              <w:spacing w:before="40" w:after="40"/>
              <w:jc w:val="center"/>
              <w:rPr>
                <w:sz w:val="14"/>
                <w:szCs w:val="16"/>
              </w:rPr>
            </w:pP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1988 - 1994</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1988</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80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84</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81</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82</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85</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87</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90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95</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99</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103</w:t>
            </w: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1994 - 20</w:t>
            </w:r>
            <w:r>
              <w:rPr>
                <w:sz w:val="14"/>
                <w:szCs w:val="16"/>
              </w:rPr>
              <w:t>09</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1994</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39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39</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15</w:t>
            </w:r>
            <w:r>
              <w:rPr>
                <w:sz w:val="14"/>
                <w:szCs w:val="16"/>
              </w:rPr>
              <w:t>1</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15</w:t>
            </w:r>
            <w:r>
              <w:rPr>
                <w:sz w:val="14"/>
                <w:szCs w:val="16"/>
              </w:rPr>
              <w:t>1</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14</w:t>
            </w:r>
            <w:r>
              <w:rPr>
                <w:sz w:val="14"/>
                <w:szCs w:val="16"/>
              </w:rPr>
              <w:t>6</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143</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39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13</w:t>
            </w:r>
            <w:r>
              <w:rPr>
                <w:sz w:val="14"/>
                <w:szCs w:val="16"/>
              </w:rPr>
              <w:t>9</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14</w:t>
            </w:r>
            <w:r>
              <w:rPr>
                <w:sz w:val="14"/>
                <w:szCs w:val="16"/>
              </w:rPr>
              <w:t>4</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14</w:t>
            </w:r>
            <w:r>
              <w:rPr>
                <w:sz w:val="14"/>
                <w:szCs w:val="16"/>
              </w:rPr>
              <w:t>9</w:t>
            </w:r>
          </w:p>
        </w:tc>
      </w:tr>
      <w:tr w:rsidR="00E46063">
        <w:trPr>
          <w:trHeight w:hRule="exact" w:val="346"/>
          <w:jc w:val="center"/>
        </w:trPr>
        <w:tc>
          <w:tcPr>
            <w:tcW w:w="6752" w:type="dxa"/>
            <w:gridSpan w:val="9"/>
            <w:vAlign w:val="center"/>
          </w:tcPr>
          <w:p w:rsidR="00E46063" w:rsidRPr="00276D7B" w:rsidRDefault="00E46063" w:rsidP="00614C04">
            <w:pPr>
              <w:spacing w:before="40" w:after="40"/>
              <w:rPr>
                <w:sz w:val="14"/>
                <w:szCs w:val="16"/>
              </w:rPr>
            </w:pPr>
            <w:r w:rsidRPr="00276D7B">
              <w:rPr>
                <w:b/>
                <w:sz w:val="14"/>
                <w:szCs w:val="16"/>
              </w:rPr>
              <w:t>Relative to 2001, the year the median returned to what it had been in the late 1980s</w:t>
            </w:r>
          </w:p>
        </w:tc>
        <w:tc>
          <w:tcPr>
            <w:tcW w:w="613" w:type="dxa"/>
            <w:vAlign w:val="center"/>
          </w:tcPr>
          <w:p w:rsidR="00E46063" w:rsidRPr="00276D7B" w:rsidRDefault="00E46063" w:rsidP="00614C04">
            <w:pPr>
              <w:spacing w:before="40" w:after="40"/>
              <w:jc w:val="center"/>
              <w:rPr>
                <w:sz w:val="14"/>
                <w:szCs w:val="16"/>
              </w:rPr>
            </w:pPr>
          </w:p>
        </w:tc>
        <w:tc>
          <w:tcPr>
            <w:tcW w:w="614" w:type="dxa"/>
            <w:vAlign w:val="center"/>
          </w:tcPr>
          <w:p w:rsidR="00E46063" w:rsidRPr="00276D7B" w:rsidRDefault="00E46063" w:rsidP="00614C04">
            <w:pPr>
              <w:spacing w:before="40" w:after="40"/>
              <w:jc w:val="center"/>
              <w:rPr>
                <w:sz w:val="14"/>
                <w:szCs w:val="16"/>
              </w:rPr>
            </w:pPr>
          </w:p>
        </w:tc>
        <w:tc>
          <w:tcPr>
            <w:tcW w:w="565" w:type="dxa"/>
            <w:vAlign w:val="center"/>
          </w:tcPr>
          <w:p w:rsidR="00E46063" w:rsidRPr="00276D7B" w:rsidRDefault="00E46063" w:rsidP="00614C04">
            <w:pPr>
              <w:spacing w:before="40" w:after="40"/>
              <w:jc w:val="center"/>
              <w:rPr>
                <w:sz w:val="14"/>
                <w:szCs w:val="16"/>
              </w:rPr>
            </w:pP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1988 - 2001</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1988</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95</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93</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94</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97</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101</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104</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106</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111</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120</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124</w:t>
            </w: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2001 - 201</w:t>
            </w:r>
            <w:r>
              <w:rPr>
                <w:sz w:val="14"/>
                <w:szCs w:val="16"/>
              </w:rPr>
              <w:t>0</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2001</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129</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134</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132</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125</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120</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119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116</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116</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124</w:t>
            </w:r>
          </w:p>
        </w:tc>
      </w:tr>
      <w:tr w:rsidR="00E46063">
        <w:trPr>
          <w:trHeight w:hRule="exact" w:val="346"/>
          <w:jc w:val="center"/>
        </w:trPr>
        <w:tc>
          <w:tcPr>
            <w:tcW w:w="8544" w:type="dxa"/>
            <w:gridSpan w:val="12"/>
            <w:vAlign w:val="center"/>
          </w:tcPr>
          <w:p w:rsidR="00E46063" w:rsidRPr="00276D7B" w:rsidRDefault="00E46063" w:rsidP="00614C04">
            <w:pPr>
              <w:spacing w:before="40" w:after="40"/>
              <w:rPr>
                <w:sz w:val="14"/>
                <w:szCs w:val="16"/>
              </w:rPr>
            </w:pPr>
            <w:r w:rsidRPr="00276D7B">
              <w:rPr>
                <w:b/>
                <w:sz w:val="14"/>
                <w:szCs w:val="16"/>
              </w:rPr>
              <w:t>The Working for Families impact (as seen in the greater gains for low to middle income HHs)</w:t>
            </w: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2004 - 2007</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2004</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113</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115</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117</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115</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105</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109</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108</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109</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112</w:t>
            </w:r>
          </w:p>
        </w:tc>
      </w:tr>
      <w:tr w:rsidR="00E46063">
        <w:trPr>
          <w:trHeight w:hRule="exact" w:val="346"/>
          <w:jc w:val="center"/>
        </w:trPr>
        <w:tc>
          <w:tcPr>
            <w:tcW w:w="8544" w:type="dxa"/>
            <w:gridSpan w:val="12"/>
            <w:vAlign w:val="center"/>
          </w:tcPr>
          <w:p w:rsidR="00E46063" w:rsidRPr="00276D7B" w:rsidRDefault="00E46063" w:rsidP="00614C04">
            <w:pPr>
              <w:spacing w:before="40" w:after="40"/>
              <w:rPr>
                <w:b/>
                <w:sz w:val="14"/>
                <w:szCs w:val="16"/>
              </w:rPr>
            </w:pPr>
            <w:r w:rsidRPr="00276D7B">
              <w:rPr>
                <w:b/>
                <w:sz w:val="14"/>
                <w:szCs w:val="16"/>
              </w:rPr>
              <w:t xml:space="preserve">After the WFF implementation through to </w:t>
            </w:r>
            <w:r>
              <w:rPr>
                <w:b/>
                <w:sz w:val="14"/>
                <w:szCs w:val="16"/>
              </w:rPr>
              <w:t>impact of recession on incomes from HES 2009 to HES 2011</w:t>
            </w:r>
            <w:r w:rsidRPr="00276D7B">
              <w:rPr>
                <w:b/>
                <w:sz w:val="14"/>
                <w:szCs w:val="16"/>
              </w:rPr>
              <w:t xml:space="preserve"> </w:t>
            </w: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sidRPr="00276D7B">
              <w:rPr>
                <w:sz w:val="14"/>
                <w:szCs w:val="16"/>
              </w:rPr>
              <w:t>2007 - 20</w:t>
            </w:r>
            <w:r>
              <w:rPr>
                <w:sz w:val="14"/>
                <w:szCs w:val="16"/>
              </w:rPr>
              <w:t>09</w:t>
            </w:r>
          </w:p>
        </w:tc>
        <w:tc>
          <w:tcPr>
            <w:tcW w:w="1018" w:type="dxa"/>
            <w:vAlign w:val="center"/>
          </w:tcPr>
          <w:p w:rsidR="00E46063" w:rsidRPr="00276D7B" w:rsidRDefault="00E46063" w:rsidP="00614C04">
            <w:pPr>
              <w:spacing w:before="40" w:after="40"/>
              <w:jc w:val="center"/>
              <w:rPr>
                <w:sz w:val="14"/>
                <w:szCs w:val="16"/>
              </w:rPr>
            </w:pPr>
            <w:r w:rsidRPr="00276D7B">
              <w:rPr>
                <w:sz w:val="14"/>
                <w:szCs w:val="16"/>
              </w:rPr>
              <w:t>2007</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10</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08</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07</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07</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w:t>
            </w:r>
            <w:r>
              <w:rPr>
                <w:sz w:val="14"/>
                <w:szCs w:val="16"/>
              </w:rPr>
              <w:t>08</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10</w:t>
            </w:r>
            <w:r>
              <w:rPr>
                <w:sz w:val="14"/>
                <w:szCs w:val="16"/>
              </w:rPr>
              <w:t>8</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w:t>
            </w:r>
            <w:r>
              <w:rPr>
                <w:sz w:val="14"/>
                <w:szCs w:val="16"/>
              </w:rPr>
              <w:t>7</w:t>
            </w:r>
          </w:p>
        </w:tc>
        <w:tc>
          <w:tcPr>
            <w:tcW w:w="613" w:type="dxa"/>
            <w:vAlign w:val="center"/>
          </w:tcPr>
          <w:p w:rsidR="00E46063" w:rsidRPr="00276D7B" w:rsidRDefault="00E46063" w:rsidP="00614C04">
            <w:pPr>
              <w:spacing w:before="40" w:after="40"/>
              <w:jc w:val="center"/>
              <w:rPr>
                <w:sz w:val="14"/>
                <w:szCs w:val="16"/>
              </w:rPr>
            </w:pPr>
            <w:r w:rsidRPr="00276D7B">
              <w:rPr>
                <w:sz w:val="14"/>
                <w:szCs w:val="16"/>
              </w:rPr>
              <w:t>106</w:t>
            </w:r>
          </w:p>
        </w:tc>
        <w:tc>
          <w:tcPr>
            <w:tcW w:w="614" w:type="dxa"/>
            <w:vAlign w:val="center"/>
          </w:tcPr>
          <w:p w:rsidR="00E46063" w:rsidRPr="00276D7B" w:rsidRDefault="00E46063" w:rsidP="00614C04">
            <w:pPr>
              <w:spacing w:before="40" w:after="40"/>
              <w:jc w:val="center"/>
              <w:rPr>
                <w:sz w:val="14"/>
                <w:szCs w:val="16"/>
              </w:rPr>
            </w:pPr>
            <w:r w:rsidRPr="00276D7B">
              <w:rPr>
                <w:sz w:val="14"/>
                <w:szCs w:val="16"/>
              </w:rPr>
              <w:t>10</w:t>
            </w:r>
            <w:r>
              <w:rPr>
                <w:sz w:val="14"/>
                <w:szCs w:val="16"/>
              </w:rPr>
              <w:t>9</w:t>
            </w:r>
          </w:p>
        </w:tc>
        <w:tc>
          <w:tcPr>
            <w:tcW w:w="565" w:type="dxa"/>
            <w:vAlign w:val="center"/>
          </w:tcPr>
          <w:p w:rsidR="00E46063" w:rsidRPr="00276D7B" w:rsidRDefault="00E46063" w:rsidP="00614C04">
            <w:pPr>
              <w:spacing w:before="40" w:after="40"/>
              <w:jc w:val="center"/>
              <w:rPr>
                <w:sz w:val="14"/>
                <w:szCs w:val="16"/>
              </w:rPr>
            </w:pPr>
            <w:r w:rsidRPr="00276D7B">
              <w:rPr>
                <w:sz w:val="14"/>
                <w:szCs w:val="16"/>
              </w:rPr>
              <w:t>110</w:t>
            </w:r>
          </w:p>
        </w:tc>
      </w:tr>
      <w:tr w:rsidR="00E46063">
        <w:trPr>
          <w:trHeight w:hRule="exact" w:val="346"/>
          <w:jc w:val="center"/>
        </w:trPr>
        <w:tc>
          <w:tcPr>
            <w:tcW w:w="1440" w:type="dxa"/>
            <w:vAlign w:val="center"/>
          </w:tcPr>
          <w:p w:rsidR="00E46063" w:rsidRPr="00276D7B" w:rsidRDefault="00E46063" w:rsidP="00614C04">
            <w:pPr>
              <w:spacing w:before="40" w:after="40"/>
              <w:jc w:val="center"/>
              <w:rPr>
                <w:sz w:val="14"/>
                <w:szCs w:val="16"/>
              </w:rPr>
            </w:pPr>
            <w:r>
              <w:rPr>
                <w:sz w:val="14"/>
                <w:szCs w:val="16"/>
              </w:rPr>
              <w:t>2009 - 2011</w:t>
            </w:r>
          </w:p>
        </w:tc>
        <w:tc>
          <w:tcPr>
            <w:tcW w:w="1018" w:type="dxa"/>
            <w:vAlign w:val="center"/>
          </w:tcPr>
          <w:p w:rsidR="00E46063" w:rsidRPr="00276D7B" w:rsidRDefault="00E46063" w:rsidP="00614C04">
            <w:pPr>
              <w:spacing w:before="40" w:after="40"/>
              <w:jc w:val="center"/>
              <w:rPr>
                <w:sz w:val="14"/>
                <w:szCs w:val="16"/>
              </w:rPr>
            </w:pPr>
            <w:r>
              <w:rPr>
                <w:sz w:val="14"/>
                <w:szCs w:val="16"/>
              </w:rPr>
              <w:t>2009</w:t>
            </w:r>
          </w:p>
        </w:tc>
        <w:tc>
          <w:tcPr>
            <w:tcW w:w="613" w:type="dxa"/>
            <w:vAlign w:val="center"/>
          </w:tcPr>
          <w:p w:rsidR="00E46063" w:rsidRPr="00276D7B" w:rsidRDefault="00E46063" w:rsidP="00614C04">
            <w:pPr>
              <w:spacing w:before="40" w:after="40"/>
              <w:jc w:val="center"/>
              <w:rPr>
                <w:sz w:val="14"/>
                <w:szCs w:val="16"/>
              </w:rPr>
            </w:pPr>
            <w:r>
              <w:rPr>
                <w:sz w:val="14"/>
                <w:szCs w:val="16"/>
              </w:rPr>
              <w:t>101</w:t>
            </w:r>
          </w:p>
        </w:tc>
        <w:tc>
          <w:tcPr>
            <w:tcW w:w="613" w:type="dxa"/>
            <w:vAlign w:val="center"/>
          </w:tcPr>
          <w:p w:rsidR="00E46063" w:rsidRPr="00276D7B" w:rsidRDefault="00E46063" w:rsidP="00614C04">
            <w:pPr>
              <w:spacing w:before="40" w:after="40"/>
              <w:jc w:val="center"/>
              <w:rPr>
                <w:sz w:val="14"/>
                <w:szCs w:val="16"/>
              </w:rPr>
            </w:pPr>
            <w:r>
              <w:rPr>
                <w:sz w:val="14"/>
                <w:szCs w:val="16"/>
              </w:rPr>
              <w:t>98</w:t>
            </w:r>
          </w:p>
        </w:tc>
        <w:tc>
          <w:tcPr>
            <w:tcW w:w="614" w:type="dxa"/>
            <w:vAlign w:val="center"/>
          </w:tcPr>
          <w:p w:rsidR="00E46063" w:rsidRPr="00276D7B" w:rsidRDefault="00E46063" w:rsidP="00614C04">
            <w:pPr>
              <w:spacing w:before="40" w:after="40"/>
              <w:jc w:val="center"/>
              <w:rPr>
                <w:sz w:val="14"/>
                <w:szCs w:val="16"/>
              </w:rPr>
            </w:pPr>
            <w:r>
              <w:rPr>
                <w:sz w:val="14"/>
                <w:szCs w:val="16"/>
              </w:rPr>
              <w:t>97</w:t>
            </w:r>
          </w:p>
        </w:tc>
        <w:tc>
          <w:tcPr>
            <w:tcW w:w="613" w:type="dxa"/>
            <w:vAlign w:val="center"/>
          </w:tcPr>
          <w:p w:rsidR="00E46063" w:rsidRPr="00276D7B" w:rsidRDefault="00E46063" w:rsidP="00614C04">
            <w:pPr>
              <w:spacing w:before="40" w:after="40"/>
              <w:jc w:val="center"/>
              <w:rPr>
                <w:sz w:val="14"/>
                <w:szCs w:val="16"/>
              </w:rPr>
            </w:pPr>
            <w:r>
              <w:rPr>
                <w:sz w:val="14"/>
                <w:szCs w:val="16"/>
              </w:rPr>
              <w:t>98</w:t>
            </w:r>
          </w:p>
        </w:tc>
        <w:tc>
          <w:tcPr>
            <w:tcW w:w="614" w:type="dxa"/>
            <w:vAlign w:val="center"/>
          </w:tcPr>
          <w:p w:rsidR="00E46063" w:rsidRPr="00276D7B" w:rsidRDefault="00E46063" w:rsidP="00614C04">
            <w:pPr>
              <w:spacing w:before="40" w:after="40"/>
              <w:jc w:val="center"/>
              <w:rPr>
                <w:sz w:val="14"/>
                <w:szCs w:val="16"/>
              </w:rPr>
            </w:pPr>
            <w:r>
              <w:rPr>
                <w:sz w:val="14"/>
                <w:szCs w:val="16"/>
              </w:rPr>
              <w:t>98</w:t>
            </w:r>
          </w:p>
        </w:tc>
        <w:tc>
          <w:tcPr>
            <w:tcW w:w="613" w:type="dxa"/>
            <w:vAlign w:val="center"/>
          </w:tcPr>
          <w:p w:rsidR="00E46063" w:rsidRPr="00276D7B" w:rsidRDefault="00E46063" w:rsidP="00614C04">
            <w:pPr>
              <w:spacing w:before="40" w:after="40"/>
              <w:jc w:val="center"/>
              <w:rPr>
                <w:sz w:val="14"/>
                <w:szCs w:val="16"/>
              </w:rPr>
            </w:pPr>
            <w:r>
              <w:rPr>
                <w:sz w:val="14"/>
                <w:szCs w:val="16"/>
              </w:rPr>
              <w:t>98</w:t>
            </w:r>
          </w:p>
        </w:tc>
        <w:tc>
          <w:tcPr>
            <w:tcW w:w="614" w:type="dxa"/>
            <w:vAlign w:val="center"/>
          </w:tcPr>
          <w:p w:rsidR="00E46063" w:rsidRPr="00276D7B" w:rsidRDefault="00E46063" w:rsidP="00614C04">
            <w:pPr>
              <w:spacing w:before="40" w:after="40"/>
              <w:jc w:val="center"/>
              <w:rPr>
                <w:sz w:val="14"/>
                <w:szCs w:val="16"/>
              </w:rPr>
            </w:pPr>
            <w:r>
              <w:rPr>
                <w:sz w:val="14"/>
                <w:szCs w:val="16"/>
              </w:rPr>
              <w:t>102</w:t>
            </w:r>
          </w:p>
        </w:tc>
        <w:tc>
          <w:tcPr>
            <w:tcW w:w="613" w:type="dxa"/>
            <w:vAlign w:val="center"/>
          </w:tcPr>
          <w:p w:rsidR="00E46063" w:rsidRPr="00276D7B" w:rsidRDefault="00E46063" w:rsidP="00614C04">
            <w:pPr>
              <w:spacing w:before="40" w:after="40"/>
              <w:jc w:val="center"/>
              <w:rPr>
                <w:sz w:val="14"/>
                <w:szCs w:val="16"/>
              </w:rPr>
            </w:pPr>
            <w:r>
              <w:rPr>
                <w:sz w:val="14"/>
                <w:szCs w:val="16"/>
              </w:rPr>
              <w:t>100</w:t>
            </w:r>
          </w:p>
        </w:tc>
        <w:tc>
          <w:tcPr>
            <w:tcW w:w="614" w:type="dxa"/>
            <w:vAlign w:val="center"/>
          </w:tcPr>
          <w:p w:rsidR="00E46063" w:rsidRPr="00276D7B" w:rsidRDefault="00E46063" w:rsidP="00614C04">
            <w:pPr>
              <w:spacing w:before="40" w:after="40"/>
              <w:jc w:val="center"/>
              <w:rPr>
                <w:sz w:val="14"/>
                <w:szCs w:val="16"/>
              </w:rPr>
            </w:pPr>
            <w:r>
              <w:rPr>
                <w:sz w:val="14"/>
                <w:szCs w:val="16"/>
              </w:rPr>
              <w:t>100</w:t>
            </w:r>
          </w:p>
        </w:tc>
        <w:tc>
          <w:tcPr>
            <w:tcW w:w="565" w:type="dxa"/>
            <w:vAlign w:val="center"/>
          </w:tcPr>
          <w:p w:rsidR="00E46063" w:rsidRPr="00276D7B" w:rsidRDefault="00E46063" w:rsidP="00614C04">
            <w:pPr>
              <w:spacing w:before="40" w:after="40"/>
              <w:jc w:val="center"/>
              <w:rPr>
                <w:sz w:val="14"/>
                <w:szCs w:val="16"/>
              </w:rPr>
            </w:pPr>
            <w:r>
              <w:rPr>
                <w:sz w:val="14"/>
                <w:szCs w:val="16"/>
              </w:rPr>
              <w:t>100</w:t>
            </w:r>
          </w:p>
        </w:tc>
      </w:tr>
    </w:tbl>
    <w:p w:rsidR="00E46063" w:rsidRPr="00276D7B" w:rsidRDefault="00E46063" w:rsidP="00E46063">
      <w:pPr>
        <w:tabs>
          <w:tab w:val="left" w:pos="540"/>
        </w:tabs>
        <w:spacing w:before="120"/>
        <w:ind w:left="810" w:hanging="810"/>
        <w:jc w:val="both"/>
        <w:rPr>
          <w:sz w:val="16"/>
          <w:szCs w:val="18"/>
        </w:rPr>
      </w:pPr>
      <w:r>
        <w:rPr>
          <w:sz w:val="16"/>
          <w:szCs w:val="18"/>
        </w:rPr>
        <w:t>Notes</w:t>
      </w:r>
      <w:r>
        <w:rPr>
          <w:sz w:val="16"/>
          <w:szCs w:val="18"/>
        </w:rPr>
        <w:tab/>
      </w:r>
      <w:r w:rsidRPr="00276D7B">
        <w:rPr>
          <w:sz w:val="16"/>
          <w:szCs w:val="18"/>
        </w:rPr>
        <w:t>1</w:t>
      </w:r>
      <w:r w:rsidRPr="00276D7B">
        <w:rPr>
          <w:sz w:val="16"/>
          <w:szCs w:val="18"/>
        </w:rPr>
        <w:tab/>
        <w:t>P10 = top of decile 1, and so on.</w:t>
      </w:r>
    </w:p>
    <w:p w:rsidR="00E46063" w:rsidRPr="00276D7B" w:rsidRDefault="00E46063" w:rsidP="00E46063">
      <w:pPr>
        <w:tabs>
          <w:tab w:val="left" w:pos="540"/>
        </w:tabs>
        <w:spacing w:before="120"/>
        <w:ind w:left="810" w:hanging="810"/>
        <w:jc w:val="both"/>
        <w:rPr>
          <w:sz w:val="16"/>
          <w:szCs w:val="18"/>
        </w:rPr>
      </w:pPr>
      <w:r>
        <w:rPr>
          <w:sz w:val="16"/>
          <w:szCs w:val="18"/>
        </w:rPr>
        <w:tab/>
        <w:t>2</w:t>
      </w:r>
      <w:r w:rsidRPr="00276D7B">
        <w:rPr>
          <w:sz w:val="16"/>
          <w:szCs w:val="18"/>
        </w:rPr>
        <w:tab/>
        <w:t>2008 would have been a better year to take as the end of the WFF implementation (ie 2007-08 HES), as the final tranche was rolled out in 2006-07, but the limitations identified in the 2008 data mean that 2007 has to be used (see Introduction for more information on the 2008 data issues).    Almost all the WFF impact was however captured by the time of the 2007 HES, so not using 2008 HES as the boundary does not compromise the pattern of findings reflected in Table D.3.</w:t>
      </w:r>
    </w:p>
    <w:p w:rsidR="00E46063" w:rsidRDefault="00E46063" w:rsidP="00E46063">
      <w:pPr>
        <w:jc w:val="both"/>
        <w:rPr>
          <w:rFonts w:cs="Arial"/>
          <w:i/>
          <w:szCs w:val="22"/>
        </w:rPr>
      </w:pPr>
    </w:p>
    <w:p w:rsidR="00E46063" w:rsidRDefault="00E46063" w:rsidP="00E46063">
      <w:pPr>
        <w:jc w:val="both"/>
        <w:rPr>
          <w:rFonts w:cs="Arial"/>
          <w:b/>
          <w:szCs w:val="22"/>
        </w:rPr>
      </w:pPr>
    </w:p>
    <w:p w:rsidR="00E46063" w:rsidRPr="00B212F2" w:rsidRDefault="00E46063" w:rsidP="00E46063">
      <w:pPr>
        <w:rPr>
          <w:rFonts w:cs="Arial"/>
          <w:b/>
          <w:sz w:val="18"/>
        </w:rPr>
      </w:pPr>
      <w:bookmarkStart w:id="78" w:name="_Toc105983298"/>
      <w:bookmarkStart w:id="79" w:name="_Toc105983351"/>
      <w:bookmarkStart w:id="80" w:name="_Toc105985441"/>
      <w:bookmarkStart w:id="81" w:name="_Toc115142507"/>
      <w:r>
        <w:rPr>
          <w:b/>
          <w:szCs w:val="22"/>
          <w:u w:val="single"/>
        </w:rPr>
        <w:br w:type="page"/>
      </w:r>
      <w:r w:rsidRPr="00B212F2">
        <w:rPr>
          <w:b/>
          <w:sz w:val="20"/>
        </w:rPr>
        <w:lastRenderedPageBreak/>
        <w:t>Differing trends for different parts of the distribution (</w:t>
      </w:r>
      <w:smartTag w:uri="urn:schemas-microsoft-com:office:smarttags" w:element="stockticker">
        <w:r w:rsidRPr="00B212F2">
          <w:rPr>
            <w:b/>
            <w:sz w:val="20"/>
          </w:rPr>
          <w:t>AHC</w:t>
        </w:r>
      </w:smartTag>
      <w:r w:rsidRPr="00B212F2">
        <w:rPr>
          <w:sz w:val="20"/>
        </w:rPr>
        <w:t>)</w:t>
      </w:r>
    </w:p>
    <w:p w:rsidR="00E46063" w:rsidRPr="00B212F2" w:rsidRDefault="00E46063" w:rsidP="00E46063">
      <w:pPr>
        <w:jc w:val="both"/>
        <w:rPr>
          <w:rFonts w:cs="Arial"/>
          <w:sz w:val="20"/>
          <w:szCs w:val="22"/>
        </w:rPr>
      </w:pPr>
      <w:r w:rsidRPr="00B212F2">
        <w:rPr>
          <w:rFonts w:cs="Arial"/>
          <w:sz w:val="20"/>
          <w:szCs w:val="22"/>
        </w:rPr>
        <w:t xml:space="preserve"> </w:t>
      </w:r>
    </w:p>
    <w:p w:rsidR="00E46063" w:rsidRDefault="00E46063" w:rsidP="00E46063">
      <w:pPr>
        <w:jc w:val="both"/>
        <w:rPr>
          <w:rFonts w:cs="Arial"/>
          <w:sz w:val="20"/>
          <w:szCs w:val="22"/>
        </w:rPr>
      </w:pPr>
      <w:r w:rsidRPr="00B212F2">
        <w:rPr>
          <w:rFonts w:cs="Arial"/>
          <w:b/>
          <w:sz w:val="20"/>
          <w:szCs w:val="22"/>
        </w:rPr>
        <w:t>Figure D.</w:t>
      </w:r>
      <w:r>
        <w:rPr>
          <w:rFonts w:cs="Arial"/>
          <w:b/>
          <w:sz w:val="20"/>
          <w:szCs w:val="22"/>
        </w:rPr>
        <w:t>9</w:t>
      </w:r>
      <w:r w:rsidRPr="00B212F2">
        <w:rPr>
          <w:rFonts w:cs="Arial"/>
          <w:b/>
          <w:sz w:val="20"/>
          <w:szCs w:val="22"/>
        </w:rPr>
        <w:t xml:space="preserve"> and Table D.</w:t>
      </w:r>
      <w:r>
        <w:rPr>
          <w:rFonts w:cs="Arial"/>
          <w:b/>
          <w:sz w:val="20"/>
          <w:szCs w:val="22"/>
        </w:rPr>
        <w:t>4</w:t>
      </w:r>
      <w:r w:rsidRPr="00B212F2">
        <w:rPr>
          <w:rFonts w:cs="Arial"/>
          <w:b/>
          <w:sz w:val="20"/>
          <w:szCs w:val="22"/>
        </w:rPr>
        <w:t xml:space="preserve"> </w:t>
      </w:r>
      <w:r w:rsidRPr="00B212F2">
        <w:rPr>
          <w:rFonts w:cs="Arial"/>
          <w:sz w:val="20"/>
          <w:szCs w:val="22"/>
        </w:rPr>
        <w:t>divide the population into ten equal groups (deciles) and show the trends in real incomes (</w:t>
      </w:r>
      <w:smartTag w:uri="urn:schemas-microsoft-com:office:smarttags" w:element="stockticker">
        <w:r w:rsidRPr="00B212F2">
          <w:rPr>
            <w:rFonts w:cs="Arial"/>
            <w:sz w:val="20"/>
            <w:szCs w:val="22"/>
          </w:rPr>
          <w:t>AHC</w:t>
        </w:r>
      </w:smartTag>
      <w:r w:rsidRPr="00B212F2">
        <w:rPr>
          <w:rFonts w:cs="Arial"/>
          <w:sz w:val="20"/>
          <w:szCs w:val="22"/>
        </w:rPr>
        <w:t>) for the top of each decile.</w:t>
      </w:r>
      <w:r w:rsidRPr="00B212F2">
        <w:rPr>
          <w:rStyle w:val="FootnoteReference"/>
          <w:rFonts w:cs="Arial"/>
          <w:sz w:val="20"/>
          <w:szCs w:val="22"/>
        </w:rPr>
        <w:footnoteReference w:id="45"/>
      </w:r>
      <w:r w:rsidRPr="00B212F2">
        <w:rPr>
          <w:rFonts w:cs="Arial"/>
          <w:sz w:val="20"/>
          <w:szCs w:val="22"/>
        </w:rPr>
        <w:t xml:space="preserve">   </w:t>
      </w:r>
      <w:r>
        <w:rPr>
          <w:rFonts w:cs="Arial"/>
          <w:sz w:val="20"/>
          <w:szCs w:val="22"/>
        </w:rPr>
        <w:t>The impact of the economic downturn, global financial crisis and rise in rents is clear in the fall in AHC incomes across the income range for the latest figures (HES 2010-11).   The decline for the median was 4% from 2009-10.  There were severe falls (-7%) for the P30 and P40 regions, that is, for households below the median but above the usual poverty lines.  The P10 region declined significantly too, (although this is below the usual poverty lines and is therefore not likely to show up on those figures).</w:t>
      </w:r>
    </w:p>
    <w:p w:rsidR="00E46063" w:rsidRDefault="00E46063" w:rsidP="00E46063">
      <w:pPr>
        <w:jc w:val="both"/>
        <w:rPr>
          <w:rFonts w:cs="Arial"/>
          <w:sz w:val="20"/>
          <w:szCs w:val="22"/>
        </w:rPr>
      </w:pPr>
    </w:p>
    <w:p w:rsidR="00E46063" w:rsidRPr="00B212F2" w:rsidRDefault="00E46063" w:rsidP="00E46063">
      <w:pPr>
        <w:jc w:val="both"/>
        <w:rPr>
          <w:rFonts w:cs="Arial"/>
          <w:sz w:val="20"/>
          <w:szCs w:val="22"/>
        </w:rPr>
      </w:pPr>
      <w:r>
        <w:rPr>
          <w:rFonts w:cs="Arial"/>
          <w:sz w:val="20"/>
          <w:szCs w:val="22"/>
        </w:rPr>
        <w:t>From a longer-term perspective, i</w:t>
      </w:r>
      <w:r w:rsidRPr="00B212F2">
        <w:rPr>
          <w:rFonts w:cs="Arial"/>
          <w:sz w:val="20"/>
          <w:szCs w:val="22"/>
        </w:rPr>
        <w:t>n 20</w:t>
      </w:r>
      <w:r>
        <w:rPr>
          <w:rFonts w:cs="Arial"/>
          <w:sz w:val="20"/>
          <w:szCs w:val="22"/>
        </w:rPr>
        <w:t>10</w:t>
      </w:r>
      <w:r w:rsidRPr="00B212F2">
        <w:rPr>
          <w:rFonts w:cs="Arial"/>
          <w:sz w:val="20"/>
          <w:szCs w:val="22"/>
        </w:rPr>
        <w:t xml:space="preserve"> the incomes of the bottom 30% of the population were</w:t>
      </w:r>
      <w:r>
        <w:rPr>
          <w:rFonts w:cs="Arial"/>
          <w:sz w:val="20"/>
          <w:szCs w:val="22"/>
        </w:rPr>
        <w:t xml:space="preserve"> on average</w:t>
      </w:r>
      <w:r w:rsidRPr="00B212F2">
        <w:rPr>
          <w:rFonts w:cs="Arial"/>
          <w:sz w:val="20"/>
          <w:szCs w:val="22"/>
        </w:rPr>
        <w:t xml:space="preserve"> </w:t>
      </w:r>
      <w:r>
        <w:rPr>
          <w:rFonts w:cs="Arial"/>
          <w:sz w:val="20"/>
          <w:szCs w:val="22"/>
        </w:rPr>
        <w:t>only a little better</w:t>
      </w:r>
      <w:r w:rsidRPr="00B212F2">
        <w:rPr>
          <w:rFonts w:cs="Arial"/>
          <w:sz w:val="20"/>
          <w:szCs w:val="22"/>
        </w:rPr>
        <w:t xml:space="preserve"> in real terms </w:t>
      </w:r>
      <w:r>
        <w:rPr>
          <w:rFonts w:cs="Arial"/>
          <w:sz w:val="20"/>
          <w:szCs w:val="22"/>
        </w:rPr>
        <w:t>than those of</w:t>
      </w:r>
      <w:r w:rsidRPr="00B212F2">
        <w:rPr>
          <w:rFonts w:cs="Arial"/>
          <w:sz w:val="20"/>
          <w:szCs w:val="22"/>
        </w:rPr>
        <w:t xml:space="preserve"> their counterparts </w:t>
      </w:r>
      <w:r>
        <w:rPr>
          <w:rFonts w:cs="Arial"/>
          <w:sz w:val="20"/>
          <w:szCs w:val="22"/>
        </w:rPr>
        <w:t>almost 30 years ago in 1982</w:t>
      </w:r>
      <w:r w:rsidRPr="00B212F2">
        <w:rPr>
          <w:rFonts w:cs="Arial"/>
          <w:sz w:val="20"/>
          <w:szCs w:val="22"/>
        </w:rPr>
        <w:t xml:space="preserve">.  On the other hand there were </w:t>
      </w:r>
      <w:r>
        <w:rPr>
          <w:rFonts w:cs="Arial"/>
          <w:sz w:val="20"/>
          <w:szCs w:val="22"/>
        </w:rPr>
        <w:t>more substantial</w:t>
      </w:r>
      <w:r w:rsidRPr="00B212F2">
        <w:rPr>
          <w:rFonts w:cs="Arial"/>
          <w:sz w:val="20"/>
          <w:szCs w:val="22"/>
        </w:rPr>
        <w:t xml:space="preserve"> gains in the period for the top half of the distribution.  The income distribution </w:t>
      </w:r>
      <w:r>
        <w:rPr>
          <w:rFonts w:cs="Arial"/>
          <w:sz w:val="20"/>
          <w:szCs w:val="22"/>
        </w:rPr>
        <w:t>was</w:t>
      </w:r>
      <w:r w:rsidRPr="00B212F2">
        <w:rPr>
          <w:rFonts w:cs="Arial"/>
          <w:sz w:val="20"/>
          <w:szCs w:val="22"/>
        </w:rPr>
        <w:t xml:space="preserve"> </w:t>
      </w:r>
      <w:r>
        <w:rPr>
          <w:rFonts w:cs="Arial"/>
          <w:sz w:val="20"/>
          <w:szCs w:val="22"/>
        </w:rPr>
        <w:t>therefore</w:t>
      </w:r>
      <w:r w:rsidRPr="00B212F2">
        <w:rPr>
          <w:rFonts w:cs="Arial"/>
          <w:sz w:val="20"/>
          <w:szCs w:val="22"/>
        </w:rPr>
        <w:t xml:space="preserve"> more dispersed in 20</w:t>
      </w:r>
      <w:r>
        <w:rPr>
          <w:rFonts w:cs="Arial"/>
          <w:sz w:val="20"/>
          <w:szCs w:val="22"/>
        </w:rPr>
        <w:t>10</w:t>
      </w:r>
      <w:r w:rsidRPr="00B212F2">
        <w:rPr>
          <w:rFonts w:cs="Arial"/>
          <w:sz w:val="20"/>
          <w:szCs w:val="22"/>
        </w:rPr>
        <w:t xml:space="preserve"> than in </w:t>
      </w:r>
      <w:r>
        <w:rPr>
          <w:rFonts w:cs="Arial"/>
          <w:sz w:val="20"/>
          <w:szCs w:val="22"/>
        </w:rPr>
        <w:t>the 1980s</w:t>
      </w:r>
      <w:r w:rsidRPr="00B212F2">
        <w:rPr>
          <w:rFonts w:cs="Arial"/>
          <w:sz w:val="20"/>
          <w:szCs w:val="22"/>
        </w:rPr>
        <w:t xml:space="preserve">. </w:t>
      </w:r>
    </w:p>
    <w:p w:rsidR="00E46063" w:rsidRPr="00B212F2" w:rsidRDefault="00E46063" w:rsidP="00E46063">
      <w:pPr>
        <w:jc w:val="both"/>
        <w:rPr>
          <w:rFonts w:cs="Arial"/>
          <w:sz w:val="20"/>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.9</w:t>
      </w:r>
    </w:p>
    <w:p w:rsidR="00E46063" w:rsidRPr="00B212F2" w:rsidRDefault="00E46063" w:rsidP="00E46063">
      <w:pPr>
        <w:jc w:val="center"/>
        <w:rPr>
          <w:rFonts w:cs="Arial"/>
          <w:b/>
          <w:sz w:val="18"/>
        </w:rPr>
      </w:pPr>
      <w:r w:rsidRPr="00B212F2">
        <w:rPr>
          <w:rFonts w:cs="Arial"/>
          <w:b/>
          <w:sz w:val="18"/>
        </w:rPr>
        <w:t>Real equivalised household incomes (</w:t>
      </w:r>
      <w:smartTag w:uri="urn:schemas-microsoft-com:office:smarttags" w:element="stockticker">
        <w:r w:rsidRPr="00B212F2">
          <w:rPr>
            <w:rFonts w:cs="Arial"/>
            <w:b/>
            <w:sz w:val="18"/>
          </w:rPr>
          <w:t>AHC</w:t>
        </w:r>
      </w:smartTag>
      <w:r w:rsidRPr="00B212F2">
        <w:rPr>
          <w:rFonts w:cs="Arial"/>
          <w:b/>
          <w:sz w:val="18"/>
        </w:rPr>
        <w:t>): decile boundaries, 1982 to 20</w:t>
      </w:r>
      <w:r>
        <w:rPr>
          <w:rFonts w:cs="Arial"/>
          <w:b/>
          <w:sz w:val="18"/>
        </w:rPr>
        <w:t>11 (2011 dollars)</w:t>
      </w:r>
    </w:p>
    <w:p w:rsidR="00E46063" w:rsidRPr="00B94356" w:rsidRDefault="00EC0BE0" w:rsidP="00E46063">
      <w:pPr>
        <w:jc w:val="center"/>
        <w:rPr>
          <w:szCs w:val="22"/>
        </w:rPr>
      </w:pPr>
      <w:r>
        <w:rPr>
          <w:noProof/>
          <w:lang w:val="en-US"/>
        </w:rPr>
        <w:drawing>
          <wp:inline distT="0" distB="0" distL="0" distR="0">
            <wp:extent cx="4676775" cy="2876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4676775" cy="2876550"/>
                    </a:xfrm>
                    <a:prstGeom prst="rect">
                      <a:avLst/>
                    </a:prstGeom>
                    <a:noFill/>
                    <a:ln w="9525">
                      <a:noFill/>
                      <a:miter lim="800000"/>
                      <a:headEnd/>
                      <a:tailEnd/>
                    </a:ln>
                  </pic:spPr>
                </pic:pic>
              </a:graphicData>
            </a:graphic>
          </wp:inline>
        </w:drawing>
      </w:r>
    </w:p>
    <w:p w:rsidR="00E46063" w:rsidRDefault="00E46063" w:rsidP="00E46063">
      <w:pPr>
        <w:jc w:val="both"/>
        <w:rPr>
          <w:rFonts w:cs="Arial"/>
          <w:szCs w:val="22"/>
        </w:rPr>
      </w:pPr>
    </w:p>
    <w:p w:rsidR="00E46063" w:rsidRPr="00B212F2" w:rsidRDefault="00E46063" w:rsidP="00E46063">
      <w:pPr>
        <w:jc w:val="center"/>
        <w:rPr>
          <w:rFonts w:cs="Arial"/>
          <w:b/>
          <w:sz w:val="18"/>
        </w:rPr>
      </w:pPr>
      <w:r w:rsidRPr="00B212F2">
        <w:rPr>
          <w:rFonts w:cs="Arial"/>
          <w:b/>
          <w:sz w:val="18"/>
        </w:rPr>
        <w:t>Table D.</w:t>
      </w:r>
      <w:r>
        <w:rPr>
          <w:rFonts w:cs="Arial"/>
          <w:b/>
          <w:sz w:val="18"/>
        </w:rPr>
        <w:t>4</w:t>
      </w:r>
    </w:p>
    <w:p w:rsidR="00E46063" w:rsidRPr="00B212F2" w:rsidRDefault="00E46063" w:rsidP="00E46063">
      <w:pPr>
        <w:spacing w:after="120"/>
        <w:jc w:val="center"/>
        <w:rPr>
          <w:b/>
          <w:sz w:val="18"/>
        </w:rPr>
      </w:pPr>
      <w:r w:rsidRPr="00B212F2">
        <w:rPr>
          <w:rFonts w:cs="Arial"/>
          <w:b/>
          <w:sz w:val="18"/>
        </w:rPr>
        <w:t>Real equivalised household incomes (</w:t>
      </w:r>
      <w:smartTag w:uri="urn:schemas-microsoft-com:office:smarttags" w:element="stockticker">
        <w:r>
          <w:rPr>
            <w:rFonts w:cs="Arial"/>
            <w:b/>
            <w:sz w:val="18"/>
          </w:rPr>
          <w:t>A</w:t>
        </w:r>
        <w:r w:rsidRPr="00B212F2">
          <w:rPr>
            <w:rFonts w:cs="Arial"/>
            <w:b/>
            <w:sz w:val="18"/>
          </w:rPr>
          <w:t>HC</w:t>
        </w:r>
      </w:smartTag>
      <w:r w:rsidRPr="00B212F2">
        <w:rPr>
          <w:rFonts w:cs="Arial"/>
          <w:b/>
          <w:sz w:val="18"/>
        </w:rPr>
        <w:t>): decile boundaries (20</w:t>
      </w:r>
      <w:r>
        <w:rPr>
          <w:rFonts w:cs="Arial"/>
          <w:b/>
          <w:sz w:val="18"/>
        </w:rPr>
        <w:t>11</w:t>
      </w:r>
      <w:r w:rsidRPr="00B212F2">
        <w:rPr>
          <w:rFonts w:cs="Arial"/>
          <w:b/>
          <w:sz w:val="18"/>
        </w:rPr>
        <w:t xml:space="preserve"> dollars)</w:t>
      </w:r>
    </w:p>
    <w:tbl>
      <w:tblPr>
        <w:tblStyle w:val="TableGrid"/>
        <w:tblW w:w="8530" w:type="dxa"/>
        <w:jc w:val="center"/>
        <w:tblLayout w:type="fixed"/>
        <w:tblLook w:val="01E0"/>
      </w:tblPr>
      <w:tblGrid>
        <w:gridCol w:w="462"/>
        <w:gridCol w:w="537"/>
        <w:gridCol w:w="538"/>
        <w:gridCol w:w="538"/>
        <w:gridCol w:w="538"/>
        <w:gridCol w:w="538"/>
        <w:gridCol w:w="538"/>
        <w:gridCol w:w="538"/>
        <w:gridCol w:w="537"/>
        <w:gridCol w:w="538"/>
        <w:gridCol w:w="538"/>
        <w:gridCol w:w="538"/>
        <w:gridCol w:w="538"/>
        <w:gridCol w:w="538"/>
        <w:gridCol w:w="538"/>
        <w:gridCol w:w="538"/>
      </w:tblGrid>
      <w:tr w:rsidR="00E46063">
        <w:trPr>
          <w:trHeight w:hRule="exact" w:val="317"/>
          <w:jc w:val="center"/>
        </w:trPr>
        <w:tc>
          <w:tcPr>
            <w:tcW w:w="462" w:type="dxa"/>
            <w:tcMar>
              <w:left w:w="14" w:type="dxa"/>
              <w:right w:w="14" w:type="dxa"/>
            </w:tcMar>
            <w:vAlign w:val="center"/>
          </w:tcPr>
          <w:p w:rsidR="00E46063" w:rsidRPr="00D817DC" w:rsidRDefault="00E46063" w:rsidP="00614C04">
            <w:pPr>
              <w:jc w:val="center"/>
              <w:rPr>
                <w:rFonts w:cs="Arial"/>
                <w:b/>
                <w:sz w:val="14"/>
                <w:szCs w:val="16"/>
              </w:rPr>
            </w:pPr>
          </w:p>
        </w:tc>
        <w:tc>
          <w:tcPr>
            <w:tcW w:w="537" w:type="dxa"/>
            <w:tcMar>
              <w:left w:w="14" w:type="dxa"/>
              <w:right w:w="14" w:type="dxa"/>
            </w:tcMar>
            <w:vAlign w:val="center"/>
          </w:tcPr>
          <w:p w:rsidR="00E46063" w:rsidRDefault="00E46063" w:rsidP="00614C04">
            <w:pPr>
              <w:jc w:val="center"/>
              <w:rPr>
                <w:rFonts w:cs="Arial"/>
                <w:b/>
                <w:sz w:val="14"/>
                <w:szCs w:val="16"/>
              </w:rPr>
            </w:pPr>
            <w:r>
              <w:rPr>
                <w:rFonts w:cs="Arial"/>
                <w:b/>
                <w:sz w:val="14"/>
                <w:szCs w:val="16"/>
              </w:rPr>
              <w:t>1982</w:t>
            </w:r>
          </w:p>
        </w:tc>
        <w:tc>
          <w:tcPr>
            <w:tcW w:w="538" w:type="dxa"/>
            <w:tcMar>
              <w:left w:w="14" w:type="dxa"/>
              <w:right w:w="14" w:type="dxa"/>
            </w:tcMar>
            <w:vAlign w:val="center"/>
          </w:tcPr>
          <w:p w:rsidR="00E46063" w:rsidRPr="00D817DC" w:rsidRDefault="00E46063" w:rsidP="00614C04">
            <w:pPr>
              <w:jc w:val="center"/>
              <w:rPr>
                <w:rFonts w:cs="Arial"/>
                <w:b/>
                <w:sz w:val="14"/>
                <w:szCs w:val="16"/>
              </w:rPr>
            </w:pPr>
            <w:r>
              <w:rPr>
                <w:rFonts w:cs="Arial"/>
                <w:b/>
                <w:sz w:val="14"/>
                <w:szCs w:val="16"/>
              </w:rPr>
              <w:t>1984</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1986</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1988</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1990</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1992</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1994</w:t>
            </w:r>
          </w:p>
        </w:tc>
        <w:tc>
          <w:tcPr>
            <w:tcW w:w="537"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1996</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1998</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2001</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2004</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2007</w:t>
            </w:r>
          </w:p>
        </w:tc>
        <w:tc>
          <w:tcPr>
            <w:tcW w:w="538" w:type="dxa"/>
            <w:tcMar>
              <w:left w:w="14" w:type="dxa"/>
              <w:right w:w="14" w:type="dxa"/>
            </w:tcMar>
            <w:vAlign w:val="center"/>
          </w:tcPr>
          <w:p w:rsidR="00E46063" w:rsidRPr="00D817DC" w:rsidRDefault="00E46063" w:rsidP="00614C04">
            <w:pPr>
              <w:jc w:val="center"/>
              <w:rPr>
                <w:rFonts w:cs="Arial"/>
                <w:b/>
                <w:sz w:val="14"/>
                <w:szCs w:val="16"/>
              </w:rPr>
            </w:pPr>
            <w:r w:rsidRPr="00D817DC">
              <w:rPr>
                <w:rFonts w:cs="Arial"/>
                <w:b/>
                <w:sz w:val="14"/>
                <w:szCs w:val="16"/>
              </w:rPr>
              <w:t>2009</w:t>
            </w:r>
          </w:p>
        </w:tc>
        <w:tc>
          <w:tcPr>
            <w:tcW w:w="538" w:type="dxa"/>
            <w:tcMar>
              <w:left w:w="14" w:type="dxa"/>
              <w:right w:w="14" w:type="dxa"/>
            </w:tcMar>
            <w:vAlign w:val="center"/>
          </w:tcPr>
          <w:p w:rsidR="00E46063" w:rsidRPr="00D817DC" w:rsidRDefault="00E46063" w:rsidP="00614C04">
            <w:pPr>
              <w:jc w:val="center"/>
              <w:rPr>
                <w:rFonts w:cs="Arial"/>
                <w:b/>
                <w:sz w:val="14"/>
                <w:szCs w:val="16"/>
              </w:rPr>
            </w:pPr>
            <w:r>
              <w:rPr>
                <w:rFonts w:cs="Arial"/>
                <w:b/>
                <w:sz w:val="14"/>
                <w:szCs w:val="16"/>
              </w:rPr>
              <w:t>2010</w:t>
            </w:r>
          </w:p>
        </w:tc>
        <w:tc>
          <w:tcPr>
            <w:tcW w:w="538" w:type="dxa"/>
            <w:tcMar>
              <w:left w:w="28" w:type="dxa"/>
              <w:right w:w="28" w:type="dxa"/>
            </w:tcMar>
            <w:vAlign w:val="center"/>
          </w:tcPr>
          <w:p w:rsidR="00E46063" w:rsidRDefault="00E46063" w:rsidP="00614C04">
            <w:pPr>
              <w:jc w:val="center"/>
              <w:rPr>
                <w:rFonts w:cs="Arial"/>
                <w:b/>
                <w:sz w:val="14"/>
                <w:szCs w:val="16"/>
              </w:rPr>
            </w:pPr>
            <w:r>
              <w:rPr>
                <w:rFonts w:cs="Arial"/>
                <w:b/>
                <w:sz w:val="14"/>
                <w:szCs w:val="16"/>
              </w:rPr>
              <w:t>2011</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P90</w:t>
            </w:r>
          </w:p>
        </w:tc>
        <w:tc>
          <w:tcPr>
            <w:tcW w:w="537" w:type="dxa"/>
            <w:tcMar>
              <w:left w:w="14" w:type="dxa"/>
              <w:right w:w="14" w:type="dxa"/>
            </w:tcMar>
            <w:vAlign w:val="center"/>
          </w:tcPr>
          <w:p w:rsidR="00E46063" w:rsidRDefault="00E46063" w:rsidP="00614C04">
            <w:pPr>
              <w:jc w:val="center"/>
              <w:rPr>
                <w:rFonts w:cs="Arial"/>
                <w:sz w:val="14"/>
                <w:szCs w:val="16"/>
              </w:rPr>
            </w:pPr>
            <w:r>
              <w:rPr>
                <w:rFonts w:cs="Arial"/>
                <w:sz w:val="14"/>
                <w:szCs w:val="16"/>
              </w:rPr>
              <w:t>39,500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38,800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38,600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42,500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38,000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41,900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44,500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47,200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49,100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53,500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56,500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56,900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55,100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P80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31,900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33,500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30,200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34,500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35,600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39,300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40,300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42,100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42,700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42,600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P70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25,200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28,600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29,700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32,400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35,200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35,600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35,400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P60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24,100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24,100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24,100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21,200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24,900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26,900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27,800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30,200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29,800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Pr>
                <w:b/>
                <w:sz w:val="14"/>
                <w:szCs w:val="16"/>
              </w:rPr>
              <w:t>P50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17,700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23,700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25,900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24,900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P40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15,000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17,000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20,200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21,700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22,600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20,900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P30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16,500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13,000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17,100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18,100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19,100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17,800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P20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13,200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10,100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12,600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14,100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15,500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15,000</w:t>
            </w:r>
          </w:p>
        </w:tc>
      </w:tr>
      <w:tr w:rsidR="00E46063">
        <w:trPr>
          <w:trHeight w:val="360"/>
          <w:jc w:val="center"/>
        </w:trPr>
        <w:tc>
          <w:tcPr>
            <w:tcW w:w="462" w:type="dxa"/>
            <w:tcMar>
              <w:left w:w="14" w:type="dxa"/>
              <w:right w:w="14" w:type="dxa"/>
            </w:tcMar>
            <w:vAlign w:val="center"/>
          </w:tcPr>
          <w:p w:rsidR="00E46063" w:rsidRPr="00D817DC" w:rsidRDefault="00E46063" w:rsidP="00614C04">
            <w:pPr>
              <w:jc w:val="center"/>
              <w:rPr>
                <w:b/>
                <w:sz w:val="14"/>
                <w:szCs w:val="16"/>
              </w:rPr>
            </w:pPr>
            <w:r w:rsidRPr="00D817DC">
              <w:rPr>
                <w:b/>
                <w:sz w:val="14"/>
                <w:szCs w:val="16"/>
              </w:rPr>
              <w:t>P10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10,900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11,400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11,100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7,800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7,400</w:t>
            </w:r>
          </w:p>
        </w:tc>
        <w:tc>
          <w:tcPr>
            <w:tcW w:w="537"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7,500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7,800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8,500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8,800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9,300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10,700</w:t>
            </w:r>
          </w:p>
        </w:tc>
        <w:tc>
          <w:tcPr>
            <w:tcW w:w="538" w:type="dxa"/>
            <w:tcMar>
              <w:left w:w="14" w:type="dxa"/>
              <w:right w:w="14" w:type="dxa"/>
            </w:tcMar>
            <w:vAlign w:val="center"/>
          </w:tcPr>
          <w:p w:rsidR="00E46063" w:rsidRPr="00D817DC" w:rsidRDefault="00E46063" w:rsidP="00614C04">
            <w:pPr>
              <w:jc w:val="center"/>
              <w:rPr>
                <w:rFonts w:cs="Arial"/>
                <w:sz w:val="14"/>
                <w:szCs w:val="16"/>
              </w:rPr>
            </w:pPr>
            <w:r>
              <w:rPr>
                <w:rFonts w:cs="Arial"/>
                <w:sz w:val="14"/>
                <w:szCs w:val="16"/>
              </w:rPr>
              <w:t>11,700</w:t>
            </w:r>
          </w:p>
        </w:tc>
        <w:tc>
          <w:tcPr>
            <w:tcW w:w="538" w:type="dxa"/>
            <w:tcMar>
              <w:left w:w="28" w:type="dxa"/>
              <w:right w:w="28" w:type="dxa"/>
            </w:tcMar>
            <w:vAlign w:val="center"/>
          </w:tcPr>
          <w:p w:rsidR="00E46063" w:rsidRDefault="00E46063" w:rsidP="00614C04">
            <w:pPr>
              <w:jc w:val="center"/>
              <w:rPr>
                <w:rFonts w:cs="Arial"/>
                <w:sz w:val="14"/>
                <w:szCs w:val="16"/>
              </w:rPr>
            </w:pPr>
            <w:r>
              <w:rPr>
                <w:rFonts w:cs="Arial"/>
                <w:sz w:val="14"/>
                <w:szCs w:val="16"/>
              </w:rPr>
              <w:t>10,800</w:t>
            </w:r>
          </w:p>
        </w:tc>
      </w:tr>
    </w:tbl>
    <w:p w:rsidR="00E46063" w:rsidRDefault="00E46063" w:rsidP="00E46063">
      <w:pPr>
        <w:rPr>
          <w:rFonts w:cs="Arial"/>
          <w:b/>
          <w:sz w:val="20"/>
          <w:szCs w:val="22"/>
        </w:rPr>
      </w:pPr>
    </w:p>
    <w:p w:rsidR="00E46063" w:rsidRPr="00B212F2" w:rsidRDefault="00E46063" w:rsidP="00E46063">
      <w:pPr>
        <w:rPr>
          <w:rFonts w:cs="Arial"/>
          <w:b/>
          <w:sz w:val="20"/>
          <w:szCs w:val="22"/>
        </w:rPr>
      </w:pPr>
      <w:r>
        <w:rPr>
          <w:rFonts w:cs="Arial"/>
          <w:b/>
          <w:sz w:val="20"/>
          <w:szCs w:val="22"/>
        </w:rPr>
        <w:br w:type="page"/>
      </w:r>
      <w:r w:rsidRPr="00B212F2">
        <w:rPr>
          <w:rFonts w:cs="Arial"/>
          <w:b/>
          <w:sz w:val="20"/>
          <w:szCs w:val="22"/>
        </w:rPr>
        <w:lastRenderedPageBreak/>
        <w:t>Trends in the median for different household types</w:t>
      </w:r>
    </w:p>
    <w:p w:rsidR="00E46063" w:rsidRPr="00B212F2" w:rsidRDefault="00E46063" w:rsidP="00E46063">
      <w:pPr>
        <w:jc w:val="both"/>
        <w:rPr>
          <w:rFonts w:cs="Arial"/>
          <w:b/>
          <w:sz w:val="20"/>
          <w:szCs w:val="22"/>
        </w:rPr>
      </w:pPr>
    </w:p>
    <w:p w:rsidR="00E46063" w:rsidRPr="00B212F2" w:rsidRDefault="00E46063" w:rsidP="00E46063">
      <w:pPr>
        <w:jc w:val="both"/>
        <w:rPr>
          <w:rFonts w:cs="Arial"/>
          <w:sz w:val="20"/>
          <w:szCs w:val="22"/>
        </w:rPr>
      </w:pPr>
      <w:r w:rsidRPr="00B212F2">
        <w:rPr>
          <w:rFonts w:cs="Arial"/>
          <w:b/>
          <w:sz w:val="20"/>
          <w:szCs w:val="22"/>
        </w:rPr>
        <w:t>Figure D.</w:t>
      </w:r>
      <w:r>
        <w:rPr>
          <w:rFonts w:cs="Arial"/>
          <w:b/>
          <w:sz w:val="20"/>
          <w:szCs w:val="22"/>
        </w:rPr>
        <w:t>10</w:t>
      </w:r>
      <w:r w:rsidRPr="00B212F2">
        <w:rPr>
          <w:rFonts w:cs="Arial"/>
          <w:b/>
          <w:sz w:val="20"/>
          <w:szCs w:val="22"/>
        </w:rPr>
        <w:t xml:space="preserve"> </w:t>
      </w:r>
      <w:r w:rsidRPr="005E0787">
        <w:rPr>
          <w:rFonts w:cs="Arial"/>
          <w:sz w:val="20"/>
          <w:szCs w:val="22"/>
        </w:rPr>
        <w:t xml:space="preserve">shows </w:t>
      </w:r>
      <w:r w:rsidRPr="00B212F2">
        <w:rPr>
          <w:rFonts w:cs="Arial"/>
          <w:sz w:val="20"/>
          <w:szCs w:val="22"/>
        </w:rPr>
        <w:t>the trends in real equivalised household disposable income (</w:t>
      </w:r>
      <w:smartTag w:uri="urn:schemas-microsoft-com:office:smarttags" w:element="stockticker">
        <w:r w:rsidRPr="00B212F2">
          <w:rPr>
            <w:rFonts w:cs="Arial"/>
            <w:sz w:val="20"/>
            <w:szCs w:val="22"/>
          </w:rPr>
          <w:t>BHC</w:t>
        </w:r>
      </w:smartTag>
      <w:r w:rsidRPr="00B212F2">
        <w:rPr>
          <w:rFonts w:cs="Arial"/>
          <w:sz w:val="20"/>
          <w:szCs w:val="22"/>
        </w:rPr>
        <w:t>) from 1982 to 20</w:t>
      </w:r>
      <w:r>
        <w:rPr>
          <w:rFonts w:cs="Arial"/>
          <w:sz w:val="20"/>
          <w:szCs w:val="22"/>
        </w:rPr>
        <w:t>11</w:t>
      </w:r>
      <w:r w:rsidRPr="00B212F2">
        <w:rPr>
          <w:rFonts w:cs="Arial"/>
          <w:sz w:val="20"/>
          <w:szCs w:val="22"/>
        </w:rPr>
        <w:t xml:space="preserve"> for selected household types.</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Pr>
          <w:rFonts w:cs="Arial"/>
          <w:sz w:val="20"/>
          <w:szCs w:val="22"/>
        </w:rPr>
        <w:t>For all household types, t</w:t>
      </w:r>
      <w:r w:rsidRPr="00B212F2">
        <w:rPr>
          <w:rFonts w:cs="Arial"/>
          <w:sz w:val="20"/>
          <w:szCs w:val="22"/>
        </w:rPr>
        <w:t xml:space="preserve">here were relatively large rises </w:t>
      </w:r>
      <w:r>
        <w:rPr>
          <w:rFonts w:cs="Arial"/>
          <w:sz w:val="20"/>
          <w:szCs w:val="22"/>
        </w:rPr>
        <w:t xml:space="preserve">in median income in real terms </w:t>
      </w:r>
      <w:r w:rsidRPr="00B212F2">
        <w:rPr>
          <w:rFonts w:cs="Arial"/>
          <w:sz w:val="20"/>
          <w:szCs w:val="22"/>
        </w:rPr>
        <w:t>from 2007 to 200</w:t>
      </w:r>
      <w:r>
        <w:rPr>
          <w:rFonts w:cs="Arial"/>
          <w:sz w:val="20"/>
          <w:szCs w:val="22"/>
        </w:rPr>
        <w:t>9: 13% for working age households without children, 9% for two parent households, and 12% for sole parent households (albeit off a low base).  For 2009 to 2010, the only rise of note was for one-person working-age households. For two-parent and sole-parent households, median incomes remained much the same, and incomes fell for working-age couple-only and multi-adult family households.</w:t>
      </w:r>
      <w:r>
        <w:rPr>
          <w:rStyle w:val="FootnoteReference"/>
          <w:rFonts w:cs="Arial"/>
          <w:sz w:val="20"/>
          <w:szCs w:val="22"/>
        </w:rPr>
        <w:footnoteReference w:id="46"/>
      </w:r>
      <w:r>
        <w:rPr>
          <w:rFonts w:cs="Arial"/>
          <w:sz w:val="20"/>
          <w:szCs w:val="22"/>
        </w:rPr>
        <w:t xml:space="preserve">  For the latest survey (2010-11), the median income of almost all household types fell in real terms.</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sidRPr="00B212F2">
        <w:rPr>
          <w:rFonts w:cs="Arial"/>
          <w:sz w:val="20"/>
          <w:szCs w:val="22"/>
        </w:rPr>
        <w:t>Trends for those in single and couple 65+ households are omitted from Figure D.</w:t>
      </w:r>
      <w:r>
        <w:rPr>
          <w:rFonts w:cs="Arial"/>
          <w:sz w:val="20"/>
          <w:szCs w:val="22"/>
        </w:rPr>
        <w:t>8</w:t>
      </w:r>
      <w:r w:rsidRPr="00B212F2">
        <w:rPr>
          <w:rFonts w:cs="Arial"/>
          <w:sz w:val="20"/>
          <w:szCs w:val="22"/>
        </w:rPr>
        <w:t xml:space="preserve"> to avoid clutter</w:t>
      </w:r>
      <w:r>
        <w:rPr>
          <w:rFonts w:cs="Arial"/>
          <w:sz w:val="20"/>
          <w:szCs w:val="22"/>
        </w:rPr>
        <w:t xml:space="preserve">, but are shown in </w:t>
      </w:r>
      <w:r w:rsidRPr="005E0787">
        <w:rPr>
          <w:rFonts w:cs="Arial"/>
          <w:b/>
          <w:sz w:val="20"/>
          <w:szCs w:val="22"/>
        </w:rPr>
        <w:t>Table D.</w:t>
      </w:r>
      <w:r>
        <w:rPr>
          <w:rFonts w:cs="Arial"/>
          <w:b/>
          <w:sz w:val="20"/>
          <w:szCs w:val="22"/>
        </w:rPr>
        <w:t xml:space="preserve">5 </w:t>
      </w:r>
      <w:r w:rsidRPr="009C235F">
        <w:rPr>
          <w:rFonts w:cs="Arial"/>
          <w:sz w:val="20"/>
          <w:szCs w:val="22"/>
        </w:rPr>
        <w:t>(next page):</w:t>
      </w:r>
    </w:p>
    <w:p w:rsidR="00E46063" w:rsidRDefault="00E46063" w:rsidP="00614C04">
      <w:pPr>
        <w:numPr>
          <w:ilvl w:val="0"/>
          <w:numId w:val="45"/>
        </w:numPr>
        <w:tabs>
          <w:tab w:val="clear" w:pos="720"/>
          <w:tab w:val="num" w:pos="630"/>
        </w:tabs>
        <w:spacing w:before="120"/>
        <w:ind w:left="634" w:hanging="274"/>
        <w:jc w:val="both"/>
        <w:rPr>
          <w:rFonts w:cs="Arial"/>
          <w:sz w:val="20"/>
          <w:szCs w:val="22"/>
        </w:rPr>
      </w:pPr>
      <w:r w:rsidRPr="00B212F2">
        <w:rPr>
          <w:rFonts w:cs="Arial"/>
          <w:sz w:val="20"/>
          <w:szCs w:val="22"/>
        </w:rPr>
        <w:t>For those in one</w:t>
      </w:r>
      <w:r>
        <w:rPr>
          <w:rFonts w:cs="Arial"/>
          <w:sz w:val="20"/>
          <w:szCs w:val="22"/>
        </w:rPr>
        <w:t>-</w:t>
      </w:r>
      <w:r w:rsidRPr="00B212F2">
        <w:rPr>
          <w:rFonts w:cs="Arial"/>
          <w:sz w:val="20"/>
          <w:szCs w:val="22"/>
        </w:rPr>
        <w:t>person 65+ household</w:t>
      </w:r>
      <w:r>
        <w:rPr>
          <w:rFonts w:cs="Arial"/>
          <w:sz w:val="20"/>
          <w:szCs w:val="22"/>
        </w:rPr>
        <w:t>s,</w:t>
      </w:r>
      <w:r w:rsidRPr="00B212F2">
        <w:rPr>
          <w:rFonts w:cs="Arial"/>
          <w:sz w:val="20"/>
          <w:szCs w:val="22"/>
        </w:rPr>
        <w:t xml:space="preserve"> median incomes</w:t>
      </w:r>
      <w:r>
        <w:rPr>
          <w:rFonts w:cs="Arial"/>
          <w:sz w:val="20"/>
          <w:szCs w:val="22"/>
        </w:rPr>
        <w:t xml:space="preserve"> ($2011)</w:t>
      </w:r>
      <w:r w:rsidRPr="00B212F2">
        <w:rPr>
          <w:rFonts w:cs="Arial"/>
          <w:sz w:val="20"/>
          <w:szCs w:val="22"/>
        </w:rPr>
        <w:t xml:space="preserve"> remained relatively steady at around $1</w:t>
      </w:r>
      <w:r>
        <w:rPr>
          <w:rFonts w:cs="Arial"/>
          <w:sz w:val="20"/>
          <w:szCs w:val="22"/>
        </w:rPr>
        <w:t>5</w:t>
      </w:r>
      <w:r w:rsidRPr="00B212F2">
        <w:rPr>
          <w:rFonts w:cs="Arial"/>
          <w:sz w:val="20"/>
          <w:szCs w:val="22"/>
        </w:rPr>
        <w:t>,</w:t>
      </w:r>
      <w:r>
        <w:rPr>
          <w:rFonts w:cs="Arial"/>
          <w:sz w:val="20"/>
          <w:szCs w:val="22"/>
        </w:rPr>
        <w:t>5</w:t>
      </w:r>
      <w:r w:rsidRPr="00B212F2">
        <w:rPr>
          <w:rFonts w:cs="Arial"/>
          <w:sz w:val="20"/>
          <w:szCs w:val="22"/>
        </w:rPr>
        <w:t>00 to $1</w:t>
      </w:r>
      <w:r>
        <w:rPr>
          <w:rFonts w:cs="Arial"/>
          <w:sz w:val="20"/>
          <w:szCs w:val="22"/>
        </w:rPr>
        <w:t>7</w:t>
      </w:r>
      <w:r w:rsidRPr="00B212F2">
        <w:rPr>
          <w:rFonts w:cs="Arial"/>
          <w:sz w:val="20"/>
          <w:szCs w:val="22"/>
        </w:rPr>
        <w:t>,</w:t>
      </w:r>
      <w:r>
        <w:rPr>
          <w:rFonts w:cs="Arial"/>
          <w:sz w:val="20"/>
          <w:szCs w:val="22"/>
        </w:rPr>
        <w:t>0</w:t>
      </w:r>
      <w:r w:rsidRPr="00B212F2">
        <w:rPr>
          <w:rFonts w:cs="Arial"/>
          <w:sz w:val="20"/>
          <w:szCs w:val="22"/>
        </w:rPr>
        <w:t>00 pa from 1982 to 1998, with a small rise to $1</w:t>
      </w:r>
      <w:r>
        <w:rPr>
          <w:rFonts w:cs="Arial"/>
          <w:sz w:val="20"/>
          <w:szCs w:val="22"/>
        </w:rPr>
        <w:t>7</w:t>
      </w:r>
      <w:r w:rsidRPr="00B212F2">
        <w:rPr>
          <w:rFonts w:cs="Arial"/>
          <w:sz w:val="20"/>
          <w:szCs w:val="22"/>
        </w:rPr>
        <w:t>,</w:t>
      </w:r>
      <w:r>
        <w:rPr>
          <w:rFonts w:cs="Arial"/>
          <w:sz w:val="20"/>
          <w:szCs w:val="22"/>
        </w:rPr>
        <w:t>9</w:t>
      </w:r>
      <w:r w:rsidRPr="00B212F2">
        <w:rPr>
          <w:rFonts w:cs="Arial"/>
          <w:sz w:val="20"/>
          <w:szCs w:val="22"/>
        </w:rPr>
        <w:t>00 by 200</w:t>
      </w:r>
      <w:r>
        <w:rPr>
          <w:rFonts w:cs="Arial"/>
          <w:sz w:val="20"/>
          <w:szCs w:val="22"/>
        </w:rPr>
        <w:t>7</w:t>
      </w:r>
      <w:r w:rsidRPr="00B212F2">
        <w:rPr>
          <w:rFonts w:cs="Arial"/>
          <w:sz w:val="20"/>
          <w:szCs w:val="22"/>
        </w:rPr>
        <w:t xml:space="preserve">, and </w:t>
      </w:r>
      <w:r>
        <w:rPr>
          <w:rFonts w:cs="Arial"/>
          <w:sz w:val="20"/>
          <w:szCs w:val="22"/>
        </w:rPr>
        <w:t xml:space="preserve">then </w:t>
      </w:r>
      <w:r w:rsidRPr="00B212F2">
        <w:rPr>
          <w:rFonts w:cs="Arial"/>
          <w:sz w:val="20"/>
          <w:szCs w:val="22"/>
        </w:rPr>
        <w:t xml:space="preserve">to </w:t>
      </w:r>
      <w:r>
        <w:rPr>
          <w:rFonts w:cs="Arial"/>
          <w:sz w:val="20"/>
          <w:szCs w:val="22"/>
        </w:rPr>
        <w:t>$20,100</w:t>
      </w:r>
      <w:r w:rsidRPr="00B212F2">
        <w:rPr>
          <w:rFonts w:cs="Arial"/>
          <w:sz w:val="20"/>
          <w:szCs w:val="22"/>
        </w:rPr>
        <w:t xml:space="preserve"> for </w:t>
      </w:r>
      <w:r>
        <w:rPr>
          <w:rFonts w:cs="Arial"/>
          <w:sz w:val="20"/>
          <w:szCs w:val="22"/>
        </w:rPr>
        <w:t>2010</w:t>
      </w:r>
      <w:r w:rsidRPr="00B212F2">
        <w:rPr>
          <w:rFonts w:cs="Arial"/>
          <w:sz w:val="20"/>
          <w:szCs w:val="22"/>
        </w:rPr>
        <w:t xml:space="preserve">. </w:t>
      </w:r>
      <w:r>
        <w:rPr>
          <w:rFonts w:cs="Arial"/>
          <w:sz w:val="20"/>
          <w:szCs w:val="22"/>
        </w:rPr>
        <w:t xml:space="preserve"> </w:t>
      </w:r>
      <w:r w:rsidRPr="00B212F2">
        <w:rPr>
          <w:rFonts w:cs="Arial"/>
          <w:sz w:val="20"/>
          <w:szCs w:val="22"/>
        </w:rPr>
        <w:t xml:space="preserve"> </w:t>
      </w:r>
      <w:r>
        <w:rPr>
          <w:rFonts w:cs="Arial"/>
          <w:sz w:val="20"/>
          <w:szCs w:val="22"/>
        </w:rPr>
        <w:t>Part of that rise reflects the personal income tax changes in October 2008 and April 2009 which have an impact on NZS via the net wage benchmark. In the latest survey (2010-11), median income for this group fell 5% to $19,100. The impact of the October 2010 income tax cuts was not sufficient to offset reduced income from other non-NZS sources.</w:t>
      </w:r>
    </w:p>
    <w:p w:rsidR="00E46063" w:rsidRPr="00B212F2" w:rsidRDefault="00E46063" w:rsidP="00614C04">
      <w:pPr>
        <w:numPr>
          <w:ilvl w:val="0"/>
          <w:numId w:val="45"/>
        </w:numPr>
        <w:tabs>
          <w:tab w:val="clear" w:pos="720"/>
          <w:tab w:val="num" w:pos="630"/>
        </w:tabs>
        <w:spacing w:before="120"/>
        <w:ind w:left="634" w:hanging="274"/>
        <w:jc w:val="both"/>
        <w:rPr>
          <w:rFonts w:cs="Arial"/>
          <w:sz w:val="20"/>
          <w:szCs w:val="22"/>
        </w:rPr>
      </w:pPr>
      <w:r w:rsidRPr="00B212F2">
        <w:rPr>
          <w:rFonts w:cs="Arial"/>
          <w:sz w:val="20"/>
          <w:szCs w:val="22"/>
        </w:rPr>
        <w:t>Median incomes of those in 65+ couple households remained reasonably steady from 1992 to 200</w:t>
      </w:r>
      <w:r>
        <w:rPr>
          <w:rFonts w:cs="Arial"/>
          <w:sz w:val="20"/>
          <w:szCs w:val="22"/>
        </w:rPr>
        <w:t>4</w:t>
      </w:r>
      <w:r w:rsidRPr="00B212F2">
        <w:rPr>
          <w:rFonts w:cs="Arial"/>
          <w:sz w:val="20"/>
          <w:szCs w:val="22"/>
        </w:rPr>
        <w:t xml:space="preserve"> at around $1</w:t>
      </w:r>
      <w:r>
        <w:rPr>
          <w:rFonts w:cs="Arial"/>
          <w:sz w:val="20"/>
          <w:szCs w:val="22"/>
        </w:rPr>
        <w:t>8</w:t>
      </w:r>
      <w:r w:rsidRPr="00B212F2">
        <w:rPr>
          <w:rFonts w:cs="Arial"/>
          <w:sz w:val="20"/>
          <w:szCs w:val="22"/>
        </w:rPr>
        <w:t>,</w:t>
      </w:r>
      <w:r>
        <w:rPr>
          <w:rFonts w:cs="Arial"/>
          <w:sz w:val="20"/>
          <w:szCs w:val="22"/>
        </w:rPr>
        <w:t>5</w:t>
      </w:r>
      <w:r w:rsidRPr="00B212F2">
        <w:rPr>
          <w:rFonts w:cs="Arial"/>
          <w:sz w:val="20"/>
          <w:szCs w:val="22"/>
        </w:rPr>
        <w:t>00</w:t>
      </w:r>
      <w:r>
        <w:rPr>
          <w:rFonts w:cs="Arial"/>
          <w:sz w:val="20"/>
          <w:szCs w:val="22"/>
        </w:rPr>
        <w:t xml:space="preserve"> to $19,500 pa.  From 2004 to 2010, median incomes for these households grew 37%</w:t>
      </w:r>
      <w:r w:rsidRPr="00B212F2">
        <w:rPr>
          <w:rFonts w:cs="Arial"/>
          <w:sz w:val="20"/>
          <w:szCs w:val="22"/>
        </w:rPr>
        <w:t xml:space="preserve"> in real terms</w:t>
      </w:r>
      <w:r>
        <w:rPr>
          <w:rFonts w:cs="Arial"/>
          <w:sz w:val="20"/>
          <w:szCs w:val="22"/>
        </w:rPr>
        <w:t xml:space="preserve"> to $26,600 pa</w:t>
      </w:r>
      <w:r w:rsidRPr="00B212F2">
        <w:rPr>
          <w:rFonts w:cs="Arial"/>
          <w:sz w:val="20"/>
          <w:szCs w:val="22"/>
        </w:rPr>
        <w:t xml:space="preserve">.  </w:t>
      </w:r>
      <w:r>
        <w:rPr>
          <w:rFonts w:cs="Arial"/>
          <w:sz w:val="20"/>
          <w:szCs w:val="22"/>
        </w:rPr>
        <w:t>This rise</w:t>
      </w:r>
      <w:r w:rsidRPr="00B212F2">
        <w:rPr>
          <w:rFonts w:cs="Arial"/>
          <w:sz w:val="20"/>
          <w:szCs w:val="22"/>
        </w:rPr>
        <w:t xml:space="preserve"> </w:t>
      </w:r>
      <w:r>
        <w:rPr>
          <w:rFonts w:cs="Arial"/>
          <w:sz w:val="20"/>
          <w:szCs w:val="22"/>
        </w:rPr>
        <w:t>reflects</w:t>
      </w:r>
      <w:r w:rsidRPr="00B212F2">
        <w:rPr>
          <w:rFonts w:cs="Arial"/>
          <w:sz w:val="20"/>
          <w:szCs w:val="22"/>
        </w:rPr>
        <w:t xml:space="preserve"> the </w:t>
      </w:r>
      <w:r>
        <w:rPr>
          <w:rFonts w:cs="Arial"/>
          <w:sz w:val="20"/>
          <w:szCs w:val="22"/>
        </w:rPr>
        <w:t xml:space="preserve">increase </w:t>
      </w:r>
      <w:r w:rsidRPr="00B212F2">
        <w:rPr>
          <w:rFonts w:cs="Arial"/>
          <w:sz w:val="20"/>
          <w:szCs w:val="22"/>
        </w:rPr>
        <w:t>from 65% to 66% of the average wage</w:t>
      </w:r>
      <w:r>
        <w:rPr>
          <w:rFonts w:cs="Arial"/>
          <w:sz w:val="20"/>
          <w:szCs w:val="22"/>
        </w:rPr>
        <w:t xml:space="preserve"> for the floor</w:t>
      </w:r>
      <w:r>
        <w:rPr>
          <w:rStyle w:val="FootnoteReference"/>
          <w:rFonts w:cs="Arial"/>
          <w:sz w:val="20"/>
          <w:szCs w:val="22"/>
        </w:rPr>
        <w:footnoteReference w:id="47"/>
      </w:r>
      <w:r>
        <w:rPr>
          <w:rFonts w:cs="Arial"/>
          <w:sz w:val="20"/>
          <w:szCs w:val="22"/>
        </w:rPr>
        <w:t xml:space="preserve"> for the married couple rate for NZS (</w:t>
      </w:r>
      <w:r w:rsidRPr="00B212F2">
        <w:rPr>
          <w:rFonts w:cs="Arial"/>
          <w:sz w:val="20"/>
          <w:szCs w:val="22"/>
        </w:rPr>
        <w:t>starting in 2006</w:t>
      </w:r>
      <w:r>
        <w:rPr>
          <w:rFonts w:cs="Arial"/>
          <w:sz w:val="20"/>
          <w:szCs w:val="22"/>
        </w:rPr>
        <w:t xml:space="preserve">), the increased employment income for some 65+ couples, and the personal income tax changes in October 2008 and April 2009.  In the latest survey (2010-11), median income for this group fell 2%. See Section I for more information on the incomes of older New Zealanders. </w:t>
      </w:r>
    </w:p>
    <w:p w:rsidR="00E46063" w:rsidRPr="00B212F2" w:rsidRDefault="00E46063" w:rsidP="00E46063">
      <w:pPr>
        <w:jc w:val="center"/>
        <w:rPr>
          <w:rFonts w:cs="Arial"/>
          <w:b/>
          <w:sz w:val="18"/>
        </w:rPr>
      </w:pPr>
      <w:r w:rsidRPr="00B212F2">
        <w:rPr>
          <w:rFonts w:cs="Arial"/>
          <w:b/>
          <w:sz w:val="18"/>
        </w:rPr>
        <w:t>Figure D.</w:t>
      </w:r>
      <w:r>
        <w:rPr>
          <w:rFonts w:cs="Arial"/>
          <w:b/>
          <w:sz w:val="18"/>
        </w:rPr>
        <w:t>10</w:t>
      </w:r>
    </w:p>
    <w:p w:rsidR="00E46063" w:rsidRPr="00B212F2" w:rsidRDefault="00E46063" w:rsidP="00E46063">
      <w:pPr>
        <w:jc w:val="center"/>
        <w:rPr>
          <w:rFonts w:cs="Arial"/>
          <w:b/>
          <w:sz w:val="18"/>
        </w:rPr>
      </w:pPr>
      <w:r w:rsidRPr="00B212F2">
        <w:rPr>
          <w:rFonts w:cs="Arial"/>
          <w:b/>
          <w:sz w:val="18"/>
        </w:rPr>
        <w:t>Median equivalised household incomes (</w:t>
      </w:r>
      <w:smartTag w:uri="urn:schemas-microsoft-com:office:smarttags" w:element="stockticker">
        <w:r w:rsidRPr="00B212F2">
          <w:rPr>
            <w:rFonts w:cs="Arial"/>
            <w:b/>
            <w:sz w:val="18"/>
          </w:rPr>
          <w:t>BHC</w:t>
        </w:r>
      </w:smartTag>
      <w:r w:rsidRPr="00B212F2">
        <w:rPr>
          <w:rFonts w:cs="Arial"/>
          <w:b/>
          <w:sz w:val="18"/>
        </w:rPr>
        <w:t>) for selected household types, 1982 to 20</w:t>
      </w:r>
      <w:r>
        <w:rPr>
          <w:rFonts w:cs="Arial"/>
          <w:b/>
          <w:sz w:val="18"/>
        </w:rPr>
        <w:t>11</w:t>
      </w:r>
      <w:r w:rsidRPr="00B212F2">
        <w:rPr>
          <w:rFonts w:cs="Arial"/>
          <w:b/>
          <w:sz w:val="18"/>
        </w:rPr>
        <w:t xml:space="preserve"> ($20</w:t>
      </w:r>
      <w:r>
        <w:rPr>
          <w:rFonts w:cs="Arial"/>
          <w:b/>
          <w:sz w:val="18"/>
        </w:rPr>
        <w:t>11</w:t>
      </w:r>
      <w:r w:rsidRPr="00B212F2">
        <w:rPr>
          <w:rFonts w:cs="Arial"/>
          <w:b/>
          <w:sz w:val="18"/>
        </w:rPr>
        <w:t>)</w:t>
      </w:r>
    </w:p>
    <w:p w:rsidR="00E46063" w:rsidRPr="00563028" w:rsidRDefault="00EC0BE0" w:rsidP="00E46063">
      <w:pPr>
        <w:spacing w:after="120"/>
        <w:jc w:val="center"/>
      </w:pPr>
      <w:r>
        <w:rPr>
          <w:noProof/>
          <w:lang w:val="en-US"/>
        </w:rPr>
        <w:drawing>
          <wp:inline distT="0" distB="0" distL="0" distR="0">
            <wp:extent cx="4514850" cy="2981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4514850" cy="2981325"/>
                    </a:xfrm>
                    <a:prstGeom prst="rect">
                      <a:avLst/>
                    </a:prstGeom>
                    <a:noFill/>
                    <a:ln w="9525">
                      <a:noFill/>
                      <a:miter lim="800000"/>
                      <a:headEnd/>
                      <a:tailEnd/>
                    </a:ln>
                  </pic:spPr>
                </pic:pic>
              </a:graphicData>
            </a:graphic>
          </wp:inline>
        </w:drawing>
      </w:r>
    </w:p>
    <w:p w:rsidR="00E46063" w:rsidRPr="009C235F" w:rsidRDefault="00E46063" w:rsidP="00E46063">
      <w:pPr>
        <w:spacing w:after="120"/>
        <w:ind w:left="1530" w:right="1001" w:hanging="540"/>
        <w:rPr>
          <w:rFonts w:cs="Arial"/>
          <w:b/>
          <w:sz w:val="18"/>
          <w:szCs w:val="18"/>
        </w:rPr>
      </w:pPr>
      <w:r w:rsidRPr="009C235F">
        <w:rPr>
          <w:sz w:val="18"/>
          <w:szCs w:val="18"/>
        </w:rPr>
        <w:t>Note:</w:t>
      </w:r>
      <w:r w:rsidRPr="009C235F">
        <w:rPr>
          <w:sz w:val="18"/>
          <w:szCs w:val="18"/>
        </w:rPr>
        <w:tab/>
        <w:t>The</w:t>
      </w:r>
      <w:r>
        <w:rPr>
          <w:sz w:val="18"/>
          <w:szCs w:val="18"/>
        </w:rPr>
        <w:t xml:space="preserve"> median</w:t>
      </w:r>
      <w:r w:rsidRPr="009C235F">
        <w:rPr>
          <w:sz w:val="18"/>
          <w:szCs w:val="18"/>
        </w:rPr>
        <w:t xml:space="preserve"> incomes in Figure D.</w:t>
      </w:r>
      <w:r>
        <w:rPr>
          <w:sz w:val="18"/>
          <w:szCs w:val="18"/>
        </w:rPr>
        <w:t>10</w:t>
      </w:r>
      <w:r w:rsidRPr="009C235F">
        <w:rPr>
          <w:sz w:val="18"/>
          <w:szCs w:val="18"/>
        </w:rPr>
        <w:t xml:space="preserve"> are equivalised h</w:t>
      </w:r>
      <w:r>
        <w:rPr>
          <w:sz w:val="18"/>
          <w:szCs w:val="18"/>
        </w:rPr>
        <w:t xml:space="preserve">ousehold incomes.  </w:t>
      </w:r>
      <w:r w:rsidRPr="009C235F">
        <w:rPr>
          <w:sz w:val="18"/>
          <w:szCs w:val="18"/>
        </w:rPr>
        <w:t>Table B.2 gives median household incomes in ordinary (unequivalised) dollars.</w:t>
      </w:r>
    </w:p>
    <w:p w:rsidR="00E46063" w:rsidRPr="00B212F2" w:rsidRDefault="00E46063" w:rsidP="00E46063">
      <w:pPr>
        <w:jc w:val="center"/>
        <w:rPr>
          <w:rFonts w:cs="Arial"/>
          <w:b/>
          <w:sz w:val="18"/>
        </w:rPr>
      </w:pPr>
      <w:r w:rsidRPr="00B212F2">
        <w:rPr>
          <w:rFonts w:cs="Arial"/>
          <w:b/>
          <w:sz w:val="18"/>
        </w:rPr>
        <w:lastRenderedPageBreak/>
        <w:t>Table D.</w:t>
      </w:r>
      <w:r>
        <w:rPr>
          <w:rFonts w:cs="Arial"/>
          <w:b/>
          <w:sz w:val="18"/>
        </w:rPr>
        <w:t>5</w:t>
      </w:r>
    </w:p>
    <w:p w:rsidR="00E46063" w:rsidRPr="00B67F3C" w:rsidRDefault="00E46063" w:rsidP="00E46063">
      <w:pPr>
        <w:spacing w:after="120"/>
        <w:jc w:val="center"/>
        <w:rPr>
          <w:rFonts w:cs="Arial"/>
          <w:b/>
          <w:sz w:val="20"/>
        </w:rPr>
      </w:pPr>
      <w:r w:rsidRPr="00B212F2">
        <w:rPr>
          <w:rFonts w:cs="Arial"/>
          <w:b/>
          <w:sz w:val="18"/>
        </w:rPr>
        <w:t>Median equivalised household incomes (</w:t>
      </w:r>
      <w:smartTag w:uri="urn:schemas-microsoft-com:office:smarttags" w:element="stockticker">
        <w:r w:rsidRPr="00B212F2">
          <w:rPr>
            <w:rFonts w:cs="Arial"/>
            <w:b/>
            <w:sz w:val="18"/>
          </w:rPr>
          <w:t>BHC</w:t>
        </w:r>
      </w:smartTag>
      <w:r w:rsidRPr="00B212F2">
        <w:rPr>
          <w:rFonts w:cs="Arial"/>
          <w:b/>
          <w:sz w:val="18"/>
        </w:rPr>
        <w:t>) fo</w:t>
      </w:r>
      <w:r>
        <w:rPr>
          <w:rFonts w:cs="Arial"/>
          <w:b/>
          <w:sz w:val="18"/>
        </w:rPr>
        <w:t>r selected household types, 1982</w:t>
      </w:r>
      <w:r w:rsidRPr="00B212F2">
        <w:rPr>
          <w:rFonts w:cs="Arial"/>
          <w:b/>
          <w:sz w:val="18"/>
        </w:rPr>
        <w:t xml:space="preserve"> to 20</w:t>
      </w:r>
      <w:r>
        <w:rPr>
          <w:rFonts w:cs="Arial"/>
          <w:b/>
          <w:sz w:val="18"/>
        </w:rPr>
        <w:t xml:space="preserve">11 </w:t>
      </w:r>
      <w:r w:rsidRPr="00B212F2">
        <w:rPr>
          <w:rFonts w:cs="Arial"/>
          <w:b/>
          <w:sz w:val="18"/>
        </w:rPr>
        <w:t>($20</w:t>
      </w:r>
      <w:r>
        <w:rPr>
          <w:rFonts w:cs="Arial"/>
          <w:b/>
          <w:sz w:val="18"/>
        </w:rPr>
        <w:t>11</w:t>
      </w:r>
      <w:r>
        <w:rPr>
          <w:rFonts w:cs="Arial"/>
          <w:b/>
          <w:sz w:val="20"/>
        </w:rPr>
        <w:t>)</w:t>
      </w:r>
    </w:p>
    <w:tbl>
      <w:tblPr>
        <w:tblStyle w:val="TableGrid"/>
        <w:tblW w:w="9111" w:type="dxa"/>
        <w:tblInd w:w="-151" w:type="dxa"/>
        <w:tblLayout w:type="fixed"/>
        <w:tblLook w:val="01E0"/>
      </w:tblPr>
      <w:tblGrid>
        <w:gridCol w:w="1170"/>
        <w:gridCol w:w="529"/>
        <w:gridCol w:w="529"/>
        <w:gridCol w:w="530"/>
        <w:gridCol w:w="529"/>
        <w:gridCol w:w="530"/>
        <w:gridCol w:w="529"/>
        <w:gridCol w:w="529"/>
        <w:gridCol w:w="530"/>
        <w:gridCol w:w="529"/>
        <w:gridCol w:w="530"/>
        <w:gridCol w:w="529"/>
        <w:gridCol w:w="529"/>
        <w:gridCol w:w="530"/>
        <w:gridCol w:w="529"/>
        <w:gridCol w:w="530"/>
      </w:tblGrid>
      <w:tr w:rsidR="00E46063">
        <w:trPr>
          <w:trHeight w:hRule="exact" w:val="346"/>
        </w:trPr>
        <w:tc>
          <w:tcPr>
            <w:tcW w:w="1170" w:type="dxa"/>
            <w:tcMar>
              <w:left w:w="29" w:type="dxa"/>
              <w:right w:w="29" w:type="dxa"/>
            </w:tcMar>
            <w:vAlign w:val="center"/>
          </w:tcPr>
          <w:p w:rsidR="00E46063" w:rsidRPr="00AB514C" w:rsidRDefault="00E46063" w:rsidP="00614C04">
            <w:pPr>
              <w:rPr>
                <w:rFonts w:cs="Arial"/>
                <w:sz w:val="14"/>
                <w:szCs w:val="16"/>
              </w:rPr>
            </w:pP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Pr>
                <w:rFonts w:cs="Arial"/>
                <w:b/>
                <w:sz w:val="14"/>
                <w:szCs w:val="16"/>
              </w:rPr>
              <w:t>1982</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Pr>
                <w:rFonts w:cs="Arial"/>
                <w:b/>
                <w:sz w:val="14"/>
                <w:szCs w:val="16"/>
              </w:rPr>
              <w:t>1984</w:t>
            </w:r>
          </w:p>
        </w:tc>
        <w:tc>
          <w:tcPr>
            <w:tcW w:w="530"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1986</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1988</w:t>
            </w:r>
          </w:p>
        </w:tc>
        <w:tc>
          <w:tcPr>
            <w:tcW w:w="530"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1990</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1992</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1994</w:t>
            </w:r>
          </w:p>
        </w:tc>
        <w:tc>
          <w:tcPr>
            <w:tcW w:w="530"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1996</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1998</w:t>
            </w:r>
          </w:p>
        </w:tc>
        <w:tc>
          <w:tcPr>
            <w:tcW w:w="530"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2001</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2004</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2007</w:t>
            </w:r>
          </w:p>
        </w:tc>
        <w:tc>
          <w:tcPr>
            <w:tcW w:w="530"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sidRPr="00AB514C">
              <w:rPr>
                <w:rFonts w:cs="Arial"/>
                <w:b/>
                <w:sz w:val="14"/>
                <w:szCs w:val="16"/>
              </w:rPr>
              <w:t>2009</w:t>
            </w:r>
          </w:p>
        </w:tc>
        <w:tc>
          <w:tcPr>
            <w:tcW w:w="529" w:type="dxa"/>
            <w:tcMar>
              <w:left w:w="29" w:type="dxa"/>
              <w:right w:w="29" w:type="dxa"/>
            </w:tcMar>
            <w:vAlign w:val="center"/>
          </w:tcPr>
          <w:p w:rsidR="00E46063" w:rsidRPr="00AB514C" w:rsidRDefault="00E46063" w:rsidP="00614C04">
            <w:pPr>
              <w:spacing w:before="60" w:after="60"/>
              <w:ind w:left="-120" w:right="-59"/>
              <w:jc w:val="center"/>
              <w:rPr>
                <w:rFonts w:cs="Arial"/>
                <w:b/>
                <w:sz w:val="14"/>
                <w:szCs w:val="16"/>
              </w:rPr>
            </w:pPr>
            <w:r>
              <w:rPr>
                <w:rFonts w:cs="Arial"/>
                <w:b/>
                <w:sz w:val="14"/>
                <w:szCs w:val="16"/>
              </w:rPr>
              <w:t>2010</w:t>
            </w:r>
          </w:p>
        </w:tc>
        <w:tc>
          <w:tcPr>
            <w:tcW w:w="530" w:type="dxa"/>
            <w:vAlign w:val="center"/>
          </w:tcPr>
          <w:p w:rsidR="00E46063" w:rsidRDefault="00E46063" w:rsidP="00614C04">
            <w:pPr>
              <w:spacing w:before="60" w:after="60"/>
              <w:ind w:left="-120" w:right="-59"/>
              <w:jc w:val="center"/>
              <w:rPr>
                <w:rFonts w:cs="Arial"/>
                <w:b/>
                <w:sz w:val="14"/>
                <w:szCs w:val="16"/>
              </w:rPr>
            </w:pPr>
            <w:r>
              <w:rPr>
                <w:rFonts w:cs="Arial"/>
                <w:b/>
                <w:sz w:val="14"/>
                <w:szCs w:val="16"/>
              </w:rPr>
              <w:t>2011</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sidRPr="00AB514C">
              <w:rPr>
                <w:rFonts w:cs="Arial"/>
                <w:b/>
                <w:sz w:val="14"/>
                <w:szCs w:val="16"/>
              </w:rPr>
              <w:t>Single &lt; 65</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30,100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27,900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29,800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28,100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23,000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23,700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26,200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30,200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29,100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29,100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28,700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32,600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34,500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29,600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sidRPr="00AB514C">
              <w:rPr>
                <w:rFonts w:cs="Arial"/>
                <w:b/>
                <w:sz w:val="14"/>
                <w:szCs w:val="16"/>
              </w:rPr>
              <w:t>Couple &lt; 65</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41,000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37,300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35,200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36,300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36,900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34,000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33,100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34,500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38,700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39,600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42,200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42,500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48,100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46,600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45,600</w:t>
            </w:r>
          </w:p>
        </w:tc>
      </w:tr>
      <w:tr w:rsidR="00E46063">
        <w:trPr>
          <w:trHeight w:hRule="exact" w:val="568"/>
        </w:trPr>
        <w:tc>
          <w:tcPr>
            <w:tcW w:w="1170" w:type="dxa"/>
            <w:tcMar>
              <w:left w:w="29" w:type="dxa"/>
              <w:right w:w="29" w:type="dxa"/>
            </w:tcMar>
            <w:vAlign w:val="center"/>
          </w:tcPr>
          <w:p w:rsidR="00E46063" w:rsidRPr="00AB514C" w:rsidRDefault="00E46063" w:rsidP="00614C04">
            <w:pPr>
              <w:rPr>
                <w:rFonts w:cs="Arial"/>
                <w:b/>
                <w:sz w:val="14"/>
                <w:szCs w:val="16"/>
              </w:rPr>
            </w:pPr>
            <w:r>
              <w:rPr>
                <w:rFonts w:cs="Arial"/>
                <w:b/>
                <w:sz w:val="14"/>
                <w:szCs w:val="16"/>
              </w:rPr>
              <w:t>Other multi-adult fam HH &lt;65, no dep ch</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41,100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40,400</w:t>
            </w:r>
          </w:p>
        </w:tc>
        <w:tc>
          <w:tcPr>
            <w:tcW w:w="530"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39,200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39,600</w:t>
            </w:r>
          </w:p>
        </w:tc>
        <w:tc>
          <w:tcPr>
            <w:tcW w:w="530"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34,400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34,500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31,600</w:t>
            </w:r>
          </w:p>
        </w:tc>
        <w:tc>
          <w:tcPr>
            <w:tcW w:w="530"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35,700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36,900</w:t>
            </w:r>
          </w:p>
        </w:tc>
        <w:tc>
          <w:tcPr>
            <w:tcW w:w="530"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41,800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38,200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41,700</w:t>
            </w:r>
          </w:p>
        </w:tc>
        <w:tc>
          <w:tcPr>
            <w:tcW w:w="530"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42,800</w:t>
            </w:r>
          </w:p>
        </w:tc>
        <w:tc>
          <w:tcPr>
            <w:tcW w:w="529" w:type="dxa"/>
            <w:noWrap/>
            <w:tcMar>
              <w:left w:w="29" w:type="dxa"/>
              <w:right w:w="0"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41,400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44,100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sidRPr="00AB514C">
              <w:rPr>
                <w:rFonts w:cs="Arial"/>
                <w:b/>
                <w:sz w:val="14"/>
                <w:szCs w:val="16"/>
              </w:rPr>
              <w:t>Two parent</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25,200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24,000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23,200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24,300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24,500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22,100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21,200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22,500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24,600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25,700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29,400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29,200</w:t>
            </w:r>
          </w:p>
        </w:tc>
        <w:tc>
          <w:tcPr>
            <w:tcW w:w="530"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31,700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31,500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30,900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sidRPr="00AB514C">
              <w:rPr>
                <w:rFonts w:cs="Arial"/>
                <w:b/>
                <w:sz w:val="14"/>
                <w:szCs w:val="16"/>
              </w:rPr>
              <w:t>Sole parent</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17,300</w:t>
            </w:r>
          </w:p>
        </w:tc>
        <w:tc>
          <w:tcPr>
            <w:tcW w:w="530"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16,600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19,000</w:t>
            </w:r>
          </w:p>
        </w:tc>
        <w:tc>
          <w:tcPr>
            <w:tcW w:w="530"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17,800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13,600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13,500</w:t>
            </w:r>
          </w:p>
        </w:tc>
        <w:tc>
          <w:tcPr>
            <w:tcW w:w="530"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14,700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16,100</w:t>
            </w:r>
          </w:p>
        </w:tc>
        <w:tc>
          <w:tcPr>
            <w:tcW w:w="530"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15,600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16,100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17,600</w:t>
            </w:r>
          </w:p>
        </w:tc>
        <w:tc>
          <w:tcPr>
            <w:tcW w:w="530"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20,800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21,400</w:t>
            </w:r>
          </w:p>
        </w:tc>
        <w:tc>
          <w:tcPr>
            <w:tcW w:w="530" w:type="dxa"/>
            <w:tcBorders>
              <w:bottom w:val="single" w:sz="4" w:space="0" w:color="auto"/>
            </w:tcBorders>
            <w:vAlign w:val="center"/>
          </w:tcPr>
          <w:p w:rsidR="00E46063" w:rsidRDefault="00E46063" w:rsidP="00614C04">
            <w:pPr>
              <w:spacing w:before="60" w:after="60"/>
              <w:ind w:left="-120" w:right="-59"/>
              <w:jc w:val="center"/>
              <w:rPr>
                <w:rFonts w:cs="Arial"/>
                <w:sz w:val="14"/>
                <w:szCs w:val="16"/>
              </w:rPr>
            </w:pPr>
            <w:r>
              <w:rPr>
                <w:rFonts w:cs="Arial"/>
                <w:sz w:val="14"/>
                <w:szCs w:val="16"/>
              </w:rPr>
              <w:t>20,500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sidRPr="00AB514C">
              <w:rPr>
                <w:rFonts w:cs="Arial"/>
                <w:b/>
                <w:sz w:val="14"/>
                <w:szCs w:val="16"/>
              </w:rPr>
              <w:t>Couple 65+</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19,800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19,900</w:t>
            </w:r>
          </w:p>
        </w:tc>
        <w:tc>
          <w:tcPr>
            <w:tcW w:w="530"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19,700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19,800</w:t>
            </w:r>
          </w:p>
        </w:tc>
        <w:tc>
          <w:tcPr>
            <w:tcW w:w="530"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20,400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18,900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18,200</w:t>
            </w:r>
          </w:p>
        </w:tc>
        <w:tc>
          <w:tcPr>
            <w:tcW w:w="530"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18,800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18,600</w:t>
            </w:r>
          </w:p>
        </w:tc>
        <w:tc>
          <w:tcPr>
            <w:tcW w:w="530"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18,600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19,400</w:t>
            </w:r>
          </w:p>
        </w:tc>
        <w:tc>
          <w:tcPr>
            <w:tcW w:w="529"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21,700</w:t>
            </w:r>
          </w:p>
        </w:tc>
        <w:tc>
          <w:tcPr>
            <w:tcW w:w="530" w:type="dxa"/>
            <w:tcBorders>
              <w:bottom w:val="single" w:sz="4" w:space="0" w:color="auto"/>
            </w:tcBorders>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26,100</w:t>
            </w:r>
          </w:p>
        </w:tc>
        <w:tc>
          <w:tcPr>
            <w:tcW w:w="529" w:type="dxa"/>
            <w:tcBorders>
              <w:bottom w:val="single" w:sz="4" w:space="0" w:color="auto"/>
            </w:tcBorders>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26,600</w:t>
            </w:r>
          </w:p>
        </w:tc>
        <w:tc>
          <w:tcPr>
            <w:tcW w:w="530" w:type="dxa"/>
            <w:tcBorders>
              <w:bottom w:val="single" w:sz="4" w:space="0" w:color="auto"/>
            </w:tcBorders>
            <w:vAlign w:val="center"/>
          </w:tcPr>
          <w:p w:rsidR="00E46063" w:rsidRDefault="00E46063" w:rsidP="00614C04">
            <w:pPr>
              <w:spacing w:before="60" w:after="60"/>
              <w:ind w:left="-120" w:right="-59"/>
              <w:jc w:val="center"/>
              <w:rPr>
                <w:rFonts w:cs="Arial"/>
                <w:sz w:val="14"/>
                <w:szCs w:val="16"/>
              </w:rPr>
            </w:pPr>
            <w:r>
              <w:rPr>
                <w:rFonts w:cs="Arial"/>
                <w:sz w:val="14"/>
                <w:szCs w:val="16"/>
              </w:rPr>
              <w:t>26,000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r>
              <w:rPr>
                <w:rFonts w:cs="Arial"/>
                <w:b/>
                <w:sz w:val="14"/>
                <w:szCs w:val="16"/>
              </w:rPr>
              <w:t>Si</w:t>
            </w:r>
            <w:r w:rsidRPr="00AB514C">
              <w:rPr>
                <w:rFonts w:cs="Arial"/>
                <w:b/>
                <w:sz w:val="14"/>
                <w:szCs w:val="16"/>
              </w:rPr>
              <w:t>ngle 65+</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16,600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16,800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15,900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15,900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15,200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15,500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15,500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16,500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16,800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17,400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17,400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17,900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19,500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20,100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19,100</w:t>
            </w:r>
          </w:p>
        </w:tc>
      </w:tr>
      <w:tr w:rsidR="00E46063">
        <w:trPr>
          <w:trHeight w:hRule="exact" w:val="346"/>
        </w:trPr>
        <w:tc>
          <w:tcPr>
            <w:tcW w:w="1170" w:type="dxa"/>
            <w:tcMar>
              <w:left w:w="29" w:type="dxa"/>
              <w:right w:w="29" w:type="dxa"/>
            </w:tcMar>
            <w:vAlign w:val="center"/>
          </w:tcPr>
          <w:p w:rsidR="00E46063" w:rsidRPr="00AB514C" w:rsidRDefault="00E46063" w:rsidP="00614C04">
            <w:pPr>
              <w:rPr>
                <w:rFonts w:cs="Arial"/>
                <w:b/>
                <w:sz w:val="14"/>
                <w:szCs w:val="16"/>
              </w:rPr>
            </w:pPr>
            <w:smartTag w:uri="urn:schemas-microsoft-com:office:smarttags" w:element="stockticker">
              <w:r w:rsidRPr="00AB514C">
                <w:rPr>
                  <w:rFonts w:cs="Arial"/>
                  <w:b/>
                  <w:sz w:val="14"/>
                  <w:szCs w:val="16"/>
                </w:rPr>
                <w:t>ALL</w:t>
              </w:r>
            </w:smartTag>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26,600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25,900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25,300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26,100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25,500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23,000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22,300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23,600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25,600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26,300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28,300</w:t>
            </w:r>
          </w:p>
        </w:tc>
        <w:tc>
          <w:tcPr>
            <w:tcW w:w="529"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29,900</w:t>
            </w:r>
          </w:p>
        </w:tc>
        <w:tc>
          <w:tcPr>
            <w:tcW w:w="530" w:type="dxa"/>
            <w:shd w:val="clear" w:color="auto" w:fill="auto"/>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32,500</w:t>
            </w:r>
          </w:p>
        </w:tc>
        <w:tc>
          <w:tcPr>
            <w:tcW w:w="529" w:type="dxa"/>
            <w:noWrap/>
            <w:tcMar>
              <w:left w:w="29" w:type="dxa"/>
              <w:right w:w="0" w:type="dxa"/>
            </w:tcMar>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32,800</w:t>
            </w:r>
          </w:p>
        </w:tc>
        <w:tc>
          <w:tcPr>
            <w:tcW w:w="530" w:type="dxa"/>
            <w:vAlign w:val="center"/>
          </w:tcPr>
          <w:p w:rsidR="00E46063" w:rsidRDefault="00E46063" w:rsidP="00614C04">
            <w:pPr>
              <w:spacing w:before="60" w:after="60"/>
              <w:ind w:left="-120" w:right="-59"/>
              <w:jc w:val="center"/>
              <w:rPr>
                <w:rFonts w:cs="Arial"/>
                <w:sz w:val="14"/>
                <w:szCs w:val="16"/>
              </w:rPr>
            </w:pPr>
            <w:r>
              <w:rPr>
                <w:rFonts w:cs="Arial"/>
                <w:sz w:val="14"/>
                <w:szCs w:val="16"/>
              </w:rPr>
              <w:t>31,900</w:t>
            </w:r>
          </w:p>
        </w:tc>
      </w:tr>
    </w:tbl>
    <w:p w:rsidR="00E46063" w:rsidRPr="00B212F2" w:rsidRDefault="00E46063" w:rsidP="00E46063">
      <w:pPr>
        <w:rPr>
          <w:rFonts w:cs="Arial"/>
          <w:b/>
          <w:sz w:val="20"/>
          <w:szCs w:val="22"/>
        </w:rPr>
      </w:pPr>
      <w:r>
        <w:rPr>
          <w:rFonts w:cs="Arial"/>
          <w:b/>
          <w:sz w:val="20"/>
        </w:rPr>
        <w:br w:type="page"/>
      </w:r>
      <w:r w:rsidRPr="00B212F2">
        <w:rPr>
          <w:rFonts w:cs="Arial"/>
          <w:b/>
          <w:sz w:val="20"/>
          <w:szCs w:val="22"/>
        </w:rPr>
        <w:lastRenderedPageBreak/>
        <w:t>Trends in the median by ethnicity</w:t>
      </w:r>
    </w:p>
    <w:p w:rsidR="00E46063" w:rsidRPr="00B212F2" w:rsidRDefault="00E46063" w:rsidP="00E46063">
      <w:pPr>
        <w:pStyle w:val="NormalWeb"/>
        <w:spacing w:before="0" w:beforeAutospacing="0" w:after="0" w:afterAutospacing="0"/>
        <w:jc w:val="both"/>
        <w:rPr>
          <w:rFonts w:ascii="Arial" w:hAnsi="Arial" w:cs="Arial"/>
          <w:sz w:val="20"/>
          <w:szCs w:val="22"/>
        </w:rPr>
      </w:pPr>
    </w:p>
    <w:p w:rsidR="00E46063" w:rsidRPr="00B212F2" w:rsidRDefault="00E46063" w:rsidP="00E46063">
      <w:pPr>
        <w:pStyle w:val="NormalWeb"/>
        <w:spacing w:before="0" w:beforeAutospacing="0" w:after="0" w:afterAutospacing="0"/>
        <w:jc w:val="both"/>
        <w:rPr>
          <w:rFonts w:ascii="Arial" w:hAnsi="Arial" w:cs="Arial"/>
          <w:sz w:val="20"/>
          <w:szCs w:val="22"/>
        </w:rPr>
      </w:pPr>
      <w:r w:rsidRPr="00B212F2">
        <w:rPr>
          <w:rFonts w:ascii="Arial" w:hAnsi="Arial" w:cs="Arial"/>
          <w:sz w:val="20"/>
          <w:szCs w:val="22"/>
        </w:rPr>
        <w:t xml:space="preserve">Ethnicity of individuals aged 15 and over is as reported by the individual, and children under 15 are attributed with the ethnicity of the survey respondent.   If a respondent reports more than one ethnicity, the ethnicity attributed is determined according to a hierarchical classification of Māori, </w:t>
      </w:r>
      <w:smartTag w:uri="urn:schemas-microsoft-com:office:smarttags" w:element="place">
        <w:smartTag w:uri="urn:schemas-microsoft-com:office:smarttags" w:element="PlaceName">
          <w:r w:rsidRPr="00B212F2">
            <w:rPr>
              <w:rFonts w:ascii="Arial" w:hAnsi="Arial" w:cs="Arial"/>
              <w:sz w:val="20"/>
              <w:szCs w:val="22"/>
            </w:rPr>
            <w:t>Pacific</w:t>
          </w:r>
        </w:smartTag>
        <w:r w:rsidRPr="00B212F2">
          <w:rPr>
            <w:rFonts w:ascii="Arial" w:hAnsi="Arial" w:cs="Arial"/>
            <w:sz w:val="20"/>
            <w:szCs w:val="22"/>
          </w:rPr>
          <w:t xml:space="preserve"> </w:t>
        </w:r>
        <w:smartTag w:uri="urn:schemas-microsoft-com:office:smarttags" w:element="PlaceType">
          <w:r w:rsidRPr="00B212F2">
            <w:rPr>
              <w:rFonts w:ascii="Arial" w:hAnsi="Arial" w:cs="Arial"/>
              <w:sz w:val="20"/>
              <w:szCs w:val="22"/>
            </w:rPr>
            <w:t>Island</w:t>
          </w:r>
        </w:smartTag>
      </w:smartTag>
      <w:r w:rsidRPr="00B212F2">
        <w:rPr>
          <w:rFonts w:ascii="Arial" w:hAnsi="Arial" w:cs="Arial"/>
          <w:sz w:val="20"/>
          <w:szCs w:val="22"/>
        </w:rPr>
        <w:t>, Other and then European/Pākehā.</w:t>
      </w:r>
      <w:r>
        <w:rPr>
          <w:rStyle w:val="FootnoteReference"/>
          <w:rFonts w:ascii="Arial" w:hAnsi="Arial" w:cs="Arial"/>
          <w:sz w:val="20"/>
          <w:szCs w:val="22"/>
        </w:rPr>
        <w:footnoteReference w:id="48"/>
      </w:r>
      <w:r w:rsidRPr="00B212F2">
        <w:rPr>
          <w:rFonts w:ascii="Arial" w:hAnsi="Arial" w:cs="Arial"/>
          <w:sz w:val="20"/>
          <w:szCs w:val="22"/>
        </w:rPr>
        <w:t xml:space="preserve">   </w:t>
      </w:r>
      <w:r>
        <w:rPr>
          <w:rFonts w:ascii="Arial" w:hAnsi="Arial" w:cs="Arial"/>
          <w:sz w:val="20"/>
          <w:szCs w:val="22"/>
        </w:rPr>
        <w:t>The</w:t>
      </w:r>
      <w:r w:rsidRPr="00B212F2">
        <w:rPr>
          <w:rFonts w:ascii="Arial" w:hAnsi="Arial" w:cs="Arial"/>
          <w:sz w:val="20"/>
          <w:szCs w:val="22"/>
        </w:rPr>
        <w:t xml:space="preserve"> household’s equivalised disposable income is attributed to the individual for ranking purposes</w:t>
      </w:r>
      <w:r>
        <w:rPr>
          <w:rFonts w:ascii="Arial" w:hAnsi="Arial" w:cs="Arial"/>
          <w:sz w:val="20"/>
          <w:szCs w:val="22"/>
        </w:rPr>
        <w:t>, just as it is for analysis by age.</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sidRPr="00B212F2">
        <w:rPr>
          <w:rFonts w:cs="Arial"/>
          <w:b/>
          <w:sz w:val="20"/>
          <w:szCs w:val="22"/>
        </w:rPr>
        <w:t>Figure D.</w:t>
      </w:r>
      <w:r>
        <w:rPr>
          <w:rFonts w:cs="Arial"/>
          <w:b/>
          <w:sz w:val="20"/>
          <w:szCs w:val="22"/>
        </w:rPr>
        <w:t>11</w:t>
      </w:r>
      <w:r w:rsidRPr="00B212F2">
        <w:rPr>
          <w:rFonts w:cs="Arial"/>
          <w:b/>
          <w:sz w:val="20"/>
          <w:szCs w:val="22"/>
        </w:rPr>
        <w:t xml:space="preserve"> and Table D.</w:t>
      </w:r>
      <w:r>
        <w:rPr>
          <w:rFonts w:cs="Arial"/>
          <w:b/>
          <w:sz w:val="20"/>
          <w:szCs w:val="22"/>
        </w:rPr>
        <w:t>6</w:t>
      </w:r>
      <w:r w:rsidRPr="00B212F2">
        <w:rPr>
          <w:rFonts w:cs="Arial"/>
          <w:b/>
          <w:sz w:val="20"/>
          <w:szCs w:val="22"/>
        </w:rPr>
        <w:t xml:space="preserve"> </w:t>
      </w:r>
      <w:r w:rsidRPr="00B212F2">
        <w:rPr>
          <w:rFonts w:cs="Arial"/>
          <w:sz w:val="20"/>
          <w:szCs w:val="22"/>
        </w:rPr>
        <w:t>show the trends in real equivalised household disposable income (</w:t>
      </w:r>
      <w:smartTag w:uri="urn:schemas-microsoft-com:office:smarttags" w:element="stockticker">
        <w:r w:rsidRPr="00B212F2">
          <w:rPr>
            <w:rFonts w:cs="Arial"/>
            <w:sz w:val="20"/>
            <w:szCs w:val="22"/>
          </w:rPr>
          <w:t>BHC</w:t>
        </w:r>
      </w:smartTag>
      <w:r w:rsidRPr="00B212F2">
        <w:rPr>
          <w:rFonts w:cs="Arial"/>
          <w:sz w:val="20"/>
          <w:szCs w:val="22"/>
        </w:rPr>
        <w:t>) from 1988 to 20</w:t>
      </w:r>
      <w:r>
        <w:rPr>
          <w:rFonts w:cs="Arial"/>
          <w:sz w:val="20"/>
          <w:szCs w:val="22"/>
        </w:rPr>
        <w:t>11</w:t>
      </w:r>
      <w:r w:rsidRPr="00B212F2">
        <w:rPr>
          <w:rFonts w:cs="Arial"/>
          <w:sz w:val="20"/>
          <w:szCs w:val="22"/>
        </w:rPr>
        <w:t xml:space="preserve"> by ethnicity.</w:t>
      </w:r>
      <w:r w:rsidRPr="00B212F2">
        <w:rPr>
          <w:rStyle w:val="FootnoteReference"/>
          <w:rFonts w:cs="Arial"/>
          <w:sz w:val="20"/>
          <w:szCs w:val="22"/>
        </w:rPr>
        <w:footnoteReference w:id="49"/>
      </w:r>
      <w:r>
        <w:rPr>
          <w:rFonts w:cs="Arial"/>
          <w:sz w:val="20"/>
          <w:szCs w:val="22"/>
        </w:rPr>
        <w:t xml:space="preserve">  </w:t>
      </w:r>
    </w:p>
    <w:p w:rsidR="00E46063" w:rsidRDefault="00E46063" w:rsidP="00E46063">
      <w:pPr>
        <w:jc w:val="both"/>
        <w:rPr>
          <w:rFonts w:cs="Arial"/>
          <w:sz w:val="20"/>
          <w:szCs w:val="22"/>
        </w:rPr>
      </w:pPr>
    </w:p>
    <w:p w:rsidR="00E46063" w:rsidRDefault="00E46063" w:rsidP="00E46063">
      <w:pPr>
        <w:jc w:val="both"/>
        <w:rPr>
          <w:rFonts w:cs="Arial"/>
          <w:sz w:val="20"/>
          <w:szCs w:val="22"/>
        </w:rPr>
      </w:pPr>
      <w:r>
        <w:rPr>
          <w:rFonts w:cs="Arial"/>
          <w:sz w:val="20"/>
          <w:szCs w:val="22"/>
        </w:rPr>
        <w:t xml:space="preserve">The impact of the economic downturn and global financial crisis is clear for all except the ‘Other ethnicity’ group.  The relatively small sample sizes for Maori and Pacific mean that precision is not possible, but it is clear that the decline in real terms for Maori (~8%) from 2009-10 to 2010-11 HES was substantial.  The Income Survey figures from the Household Labour Force Survey supplement tell the same story.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Pr>
          <w:rFonts w:cs="Arial"/>
          <w:sz w:val="20"/>
          <w:szCs w:val="22"/>
        </w:rPr>
        <w:t xml:space="preserve">From a longer-term perspective, all groups </w:t>
      </w:r>
      <w:r w:rsidRPr="00B212F2">
        <w:rPr>
          <w:rFonts w:cs="Arial"/>
          <w:sz w:val="20"/>
          <w:szCs w:val="22"/>
        </w:rPr>
        <w:t>show</w:t>
      </w:r>
      <w:r>
        <w:rPr>
          <w:rFonts w:cs="Arial"/>
          <w:sz w:val="20"/>
          <w:szCs w:val="22"/>
        </w:rPr>
        <w:t>ed</w:t>
      </w:r>
      <w:r w:rsidRPr="00B212F2">
        <w:rPr>
          <w:rFonts w:cs="Arial"/>
          <w:sz w:val="20"/>
          <w:szCs w:val="22"/>
        </w:rPr>
        <w:t xml:space="preserve"> a strong rise from the low point in the mid 1990s through to 20</w:t>
      </w:r>
      <w:r>
        <w:rPr>
          <w:rFonts w:cs="Arial"/>
          <w:sz w:val="20"/>
          <w:szCs w:val="22"/>
        </w:rPr>
        <w:t>10</w:t>
      </w:r>
      <w:r w:rsidRPr="00B212F2">
        <w:rPr>
          <w:rFonts w:cs="Arial"/>
          <w:sz w:val="20"/>
          <w:szCs w:val="22"/>
        </w:rPr>
        <w:t xml:space="preserve">.  </w:t>
      </w:r>
      <w:r>
        <w:rPr>
          <w:rFonts w:cs="Arial"/>
          <w:sz w:val="20"/>
          <w:szCs w:val="22"/>
        </w:rPr>
        <w:t xml:space="preserve">In real terms, overall median household income rose 47% from 1994 to 2010: for Maori, the rise was even stronger at 68%, and for Pacific, 77%. </w:t>
      </w:r>
      <w:r w:rsidRPr="00B212F2">
        <w:rPr>
          <w:rFonts w:cs="Arial"/>
          <w:sz w:val="20"/>
          <w:szCs w:val="22"/>
        </w:rPr>
        <w:t>These</w:t>
      </w:r>
      <w:r>
        <w:rPr>
          <w:rFonts w:cs="Arial"/>
          <w:sz w:val="20"/>
          <w:szCs w:val="22"/>
        </w:rPr>
        <w:t xml:space="preserve"> findings for</w:t>
      </w:r>
      <w:r w:rsidRPr="00B212F2">
        <w:rPr>
          <w:rFonts w:cs="Arial"/>
          <w:sz w:val="20"/>
          <w:szCs w:val="22"/>
        </w:rPr>
        <w:t xml:space="preserve"> longer</w:t>
      </w:r>
      <w:r>
        <w:rPr>
          <w:rFonts w:cs="Arial"/>
          <w:sz w:val="20"/>
          <w:szCs w:val="22"/>
        </w:rPr>
        <w:t>-</w:t>
      </w:r>
      <w:r w:rsidRPr="00B212F2">
        <w:rPr>
          <w:rFonts w:cs="Arial"/>
          <w:sz w:val="20"/>
          <w:szCs w:val="22"/>
        </w:rPr>
        <w:t xml:space="preserve"> term trends are robust, even though some year on year changes may be less certain.</w:t>
      </w:r>
      <w:r>
        <w:rPr>
          <w:rFonts w:cs="Arial"/>
          <w:sz w:val="20"/>
          <w:szCs w:val="22"/>
        </w:rPr>
        <w:t xml:space="preserve">  </w:t>
      </w:r>
      <w:r w:rsidRPr="00B212F2">
        <w:rPr>
          <w:rFonts w:cs="Arial"/>
          <w:sz w:val="20"/>
          <w:szCs w:val="22"/>
        </w:rPr>
        <w:t xml:space="preserve"> </w:t>
      </w:r>
      <w:r>
        <w:rPr>
          <w:rFonts w:cs="Arial"/>
          <w:sz w:val="20"/>
          <w:szCs w:val="22"/>
        </w:rPr>
        <w:t>For 2004 to 2010, the respective growth figures were 21%, 31% and 14%.</w:t>
      </w:r>
      <w:r>
        <w:rPr>
          <w:rStyle w:val="FootnoteReference"/>
          <w:rFonts w:cs="Arial"/>
          <w:sz w:val="20"/>
          <w:szCs w:val="22"/>
        </w:rPr>
        <w:footnoteReference w:id="50"/>
      </w:r>
    </w:p>
    <w:p w:rsidR="00E46063" w:rsidRPr="00B212F2" w:rsidRDefault="00E46063" w:rsidP="00E46063">
      <w:pPr>
        <w:pStyle w:val="NormalWeb"/>
        <w:spacing w:before="0" w:beforeAutospacing="0" w:after="0" w:afterAutospacing="0"/>
        <w:jc w:val="both"/>
        <w:rPr>
          <w:rFonts w:ascii="Arial" w:hAnsi="Arial" w:cs="Arial"/>
          <w:sz w:val="20"/>
          <w:szCs w:val="22"/>
        </w:rPr>
      </w:pPr>
    </w:p>
    <w:p w:rsidR="00E46063" w:rsidRPr="00B212F2" w:rsidRDefault="00E46063" w:rsidP="00E46063">
      <w:pPr>
        <w:jc w:val="center"/>
        <w:rPr>
          <w:rFonts w:cs="Arial"/>
          <w:b/>
          <w:sz w:val="18"/>
        </w:rPr>
      </w:pPr>
      <w:r w:rsidRPr="00B212F2">
        <w:rPr>
          <w:rFonts w:cs="Arial"/>
          <w:b/>
          <w:sz w:val="18"/>
        </w:rPr>
        <w:t>Figure D.</w:t>
      </w:r>
      <w:r>
        <w:rPr>
          <w:rFonts w:cs="Arial"/>
          <w:b/>
          <w:sz w:val="18"/>
        </w:rPr>
        <w:t>11</w:t>
      </w:r>
    </w:p>
    <w:p w:rsidR="00E46063" w:rsidRPr="00B212F2" w:rsidRDefault="00E46063" w:rsidP="00E46063">
      <w:pPr>
        <w:jc w:val="center"/>
        <w:rPr>
          <w:rFonts w:cs="Arial"/>
          <w:b/>
          <w:sz w:val="18"/>
        </w:rPr>
      </w:pPr>
      <w:r w:rsidRPr="00B212F2">
        <w:rPr>
          <w:rFonts w:cs="Arial"/>
          <w:b/>
          <w:sz w:val="18"/>
        </w:rPr>
        <w:t>Real equivalised median household incomes (</w:t>
      </w:r>
      <w:smartTag w:uri="urn:schemas-microsoft-com:office:smarttags" w:element="stockticker">
        <w:r w:rsidRPr="00B212F2">
          <w:rPr>
            <w:rFonts w:cs="Arial"/>
            <w:b/>
            <w:sz w:val="18"/>
          </w:rPr>
          <w:t>BHC</w:t>
        </w:r>
      </w:smartTag>
      <w:r w:rsidRPr="00B212F2">
        <w:rPr>
          <w:rFonts w:cs="Arial"/>
          <w:b/>
          <w:sz w:val="18"/>
        </w:rPr>
        <w:t>) by ethnicity, 1988 to 20</w:t>
      </w:r>
      <w:r>
        <w:rPr>
          <w:rFonts w:cs="Arial"/>
          <w:b/>
          <w:sz w:val="18"/>
        </w:rPr>
        <w:t>11</w:t>
      </w:r>
      <w:r w:rsidRPr="00B212F2">
        <w:rPr>
          <w:rFonts w:cs="Arial"/>
          <w:b/>
          <w:sz w:val="18"/>
        </w:rPr>
        <w:t xml:space="preserve"> ($20</w:t>
      </w:r>
      <w:r>
        <w:rPr>
          <w:rFonts w:cs="Arial"/>
          <w:b/>
          <w:sz w:val="18"/>
        </w:rPr>
        <w:t>11</w:t>
      </w:r>
      <w:r w:rsidRPr="00B212F2">
        <w:rPr>
          <w:rFonts w:cs="Arial"/>
          <w:b/>
          <w:sz w:val="18"/>
        </w:rPr>
        <w:t>)</w:t>
      </w:r>
    </w:p>
    <w:p w:rsidR="00E46063" w:rsidRPr="001009AE" w:rsidRDefault="00EC0BE0" w:rsidP="00E46063">
      <w:pPr>
        <w:jc w:val="center"/>
      </w:pPr>
      <w:r>
        <w:rPr>
          <w:noProof/>
          <w:lang w:val="en-US"/>
        </w:rPr>
        <w:drawing>
          <wp:inline distT="0" distB="0" distL="0" distR="0">
            <wp:extent cx="4305300" cy="2638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4305300" cy="2638425"/>
                    </a:xfrm>
                    <a:prstGeom prst="rect">
                      <a:avLst/>
                    </a:prstGeom>
                    <a:noFill/>
                    <a:ln w="9525">
                      <a:noFill/>
                      <a:miter lim="800000"/>
                      <a:headEnd/>
                      <a:tailEnd/>
                    </a:ln>
                  </pic:spPr>
                </pic:pic>
              </a:graphicData>
            </a:graphic>
          </wp:inline>
        </w:drawing>
      </w:r>
    </w:p>
    <w:p w:rsidR="00E46063" w:rsidRPr="008F3A89" w:rsidRDefault="00E46063" w:rsidP="00E46063">
      <w:pPr>
        <w:jc w:val="center"/>
        <w:rPr>
          <w:sz w:val="18"/>
          <w:szCs w:val="18"/>
        </w:rPr>
      </w:pPr>
    </w:p>
    <w:p w:rsidR="00E46063" w:rsidRPr="00B212F2" w:rsidRDefault="00E46063" w:rsidP="00E46063">
      <w:pPr>
        <w:jc w:val="center"/>
        <w:rPr>
          <w:rFonts w:cs="Arial"/>
          <w:b/>
          <w:sz w:val="18"/>
        </w:rPr>
      </w:pPr>
      <w:r>
        <w:rPr>
          <w:rFonts w:cs="Arial"/>
          <w:b/>
          <w:sz w:val="18"/>
        </w:rPr>
        <w:br w:type="page"/>
      </w:r>
      <w:r w:rsidRPr="00B212F2">
        <w:rPr>
          <w:rFonts w:cs="Arial"/>
          <w:b/>
          <w:sz w:val="18"/>
        </w:rPr>
        <w:lastRenderedPageBreak/>
        <w:t>Table D.</w:t>
      </w:r>
      <w:r>
        <w:rPr>
          <w:rFonts w:cs="Arial"/>
          <w:b/>
          <w:sz w:val="18"/>
        </w:rPr>
        <w:t>6</w:t>
      </w:r>
    </w:p>
    <w:p w:rsidR="00E46063" w:rsidRPr="00B67F3C" w:rsidRDefault="00E46063" w:rsidP="00E46063">
      <w:pPr>
        <w:spacing w:after="120"/>
        <w:jc w:val="center"/>
        <w:rPr>
          <w:rFonts w:cs="Arial"/>
          <w:b/>
          <w:sz w:val="20"/>
        </w:rPr>
      </w:pPr>
      <w:r w:rsidRPr="00B212F2">
        <w:rPr>
          <w:rFonts w:cs="Arial"/>
          <w:b/>
          <w:sz w:val="18"/>
        </w:rPr>
        <w:t>Real equivalised median household income (</w:t>
      </w:r>
      <w:smartTag w:uri="urn:schemas-microsoft-com:office:smarttags" w:element="stockticker">
        <w:r w:rsidRPr="00B212F2">
          <w:rPr>
            <w:rFonts w:cs="Arial"/>
            <w:b/>
            <w:sz w:val="18"/>
          </w:rPr>
          <w:t>BHC</w:t>
        </w:r>
      </w:smartTag>
      <w:r w:rsidRPr="00B212F2">
        <w:rPr>
          <w:rFonts w:cs="Arial"/>
          <w:b/>
          <w:sz w:val="18"/>
        </w:rPr>
        <w:t>) by ethnicity, 1988 to 20</w:t>
      </w:r>
      <w:r>
        <w:rPr>
          <w:rFonts w:cs="Arial"/>
          <w:b/>
          <w:sz w:val="18"/>
        </w:rPr>
        <w:t>11</w:t>
      </w:r>
      <w:r w:rsidRPr="00B212F2">
        <w:rPr>
          <w:rFonts w:cs="Arial"/>
          <w:b/>
          <w:sz w:val="18"/>
        </w:rPr>
        <w:t xml:space="preserve"> ($20</w:t>
      </w:r>
      <w:r>
        <w:rPr>
          <w:rFonts w:cs="Arial"/>
          <w:b/>
          <w:sz w:val="18"/>
        </w:rPr>
        <w:t>11</w:t>
      </w:r>
      <w:r>
        <w:rPr>
          <w:rFonts w:cs="Arial"/>
          <w:b/>
          <w:sz w:val="20"/>
        </w:rPr>
        <w:t>)</w:t>
      </w:r>
    </w:p>
    <w:tbl>
      <w:tblPr>
        <w:tblStyle w:val="TableGrid"/>
        <w:tblW w:w="0" w:type="auto"/>
        <w:jc w:val="center"/>
        <w:tblLook w:val="01E0"/>
      </w:tblPr>
      <w:tblGrid>
        <w:gridCol w:w="1066"/>
        <w:gridCol w:w="590"/>
        <w:gridCol w:w="591"/>
        <w:gridCol w:w="591"/>
        <w:gridCol w:w="591"/>
        <w:gridCol w:w="591"/>
        <w:gridCol w:w="591"/>
        <w:gridCol w:w="590"/>
        <w:gridCol w:w="591"/>
        <w:gridCol w:w="591"/>
        <w:gridCol w:w="591"/>
        <w:gridCol w:w="591"/>
        <w:gridCol w:w="591"/>
      </w:tblGrid>
      <w:tr w:rsidR="00E46063">
        <w:trPr>
          <w:trHeight w:hRule="exact" w:val="317"/>
          <w:jc w:val="center"/>
        </w:trPr>
        <w:tc>
          <w:tcPr>
            <w:tcW w:w="1066" w:type="dxa"/>
            <w:vAlign w:val="center"/>
          </w:tcPr>
          <w:p w:rsidR="00E46063" w:rsidRPr="00AB2C0D" w:rsidRDefault="00E46063" w:rsidP="00614C04">
            <w:pPr>
              <w:spacing w:before="40" w:after="40"/>
              <w:rPr>
                <w:rFonts w:cs="Arial"/>
                <w:sz w:val="14"/>
                <w:szCs w:val="16"/>
              </w:rPr>
            </w:pPr>
          </w:p>
        </w:tc>
        <w:tc>
          <w:tcPr>
            <w:tcW w:w="590"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1988</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1990</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1992</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1994</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1996</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1998</w:t>
            </w:r>
          </w:p>
        </w:tc>
        <w:tc>
          <w:tcPr>
            <w:tcW w:w="590"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2001</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2004</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2007</w:t>
            </w:r>
          </w:p>
        </w:tc>
        <w:tc>
          <w:tcPr>
            <w:tcW w:w="591" w:type="dxa"/>
            <w:vAlign w:val="center"/>
          </w:tcPr>
          <w:p w:rsidR="00E46063" w:rsidRPr="00AB2C0D" w:rsidRDefault="00E46063" w:rsidP="00614C04">
            <w:pPr>
              <w:spacing w:before="40" w:after="40"/>
              <w:ind w:left="-120" w:right="-59"/>
              <w:jc w:val="center"/>
              <w:rPr>
                <w:rFonts w:cs="Arial"/>
                <w:b/>
                <w:sz w:val="14"/>
                <w:szCs w:val="16"/>
              </w:rPr>
            </w:pPr>
            <w:r w:rsidRPr="00AB2C0D">
              <w:rPr>
                <w:rFonts w:cs="Arial"/>
                <w:b/>
                <w:sz w:val="14"/>
                <w:szCs w:val="16"/>
              </w:rPr>
              <w:t>2009</w:t>
            </w:r>
          </w:p>
        </w:tc>
        <w:tc>
          <w:tcPr>
            <w:tcW w:w="591" w:type="dxa"/>
            <w:vAlign w:val="center"/>
          </w:tcPr>
          <w:p w:rsidR="00E46063" w:rsidRPr="00AB2C0D" w:rsidRDefault="00E46063" w:rsidP="00614C04">
            <w:pPr>
              <w:spacing w:before="40" w:after="40"/>
              <w:ind w:left="-120" w:right="-59"/>
              <w:jc w:val="center"/>
              <w:rPr>
                <w:rFonts w:cs="Arial"/>
                <w:b/>
                <w:sz w:val="14"/>
                <w:szCs w:val="16"/>
              </w:rPr>
            </w:pPr>
            <w:r>
              <w:rPr>
                <w:rFonts w:cs="Arial"/>
                <w:b/>
                <w:sz w:val="14"/>
                <w:szCs w:val="16"/>
              </w:rPr>
              <w:t>2010</w:t>
            </w:r>
          </w:p>
        </w:tc>
        <w:tc>
          <w:tcPr>
            <w:tcW w:w="591" w:type="dxa"/>
            <w:tcMar>
              <w:left w:w="28" w:type="dxa"/>
              <w:right w:w="28" w:type="dxa"/>
            </w:tcMar>
            <w:vAlign w:val="center"/>
          </w:tcPr>
          <w:p w:rsidR="00E46063" w:rsidRDefault="00E46063" w:rsidP="00614C04">
            <w:pPr>
              <w:spacing w:before="40" w:after="40"/>
              <w:ind w:left="-120" w:right="-59"/>
              <w:jc w:val="center"/>
              <w:rPr>
                <w:rFonts w:cs="Arial"/>
                <w:b/>
                <w:sz w:val="14"/>
                <w:szCs w:val="16"/>
              </w:rPr>
            </w:pPr>
            <w:r>
              <w:rPr>
                <w:rFonts w:cs="Arial"/>
                <w:b/>
                <w:sz w:val="14"/>
                <w:szCs w:val="16"/>
              </w:rPr>
              <w:t>2011</w:t>
            </w:r>
          </w:p>
        </w:tc>
      </w:tr>
      <w:tr w:rsidR="00E46063">
        <w:trPr>
          <w:trHeight w:hRule="exact" w:val="317"/>
          <w:jc w:val="center"/>
        </w:trPr>
        <w:tc>
          <w:tcPr>
            <w:tcW w:w="1066" w:type="dxa"/>
            <w:vAlign w:val="center"/>
          </w:tcPr>
          <w:p w:rsidR="00E46063" w:rsidRPr="00AB2C0D" w:rsidRDefault="00E46063" w:rsidP="00614C04">
            <w:pPr>
              <w:spacing w:before="40" w:after="40"/>
              <w:rPr>
                <w:rFonts w:cs="Arial"/>
                <w:b/>
                <w:sz w:val="14"/>
                <w:szCs w:val="16"/>
              </w:rPr>
            </w:pPr>
            <w:r w:rsidRPr="00AB2C0D">
              <w:rPr>
                <w:rFonts w:cs="Arial"/>
                <w:b/>
                <w:sz w:val="14"/>
                <w:szCs w:val="16"/>
              </w:rPr>
              <w:t>Euro/Pakeha</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27,400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27,300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24,500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24,200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25,200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27,400</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28,000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31,400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32,300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35,500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35,900</w:t>
            </w:r>
          </w:p>
        </w:tc>
        <w:tc>
          <w:tcPr>
            <w:tcW w:w="591" w:type="dxa"/>
            <w:tcMar>
              <w:left w:w="28" w:type="dxa"/>
              <w:right w:w="28" w:type="dxa"/>
            </w:tcMar>
            <w:vAlign w:val="center"/>
          </w:tcPr>
          <w:p w:rsidR="00E46063" w:rsidRDefault="00E46063" w:rsidP="00614C04">
            <w:pPr>
              <w:spacing w:before="40" w:after="40"/>
              <w:ind w:left="-120" w:right="-59"/>
              <w:jc w:val="center"/>
              <w:rPr>
                <w:rFonts w:cs="Arial"/>
                <w:sz w:val="14"/>
                <w:szCs w:val="16"/>
              </w:rPr>
            </w:pPr>
            <w:r>
              <w:rPr>
                <w:rFonts w:cs="Arial"/>
                <w:sz w:val="14"/>
                <w:szCs w:val="16"/>
              </w:rPr>
              <w:t>35,200</w:t>
            </w:r>
          </w:p>
        </w:tc>
      </w:tr>
      <w:tr w:rsidR="00E46063">
        <w:trPr>
          <w:trHeight w:hRule="exact" w:val="317"/>
          <w:jc w:val="center"/>
        </w:trPr>
        <w:tc>
          <w:tcPr>
            <w:tcW w:w="1066" w:type="dxa"/>
            <w:vAlign w:val="center"/>
          </w:tcPr>
          <w:p w:rsidR="00E46063" w:rsidRPr="00AB2C0D" w:rsidRDefault="00E46063" w:rsidP="00614C04">
            <w:pPr>
              <w:spacing w:before="40" w:after="40"/>
              <w:rPr>
                <w:rFonts w:cs="Arial"/>
                <w:b/>
                <w:sz w:val="14"/>
                <w:szCs w:val="16"/>
              </w:rPr>
            </w:pPr>
            <w:r w:rsidRPr="00AB2C0D">
              <w:rPr>
                <w:rFonts w:cs="Arial"/>
                <w:b/>
                <w:sz w:val="14"/>
                <w:szCs w:val="16"/>
              </w:rPr>
              <w:t>NZ Māori</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22,700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20,500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16,700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16,900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20,100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21,200</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22,700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23,400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23,000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26,300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28,300</w:t>
            </w:r>
          </w:p>
        </w:tc>
        <w:tc>
          <w:tcPr>
            <w:tcW w:w="591" w:type="dxa"/>
            <w:tcMar>
              <w:left w:w="28" w:type="dxa"/>
              <w:right w:w="28" w:type="dxa"/>
            </w:tcMar>
            <w:vAlign w:val="center"/>
          </w:tcPr>
          <w:p w:rsidR="00E46063" w:rsidRDefault="00E46063" w:rsidP="00614C04">
            <w:pPr>
              <w:spacing w:before="40" w:after="40"/>
              <w:ind w:left="-120" w:right="-59"/>
              <w:jc w:val="center"/>
              <w:rPr>
                <w:rFonts w:cs="Arial"/>
                <w:sz w:val="14"/>
                <w:szCs w:val="16"/>
              </w:rPr>
            </w:pPr>
            <w:r>
              <w:rPr>
                <w:rFonts w:cs="Arial"/>
                <w:sz w:val="14"/>
                <w:szCs w:val="16"/>
              </w:rPr>
              <w:t>26,000</w:t>
            </w:r>
          </w:p>
        </w:tc>
      </w:tr>
      <w:tr w:rsidR="00E46063">
        <w:trPr>
          <w:trHeight w:hRule="exact" w:val="317"/>
          <w:jc w:val="center"/>
        </w:trPr>
        <w:tc>
          <w:tcPr>
            <w:tcW w:w="1066" w:type="dxa"/>
            <w:vAlign w:val="center"/>
          </w:tcPr>
          <w:p w:rsidR="00E46063" w:rsidRPr="00AB2C0D" w:rsidRDefault="00E46063" w:rsidP="00614C04">
            <w:pPr>
              <w:spacing w:before="40" w:after="40"/>
              <w:rPr>
                <w:rFonts w:cs="Arial"/>
                <w:b/>
                <w:sz w:val="14"/>
                <w:szCs w:val="16"/>
              </w:rPr>
            </w:pPr>
            <w:r w:rsidRPr="00AB2C0D">
              <w:rPr>
                <w:rFonts w:cs="Arial"/>
                <w:b/>
                <w:sz w:val="14"/>
                <w:szCs w:val="16"/>
              </w:rPr>
              <w:t>Pacific</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22,200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19,500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17,700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15,900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17,400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19,300</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18,700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21,400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25,100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28,300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28,000</w:t>
            </w:r>
          </w:p>
        </w:tc>
        <w:tc>
          <w:tcPr>
            <w:tcW w:w="591" w:type="dxa"/>
            <w:tcMar>
              <w:left w:w="28" w:type="dxa"/>
              <w:right w:w="28" w:type="dxa"/>
            </w:tcMar>
            <w:vAlign w:val="center"/>
          </w:tcPr>
          <w:p w:rsidR="00E46063" w:rsidRDefault="00E46063" w:rsidP="00614C04">
            <w:pPr>
              <w:spacing w:before="40" w:after="40"/>
              <w:ind w:left="-120" w:right="-59"/>
              <w:jc w:val="center"/>
              <w:rPr>
                <w:rFonts w:cs="Arial"/>
                <w:sz w:val="14"/>
                <w:szCs w:val="16"/>
              </w:rPr>
            </w:pPr>
            <w:r>
              <w:rPr>
                <w:rFonts w:cs="Arial"/>
                <w:sz w:val="14"/>
                <w:szCs w:val="16"/>
              </w:rPr>
              <w:t>26,800</w:t>
            </w:r>
          </w:p>
        </w:tc>
      </w:tr>
      <w:tr w:rsidR="00E46063">
        <w:trPr>
          <w:trHeight w:hRule="exact" w:val="317"/>
          <w:jc w:val="center"/>
        </w:trPr>
        <w:tc>
          <w:tcPr>
            <w:tcW w:w="1066" w:type="dxa"/>
            <w:vAlign w:val="center"/>
          </w:tcPr>
          <w:p w:rsidR="00E46063" w:rsidRPr="00AB2C0D" w:rsidRDefault="00E46063" w:rsidP="00614C04">
            <w:pPr>
              <w:spacing w:before="40" w:after="40"/>
              <w:rPr>
                <w:rFonts w:cs="Arial"/>
                <w:b/>
                <w:sz w:val="14"/>
                <w:szCs w:val="16"/>
              </w:rPr>
            </w:pPr>
            <w:r w:rsidRPr="00AB2C0D">
              <w:rPr>
                <w:rFonts w:cs="Arial"/>
                <w:b/>
                <w:sz w:val="14"/>
                <w:szCs w:val="16"/>
              </w:rPr>
              <w:t>Other</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24,600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23,700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23,400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17,600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20,200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17,300</w:t>
            </w:r>
          </w:p>
        </w:tc>
        <w:tc>
          <w:tcPr>
            <w:tcW w:w="590"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27,200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22,800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28,700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28,500</w:t>
            </w:r>
          </w:p>
        </w:tc>
        <w:tc>
          <w:tcPr>
            <w:tcW w:w="591" w:type="dxa"/>
            <w:vAlign w:val="center"/>
          </w:tcPr>
          <w:p w:rsidR="00E46063" w:rsidRPr="00AB2C0D" w:rsidRDefault="00E46063" w:rsidP="00614C04">
            <w:pPr>
              <w:spacing w:before="40" w:after="40"/>
              <w:ind w:left="-120" w:right="-59"/>
              <w:jc w:val="center"/>
              <w:rPr>
                <w:rFonts w:cs="Arial"/>
                <w:sz w:val="14"/>
                <w:szCs w:val="16"/>
              </w:rPr>
            </w:pPr>
            <w:r>
              <w:rPr>
                <w:rFonts w:cs="Arial"/>
                <w:sz w:val="14"/>
                <w:szCs w:val="16"/>
              </w:rPr>
              <w:t>29,000</w:t>
            </w:r>
          </w:p>
        </w:tc>
        <w:tc>
          <w:tcPr>
            <w:tcW w:w="591" w:type="dxa"/>
            <w:tcMar>
              <w:left w:w="28" w:type="dxa"/>
              <w:right w:w="28" w:type="dxa"/>
            </w:tcMar>
            <w:vAlign w:val="center"/>
          </w:tcPr>
          <w:p w:rsidR="00E46063" w:rsidRDefault="00E46063" w:rsidP="00614C04">
            <w:pPr>
              <w:spacing w:before="40" w:after="40"/>
              <w:ind w:left="-120" w:right="-59"/>
              <w:jc w:val="center"/>
              <w:rPr>
                <w:rFonts w:cs="Arial"/>
                <w:sz w:val="14"/>
                <w:szCs w:val="16"/>
              </w:rPr>
            </w:pPr>
            <w:r>
              <w:rPr>
                <w:rFonts w:cs="Arial"/>
                <w:sz w:val="14"/>
                <w:szCs w:val="16"/>
              </w:rPr>
              <w:t>29,300</w:t>
            </w:r>
          </w:p>
        </w:tc>
      </w:tr>
      <w:tr w:rsidR="00E46063">
        <w:trPr>
          <w:trHeight w:hRule="exact" w:val="317"/>
          <w:jc w:val="center"/>
        </w:trPr>
        <w:tc>
          <w:tcPr>
            <w:tcW w:w="1066" w:type="dxa"/>
            <w:vAlign w:val="center"/>
          </w:tcPr>
          <w:p w:rsidR="00E46063" w:rsidRPr="00AB2C0D" w:rsidRDefault="00E46063" w:rsidP="00614C04">
            <w:pPr>
              <w:spacing w:before="40" w:after="40"/>
              <w:rPr>
                <w:rFonts w:cs="Arial"/>
                <w:b/>
                <w:sz w:val="14"/>
                <w:szCs w:val="16"/>
              </w:rPr>
            </w:pPr>
            <w:smartTag w:uri="urn:schemas-microsoft-com:office:smarttags" w:element="stockticker">
              <w:r w:rsidRPr="00AB2C0D">
                <w:rPr>
                  <w:rFonts w:cs="Arial"/>
                  <w:b/>
                  <w:sz w:val="14"/>
                  <w:szCs w:val="16"/>
                </w:rPr>
                <w:t>ALL</w:t>
              </w:r>
            </w:smartTag>
          </w:p>
        </w:tc>
        <w:tc>
          <w:tcPr>
            <w:tcW w:w="590"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26,100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25,500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23,000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22,300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23,600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25,600</w:t>
            </w:r>
          </w:p>
        </w:tc>
        <w:tc>
          <w:tcPr>
            <w:tcW w:w="590"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26,300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28,300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29,900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32,500</w:t>
            </w:r>
          </w:p>
        </w:tc>
        <w:tc>
          <w:tcPr>
            <w:tcW w:w="591" w:type="dxa"/>
            <w:vAlign w:val="center"/>
          </w:tcPr>
          <w:p w:rsidR="00E46063" w:rsidRPr="00AB514C" w:rsidRDefault="00E46063" w:rsidP="00614C04">
            <w:pPr>
              <w:spacing w:before="60" w:after="60"/>
              <w:ind w:left="-120" w:right="-59"/>
              <w:jc w:val="center"/>
              <w:rPr>
                <w:rFonts w:cs="Arial"/>
                <w:sz w:val="14"/>
                <w:szCs w:val="16"/>
              </w:rPr>
            </w:pPr>
            <w:r>
              <w:rPr>
                <w:rFonts w:cs="Arial"/>
                <w:sz w:val="14"/>
                <w:szCs w:val="16"/>
              </w:rPr>
              <w:t>32,800</w:t>
            </w:r>
          </w:p>
        </w:tc>
        <w:tc>
          <w:tcPr>
            <w:tcW w:w="591" w:type="dxa"/>
            <w:tcMar>
              <w:left w:w="28" w:type="dxa"/>
              <w:right w:w="28" w:type="dxa"/>
            </w:tcMar>
            <w:vAlign w:val="center"/>
          </w:tcPr>
          <w:p w:rsidR="00E46063" w:rsidRDefault="00E46063" w:rsidP="00614C04">
            <w:pPr>
              <w:spacing w:before="60" w:after="60"/>
              <w:ind w:left="-120" w:right="-59"/>
              <w:jc w:val="center"/>
              <w:rPr>
                <w:rFonts w:cs="Arial"/>
                <w:sz w:val="14"/>
                <w:szCs w:val="16"/>
              </w:rPr>
            </w:pPr>
            <w:r>
              <w:rPr>
                <w:rFonts w:cs="Arial"/>
                <w:sz w:val="14"/>
                <w:szCs w:val="16"/>
              </w:rPr>
              <w:t>31,900</w:t>
            </w:r>
          </w:p>
        </w:tc>
      </w:tr>
    </w:tbl>
    <w:p w:rsidR="00E46063" w:rsidRDefault="00E46063" w:rsidP="00E46063">
      <w:pPr>
        <w:pStyle w:val="Heading2"/>
        <w:rPr>
          <w:b w:val="0"/>
        </w:rPr>
      </w:pPr>
    </w:p>
    <w:p w:rsidR="00E46063" w:rsidRDefault="00E46063" w:rsidP="00E46063">
      <w:pPr>
        <w:pStyle w:val="Heading2"/>
        <w:rPr>
          <w:b w:val="0"/>
        </w:rPr>
      </w:pPr>
    </w:p>
    <w:p w:rsidR="00C06CDD" w:rsidRPr="00C06CDD" w:rsidRDefault="00C06CDD" w:rsidP="00E46063">
      <w:pPr>
        <w:pStyle w:val="Heading2"/>
        <w:rPr>
          <w:color w:val="000000"/>
          <w:sz w:val="20"/>
          <w:szCs w:val="20"/>
        </w:rPr>
      </w:pPr>
      <w:r w:rsidRPr="00C06CDD">
        <w:rPr>
          <w:color w:val="000000"/>
          <w:sz w:val="20"/>
          <w:szCs w:val="20"/>
        </w:rPr>
        <w:t xml:space="preserve">The incomes reported in Te Ao Marama </w:t>
      </w:r>
    </w:p>
    <w:p w:rsidR="00C06CDD" w:rsidRDefault="00C06CDD" w:rsidP="00E46063">
      <w:pPr>
        <w:pStyle w:val="Heading2"/>
        <w:rPr>
          <w:b w:val="0"/>
          <w:color w:val="000000"/>
          <w:sz w:val="20"/>
          <w:szCs w:val="20"/>
        </w:rPr>
      </w:pPr>
    </w:p>
    <w:p w:rsidR="00B0276C" w:rsidRDefault="00920B67" w:rsidP="00B0276C">
      <w:pPr>
        <w:pStyle w:val="Heading2"/>
        <w:jc w:val="both"/>
        <w:rPr>
          <w:b w:val="0"/>
          <w:color w:val="000000"/>
          <w:sz w:val="20"/>
          <w:szCs w:val="20"/>
        </w:rPr>
      </w:pPr>
      <w:r>
        <w:rPr>
          <w:b w:val="0"/>
          <w:color w:val="000000"/>
          <w:sz w:val="20"/>
          <w:szCs w:val="20"/>
        </w:rPr>
        <w:t>Statis</w:t>
      </w:r>
      <w:r w:rsidR="00C06CDD">
        <w:rPr>
          <w:b w:val="0"/>
          <w:color w:val="000000"/>
          <w:sz w:val="20"/>
          <w:szCs w:val="20"/>
        </w:rPr>
        <w:t xml:space="preserve">tics </w:t>
      </w:r>
      <w:smartTag w:uri="urn:schemas-microsoft-com:office:smarttags" w:element="place">
        <w:smartTag w:uri="urn:schemas-microsoft-com:office:smarttags" w:element="country-region">
          <w:r w:rsidR="00C06CDD">
            <w:rPr>
              <w:b w:val="0"/>
              <w:color w:val="000000"/>
              <w:sz w:val="20"/>
              <w:szCs w:val="20"/>
            </w:rPr>
            <w:t>New Zealand</w:t>
          </w:r>
        </w:smartTag>
      </w:smartTag>
      <w:r w:rsidR="00C06CDD">
        <w:rPr>
          <w:b w:val="0"/>
          <w:color w:val="000000"/>
          <w:sz w:val="20"/>
          <w:szCs w:val="20"/>
        </w:rPr>
        <w:t xml:space="preserve"> recently published</w:t>
      </w:r>
      <w:r w:rsidR="00B0276C">
        <w:rPr>
          <w:b w:val="0"/>
          <w:color w:val="000000"/>
          <w:sz w:val="20"/>
          <w:szCs w:val="20"/>
        </w:rPr>
        <w:t xml:space="preserve"> Te Ao Marama,</w:t>
      </w:r>
      <w:r>
        <w:rPr>
          <w:b w:val="0"/>
          <w:color w:val="000000"/>
          <w:sz w:val="20"/>
          <w:szCs w:val="20"/>
        </w:rPr>
        <w:t xml:space="preserve"> </w:t>
      </w:r>
      <w:r w:rsidR="00B0276C">
        <w:rPr>
          <w:b w:val="0"/>
          <w:color w:val="000000"/>
          <w:sz w:val="20"/>
          <w:szCs w:val="20"/>
        </w:rPr>
        <w:t xml:space="preserve">a small collection of statistics relating to Maori. </w:t>
      </w:r>
      <w:r>
        <w:rPr>
          <w:b w:val="0"/>
          <w:color w:val="000000"/>
          <w:sz w:val="20"/>
          <w:szCs w:val="20"/>
        </w:rPr>
        <w:t xml:space="preserve"> It </w:t>
      </w:r>
      <w:r w:rsidR="00B0276C">
        <w:rPr>
          <w:b w:val="0"/>
          <w:color w:val="000000"/>
          <w:sz w:val="20"/>
          <w:szCs w:val="20"/>
        </w:rPr>
        <w:t xml:space="preserve"> reports that</w:t>
      </w:r>
      <w:r>
        <w:rPr>
          <w:b w:val="0"/>
          <w:color w:val="000000"/>
          <w:sz w:val="20"/>
          <w:szCs w:val="20"/>
        </w:rPr>
        <w:t xml:space="preserve"> median income from all sources declin</w:t>
      </w:r>
      <w:r w:rsidR="00B0276C">
        <w:rPr>
          <w:b w:val="0"/>
          <w:color w:val="000000"/>
          <w:sz w:val="20"/>
          <w:szCs w:val="20"/>
        </w:rPr>
        <w:t>ed for Maori</w:t>
      </w:r>
      <w:r>
        <w:rPr>
          <w:b w:val="0"/>
          <w:color w:val="000000"/>
          <w:sz w:val="20"/>
          <w:szCs w:val="20"/>
        </w:rPr>
        <w:t xml:space="preserve"> from 2008 to 2011</w:t>
      </w:r>
      <w:r w:rsidR="00B0276C">
        <w:rPr>
          <w:b w:val="0"/>
          <w:color w:val="000000"/>
          <w:sz w:val="20"/>
          <w:szCs w:val="20"/>
        </w:rPr>
        <w:t xml:space="preserve">, </w:t>
      </w:r>
      <w:r>
        <w:rPr>
          <w:b w:val="0"/>
          <w:color w:val="000000"/>
          <w:sz w:val="20"/>
          <w:szCs w:val="20"/>
        </w:rPr>
        <w:t>whereas median income for the whole population r</w:t>
      </w:r>
      <w:r w:rsidR="00B0276C">
        <w:rPr>
          <w:b w:val="0"/>
          <w:color w:val="000000"/>
          <w:sz w:val="20"/>
          <w:szCs w:val="20"/>
        </w:rPr>
        <w:t>emained reasonably steady in th</w:t>
      </w:r>
      <w:r>
        <w:rPr>
          <w:b w:val="0"/>
          <w:color w:val="000000"/>
          <w:sz w:val="20"/>
          <w:szCs w:val="20"/>
        </w:rPr>
        <w:t>e same period.</w:t>
      </w:r>
    </w:p>
    <w:p w:rsidR="00B0276C" w:rsidRDefault="00B0276C" w:rsidP="00B0276C">
      <w:pPr>
        <w:pStyle w:val="Heading2"/>
        <w:jc w:val="both"/>
        <w:rPr>
          <w:b w:val="0"/>
          <w:color w:val="000000"/>
          <w:sz w:val="20"/>
          <w:szCs w:val="20"/>
        </w:rPr>
      </w:pPr>
    </w:p>
    <w:p w:rsidR="00B0276C" w:rsidRDefault="00B0276C" w:rsidP="00B0276C">
      <w:pPr>
        <w:pStyle w:val="Heading2"/>
        <w:jc w:val="both"/>
        <w:rPr>
          <w:b w:val="0"/>
          <w:color w:val="000000"/>
          <w:sz w:val="20"/>
          <w:szCs w:val="20"/>
        </w:rPr>
      </w:pPr>
      <w:r>
        <w:rPr>
          <w:b w:val="0"/>
          <w:color w:val="000000"/>
          <w:sz w:val="20"/>
          <w:szCs w:val="20"/>
        </w:rPr>
        <w:t>Te Ao Marama reports the incomes of individuals not of households.  This is why the Te Ao Marama trends are different from those reported in this Incomes Report.</w:t>
      </w:r>
    </w:p>
    <w:p w:rsidR="00E46063" w:rsidRPr="00B212F2" w:rsidRDefault="00E46063" w:rsidP="00B0276C">
      <w:pPr>
        <w:pStyle w:val="Heading2"/>
        <w:jc w:val="both"/>
        <w:rPr>
          <w:sz w:val="24"/>
        </w:rPr>
      </w:pPr>
      <w:r>
        <w:rPr>
          <w:b w:val="0"/>
        </w:rPr>
        <w:br w:type="page"/>
      </w:r>
      <w:r w:rsidRPr="00B212F2">
        <w:rPr>
          <w:sz w:val="24"/>
        </w:rPr>
        <w:lastRenderedPageBreak/>
        <w:t>The changing overall shape of the household income distribution</w:t>
      </w:r>
      <w:bookmarkEnd w:id="81"/>
    </w:p>
    <w:p w:rsidR="00E46063" w:rsidRPr="00B212F2" w:rsidRDefault="00E46063" w:rsidP="00E46063">
      <w:pPr>
        <w:jc w:val="both"/>
        <w:rPr>
          <w:rFonts w:cs="Arial"/>
          <w:b/>
          <w:sz w:val="20"/>
          <w:szCs w:val="22"/>
        </w:rPr>
      </w:pPr>
    </w:p>
    <w:p w:rsidR="00E46063" w:rsidRPr="00B212F2" w:rsidRDefault="00E46063" w:rsidP="00E46063">
      <w:pPr>
        <w:jc w:val="both"/>
        <w:rPr>
          <w:rFonts w:cs="Arial"/>
          <w:sz w:val="20"/>
          <w:szCs w:val="22"/>
        </w:rPr>
      </w:pPr>
      <w:r w:rsidRPr="00B212F2">
        <w:rPr>
          <w:rFonts w:cs="Arial"/>
          <w:sz w:val="20"/>
          <w:szCs w:val="22"/>
        </w:rPr>
        <w:t xml:space="preserve">The different rates of change for different parts of the household income distribution from 1984 to 2007 lead to a changing shape for the overall income distribution.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 xml:space="preserve">The changes are shown on the next pages in </w:t>
      </w:r>
      <w:r w:rsidRPr="00B212F2">
        <w:rPr>
          <w:rFonts w:cs="Arial"/>
          <w:b/>
          <w:sz w:val="20"/>
          <w:szCs w:val="22"/>
        </w:rPr>
        <w:t>Figures D.1</w:t>
      </w:r>
      <w:r>
        <w:rPr>
          <w:rFonts w:cs="Arial"/>
          <w:b/>
          <w:sz w:val="20"/>
          <w:szCs w:val="22"/>
        </w:rPr>
        <w:t>2</w:t>
      </w:r>
      <w:r w:rsidRPr="00B212F2">
        <w:rPr>
          <w:rFonts w:cs="Arial"/>
          <w:b/>
          <w:sz w:val="20"/>
          <w:szCs w:val="22"/>
        </w:rPr>
        <w:t>, D.1</w:t>
      </w:r>
      <w:r>
        <w:rPr>
          <w:rFonts w:cs="Arial"/>
          <w:b/>
          <w:sz w:val="20"/>
          <w:szCs w:val="22"/>
        </w:rPr>
        <w:t>3</w:t>
      </w:r>
      <w:r w:rsidRPr="00B212F2">
        <w:rPr>
          <w:rFonts w:cs="Arial"/>
          <w:b/>
          <w:sz w:val="20"/>
          <w:szCs w:val="22"/>
        </w:rPr>
        <w:t xml:space="preserve"> and D.1</w:t>
      </w:r>
      <w:r>
        <w:rPr>
          <w:rFonts w:cs="Arial"/>
          <w:b/>
          <w:sz w:val="20"/>
          <w:szCs w:val="22"/>
        </w:rPr>
        <w:t>4</w:t>
      </w:r>
      <w:r w:rsidRPr="00B212F2">
        <w:rPr>
          <w:rFonts w:cs="Arial"/>
          <w:b/>
          <w:sz w:val="20"/>
          <w:szCs w:val="22"/>
        </w:rPr>
        <w:t xml:space="preserve"> </w:t>
      </w:r>
      <w:r w:rsidRPr="00B212F2">
        <w:rPr>
          <w:rFonts w:cs="Arial"/>
          <w:sz w:val="20"/>
          <w:szCs w:val="22"/>
        </w:rPr>
        <w:t xml:space="preserve">for 1984-1994, 1994-2004 and 1984-2004 respectively, and in </w:t>
      </w:r>
      <w:r w:rsidRPr="00B212F2">
        <w:rPr>
          <w:rFonts w:cs="Arial"/>
          <w:b/>
          <w:sz w:val="20"/>
          <w:szCs w:val="22"/>
        </w:rPr>
        <w:t>Figure D.1</w:t>
      </w:r>
      <w:r>
        <w:rPr>
          <w:rFonts w:cs="Arial"/>
          <w:b/>
          <w:sz w:val="20"/>
          <w:szCs w:val="22"/>
        </w:rPr>
        <w:t>5</w:t>
      </w:r>
      <w:r w:rsidRPr="00B212F2">
        <w:rPr>
          <w:rFonts w:cs="Arial"/>
          <w:sz w:val="20"/>
          <w:szCs w:val="22"/>
        </w:rPr>
        <w:t xml:space="preserve"> for 2004-2007.</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The most significant structural change to the income distribution over the two decades from 1984 to 2004 (Figure D.1</w:t>
      </w:r>
      <w:r>
        <w:rPr>
          <w:rFonts w:cs="Arial"/>
          <w:sz w:val="20"/>
          <w:szCs w:val="22"/>
        </w:rPr>
        <w:t>4</w:t>
      </w:r>
      <w:r w:rsidRPr="00B212F2">
        <w:rPr>
          <w:rFonts w:cs="Arial"/>
          <w:sz w:val="20"/>
          <w:szCs w:val="22"/>
        </w:rPr>
        <w:t>) is a significant hollowing out of the middle parts of the distribution from $12,000 to $30,000 (equivalised) and a corresponding increase in the proportion of the population in higher income households.  There was also a small increase in the proportion of the population in low-income households in this period.  From 2004 to 2007, the impact of the WFF package in that period is very clear for low to middle income households (Figure D.1</w:t>
      </w:r>
      <w:r>
        <w:rPr>
          <w:rFonts w:cs="Arial"/>
          <w:sz w:val="20"/>
          <w:szCs w:val="22"/>
        </w:rPr>
        <w:t>5</w:t>
      </w:r>
      <w:r w:rsidRPr="00B212F2">
        <w:rPr>
          <w:rFonts w:cs="Arial"/>
          <w:sz w:val="20"/>
          <w:szCs w:val="22"/>
        </w:rPr>
        <w:t>).</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The income distribution was more dispersed in 2004 than in 1984</w:t>
      </w:r>
      <w:r>
        <w:rPr>
          <w:rFonts w:cs="Arial"/>
          <w:sz w:val="20"/>
          <w:szCs w:val="22"/>
        </w:rPr>
        <w:t xml:space="preserve"> (ie inequality was higher).</w:t>
      </w:r>
      <w:r w:rsidRPr="00B212F2">
        <w:rPr>
          <w:rFonts w:cs="Arial"/>
          <w:sz w:val="20"/>
          <w:szCs w:val="22"/>
        </w:rPr>
        <w:t xml:space="preserve"> </w:t>
      </w:r>
    </w:p>
    <w:p w:rsidR="00E46063" w:rsidRDefault="00E46063" w:rsidP="00E46063">
      <w:pPr>
        <w:jc w:val="both"/>
        <w:rPr>
          <w:rFonts w:cs="Arial"/>
          <w:szCs w:val="22"/>
        </w:rPr>
      </w:pPr>
    </w:p>
    <w:p w:rsidR="00E46063" w:rsidRDefault="00E46063" w:rsidP="00E46063">
      <w:pPr>
        <w:jc w:val="both"/>
        <w:rPr>
          <w:rFonts w:cs="Arial"/>
          <w:szCs w:val="22"/>
        </w:rPr>
      </w:pPr>
    </w:p>
    <w:p w:rsidR="00E46063" w:rsidRDefault="00E46063" w:rsidP="00E46063">
      <w:bookmarkStart w:id="82" w:name="_Toc106002516"/>
      <w:bookmarkStart w:id="83" w:name="_Toc106071857"/>
      <w:r>
        <w:rPr>
          <w:noProof/>
          <w:lang w:val="en-US"/>
        </w:rPr>
        <w:pict>
          <v:shape id="_x0000_s1213" type="#_x0000_t202" style="position:absolute;margin-left:46.15pt;margin-top:6.9pt;width:338.9pt;height:263.9pt;z-index:251661824">
            <v:textbox style="mso-next-textbox:#_x0000_s1213">
              <w:txbxContent>
                <w:p w:rsidR="00DE4A2A" w:rsidRPr="00B212F2" w:rsidRDefault="00DE4A2A" w:rsidP="00E46063">
                  <w:pPr>
                    <w:pStyle w:val="FootnoteText"/>
                    <w:spacing w:before="120"/>
                    <w:ind w:left="187" w:right="202"/>
                    <w:jc w:val="center"/>
                    <w:rPr>
                      <w:b/>
                      <w:sz w:val="18"/>
                    </w:rPr>
                  </w:pPr>
                  <w:r w:rsidRPr="00B212F2">
                    <w:rPr>
                      <w:b/>
                      <w:sz w:val="18"/>
                    </w:rPr>
                    <w:t>Constructing the graphs in Figures D.1</w:t>
                  </w:r>
                  <w:r>
                    <w:rPr>
                      <w:b/>
                      <w:sz w:val="18"/>
                    </w:rPr>
                    <w:t>2</w:t>
                  </w:r>
                  <w:r w:rsidRPr="00B212F2">
                    <w:rPr>
                      <w:b/>
                      <w:sz w:val="18"/>
                    </w:rPr>
                    <w:t>, D.1</w:t>
                  </w:r>
                  <w:r>
                    <w:rPr>
                      <w:b/>
                      <w:sz w:val="18"/>
                    </w:rPr>
                    <w:t>3</w:t>
                  </w:r>
                  <w:r w:rsidRPr="00B212F2">
                    <w:rPr>
                      <w:b/>
                      <w:sz w:val="18"/>
                    </w:rPr>
                    <w:t>, D.1</w:t>
                  </w:r>
                  <w:r>
                    <w:rPr>
                      <w:b/>
                      <w:sz w:val="18"/>
                    </w:rPr>
                    <w:t>4</w:t>
                  </w:r>
                  <w:r w:rsidRPr="00B212F2">
                    <w:rPr>
                      <w:b/>
                      <w:sz w:val="18"/>
                    </w:rPr>
                    <w:t xml:space="preserve"> and D.1</w:t>
                  </w:r>
                  <w:r>
                    <w:rPr>
                      <w:b/>
                      <w:sz w:val="18"/>
                    </w:rPr>
                    <w:t>5</w:t>
                  </w:r>
                </w:p>
                <w:p w:rsidR="00DE4A2A" w:rsidRPr="00B212F2" w:rsidRDefault="00DE4A2A" w:rsidP="00E46063">
                  <w:pPr>
                    <w:pStyle w:val="FootnoteText"/>
                    <w:ind w:left="180" w:right="195"/>
                    <w:jc w:val="both"/>
                    <w:rPr>
                      <w:sz w:val="18"/>
                    </w:rPr>
                  </w:pPr>
                </w:p>
                <w:p w:rsidR="00DE4A2A" w:rsidRPr="00B212F2" w:rsidRDefault="00DE4A2A" w:rsidP="00E46063">
                  <w:pPr>
                    <w:pStyle w:val="FootnoteText"/>
                    <w:ind w:left="180" w:right="195"/>
                    <w:jc w:val="both"/>
                    <w:rPr>
                      <w:sz w:val="18"/>
                    </w:rPr>
                  </w:pPr>
                  <w:r w:rsidRPr="00B212F2">
                    <w:rPr>
                      <w:sz w:val="18"/>
                    </w:rPr>
                    <w:t>All graphs are in $2004.</w:t>
                  </w:r>
                </w:p>
                <w:p w:rsidR="00DE4A2A" w:rsidRPr="00B212F2" w:rsidRDefault="00DE4A2A" w:rsidP="00E46063">
                  <w:pPr>
                    <w:pStyle w:val="FootnoteText"/>
                    <w:ind w:left="180" w:right="195"/>
                    <w:jc w:val="both"/>
                    <w:rPr>
                      <w:sz w:val="18"/>
                    </w:rPr>
                  </w:pPr>
                </w:p>
                <w:p w:rsidR="00DE4A2A" w:rsidRPr="00B212F2" w:rsidRDefault="00DE4A2A" w:rsidP="00E46063">
                  <w:pPr>
                    <w:pStyle w:val="FootnoteText"/>
                    <w:ind w:left="180" w:right="195"/>
                    <w:jc w:val="both"/>
                    <w:rPr>
                      <w:sz w:val="18"/>
                    </w:rPr>
                  </w:pPr>
                  <w:r w:rsidRPr="00B212F2">
                    <w:rPr>
                      <w:sz w:val="18"/>
                    </w:rPr>
                    <w:t xml:space="preserve">To construct the line for the 2004 HES year, individuals are grouped by the equivalised incomes of their households into bands (‘bins’) of $2000 up to the $36,000 mark, then into $4000 bins in the less dense parts above that.  The number in each bin is expressed as a proportion of the whole population.  This gives the density at the midpoint of the respective bins.   </w:t>
                  </w:r>
                </w:p>
                <w:p w:rsidR="00DE4A2A" w:rsidRPr="00B212F2" w:rsidRDefault="00DE4A2A" w:rsidP="00E46063">
                  <w:pPr>
                    <w:pStyle w:val="FootnoteText"/>
                    <w:ind w:left="180" w:right="195"/>
                    <w:jc w:val="both"/>
                    <w:rPr>
                      <w:sz w:val="18"/>
                    </w:rPr>
                  </w:pPr>
                </w:p>
                <w:p w:rsidR="00DE4A2A" w:rsidRPr="00B212F2" w:rsidRDefault="00DE4A2A" w:rsidP="00E46063">
                  <w:pPr>
                    <w:pStyle w:val="FootnoteText"/>
                    <w:ind w:left="180" w:right="195"/>
                    <w:jc w:val="both"/>
                    <w:rPr>
                      <w:sz w:val="18"/>
                    </w:rPr>
                  </w:pPr>
                  <w:r w:rsidRPr="00B212F2">
                    <w:rPr>
                      <w:sz w:val="18"/>
                    </w:rPr>
                    <w:t xml:space="preserve">For 1984 and 1994 the $2000 and $4000 nominal bin-sizes are adjusted downwards using the </w:t>
                  </w:r>
                  <w:smartTag w:uri="urn:schemas-microsoft-com:office:smarttags" w:element="stockticker">
                    <w:r w:rsidRPr="00B212F2">
                      <w:rPr>
                        <w:sz w:val="18"/>
                      </w:rPr>
                      <w:t>CPI</w:t>
                    </w:r>
                  </w:smartTag>
                  <w:r w:rsidRPr="00B212F2">
                    <w:rPr>
                      <w:sz w:val="18"/>
                    </w:rPr>
                    <w:t xml:space="preserve"> so that for each year bin-sizes are kept the same size in real terms.  For 2007 the $2000 and $4000 nominal bin-sizes are adjusted upwards using the </w:t>
                  </w:r>
                  <w:smartTag w:uri="urn:schemas-microsoft-com:office:smarttags" w:element="stockticker">
                    <w:r w:rsidRPr="00B212F2">
                      <w:rPr>
                        <w:sz w:val="18"/>
                      </w:rPr>
                      <w:t>CPI</w:t>
                    </w:r>
                  </w:smartTag>
                  <w:r w:rsidRPr="00B212F2">
                    <w:rPr>
                      <w:sz w:val="18"/>
                    </w:rPr>
                    <w:t>.</w:t>
                  </w:r>
                </w:p>
                <w:p w:rsidR="00DE4A2A" w:rsidRPr="00B212F2" w:rsidRDefault="00DE4A2A" w:rsidP="00E46063">
                  <w:pPr>
                    <w:pStyle w:val="FootnoteText"/>
                    <w:ind w:left="180" w:right="195"/>
                    <w:jc w:val="both"/>
                    <w:rPr>
                      <w:sz w:val="18"/>
                    </w:rPr>
                  </w:pPr>
                </w:p>
                <w:p w:rsidR="00DE4A2A" w:rsidRPr="00B212F2" w:rsidRDefault="00DE4A2A" w:rsidP="00E46063">
                  <w:pPr>
                    <w:pStyle w:val="FootnoteText"/>
                    <w:ind w:left="180" w:right="195"/>
                    <w:jc w:val="both"/>
                    <w:rPr>
                      <w:sz w:val="18"/>
                    </w:rPr>
                  </w:pPr>
                  <w:r w:rsidRPr="00B212F2">
                    <w:rPr>
                      <w:sz w:val="18"/>
                    </w:rPr>
                    <w:t>The same outcome can be achieved by converting the income of all households to 2004 dollars and using the 2004 nominal bin-sizes.</w:t>
                  </w:r>
                </w:p>
                <w:p w:rsidR="00DE4A2A" w:rsidRPr="00B212F2" w:rsidRDefault="00DE4A2A" w:rsidP="00E46063">
                  <w:pPr>
                    <w:pStyle w:val="FootnoteText"/>
                    <w:ind w:left="180" w:right="195"/>
                    <w:jc w:val="both"/>
                    <w:rPr>
                      <w:sz w:val="18"/>
                    </w:rPr>
                  </w:pPr>
                </w:p>
                <w:p w:rsidR="00DE4A2A" w:rsidRPr="00B212F2" w:rsidRDefault="00DE4A2A" w:rsidP="00E46063">
                  <w:pPr>
                    <w:pStyle w:val="FootnoteText"/>
                    <w:ind w:left="180" w:right="195"/>
                    <w:jc w:val="both"/>
                    <w:rPr>
                      <w:sz w:val="18"/>
                    </w:rPr>
                  </w:pPr>
                  <w:r w:rsidRPr="00B212F2">
                    <w:rPr>
                      <w:sz w:val="18"/>
                    </w:rPr>
                    <w:t>The total area under the plotted line is therefore forced to be the same for each year as the base length is the same in each case ($70,000) and the sum of the densities = 1 by definition.  This approach produces a reasonable smoothing of the lines and enables valid year-on-year comparisons. It is in effect a simple but effective approximation to the more sophisticated adaptive kernel density function technique.</w:t>
                  </w:r>
                </w:p>
                <w:p w:rsidR="00DE4A2A" w:rsidRDefault="00DE4A2A" w:rsidP="00E46063"/>
              </w:txbxContent>
            </v:textbox>
            <w10:wrap side="left"/>
          </v:shape>
        </w:pict>
      </w:r>
    </w:p>
    <w:p w:rsidR="00E46063" w:rsidRDefault="00E46063" w:rsidP="00E46063"/>
    <w:p w:rsidR="00E46063" w:rsidRDefault="00E46063" w:rsidP="00E46063"/>
    <w:p w:rsidR="00E46063" w:rsidRPr="002E389B" w:rsidRDefault="00E46063" w:rsidP="00E46063">
      <w:pPr>
        <w:jc w:val="center"/>
        <w:rPr>
          <w:sz w:val="20"/>
        </w:rPr>
      </w:pPr>
      <w:r>
        <w:br w:type="page"/>
      </w:r>
      <w:r w:rsidRPr="002E389B">
        <w:rPr>
          <w:b/>
          <w:sz w:val="20"/>
        </w:rPr>
        <w:lastRenderedPageBreak/>
        <w:t xml:space="preserve">Figure </w:t>
      </w:r>
      <w:r>
        <w:rPr>
          <w:b/>
          <w:sz w:val="20"/>
        </w:rPr>
        <w:t>D.12</w:t>
      </w:r>
    </w:p>
    <w:p w:rsidR="00E46063" w:rsidRPr="00427987" w:rsidRDefault="00EC0BE0" w:rsidP="00E46063">
      <w:pPr>
        <w:jc w:val="center"/>
        <w:rPr>
          <w:szCs w:val="22"/>
        </w:rPr>
      </w:pPr>
      <w:r>
        <w:rPr>
          <w:noProof/>
          <w:lang w:val="en-US"/>
        </w:rPr>
        <w:drawing>
          <wp:inline distT="0" distB="0" distL="0" distR="0">
            <wp:extent cx="4495800"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4495800" cy="2495550"/>
                    </a:xfrm>
                    <a:prstGeom prst="rect">
                      <a:avLst/>
                    </a:prstGeom>
                    <a:noFill/>
                    <a:ln w="9525">
                      <a:noFill/>
                      <a:miter lim="800000"/>
                      <a:headEnd/>
                      <a:tailEnd/>
                    </a:ln>
                  </pic:spPr>
                </pic:pic>
              </a:graphicData>
            </a:graphic>
          </wp:inline>
        </w:drawing>
      </w:r>
    </w:p>
    <w:p w:rsidR="00E46063" w:rsidRDefault="00E46063" w:rsidP="00E46063">
      <w:pPr>
        <w:pStyle w:val="Heading2"/>
        <w:jc w:val="center"/>
        <w:rPr>
          <w:sz w:val="20"/>
          <w:szCs w:val="20"/>
        </w:rPr>
      </w:pPr>
    </w:p>
    <w:p w:rsidR="00E46063" w:rsidRPr="00B979D7" w:rsidRDefault="00E46063" w:rsidP="00E46063">
      <w:pPr>
        <w:pStyle w:val="Heading2"/>
        <w:jc w:val="center"/>
      </w:pPr>
      <w:r w:rsidRPr="002E389B">
        <w:rPr>
          <w:sz w:val="20"/>
          <w:szCs w:val="20"/>
        </w:rPr>
        <w:t xml:space="preserve">Figure </w:t>
      </w:r>
      <w:r>
        <w:rPr>
          <w:sz w:val="20"/>
          <w:szCs w:val="20"/>
        </w:rPr>
        <w:t>D.13</w:t>
      </w:r>
    </w:p>
    <w:p w:rsidR="00E46063" w:rsidRPr="004E5E7A" w:rsidRDefault="00EC0BE0" w:rsidP="00E46063">
      <w:pPr>
        <w:pStyle w:val="Heading2"/>
        <w:jc w:val="center"/>
        <w:rPr>
          <w:sz w:val="18"/>
          <w:szCs w:val="18"/>
        </w:rPr>
      </w:pPr>
      <w:r>
        <w:rPr>
          <w:noProof/>
          <w:lang w:val="en-US"/>
        </w:rPr>
        <w:drawing>
          <wp:inline distT="0" distB="0" distL="0" distR="0">
            <wp:extent cx="4457700" cy="2533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4457700" cy="2533650"/>
                    </a:xfrm>
                    <a:prstGeom prst="rect">
                      <a:avLst/>
                    </a:prstGeom>
                    <a:noFill/>
                    <a:ln w="9525">
                      <a:noFill/>
                      <a:miter lim="800000"/>
                      <a:headEnd/>
                      <a:tailEnd/>
                    </a:ln>
                  </pic:spPr>
                </pic:pic>
              </a:graphicData>
            </a:graphic>
          </wp:inline>
        </w:drawing>
      </w:r>
    </w:p>
    <w:p w:rsidR="00E46063" w:rsidRDefault="00E46063" w:rsidP="00E46063">
      <w:pPr>
        <w:pStyle w:val="Heading2"/>
        <w:jc w:val="center"/>
        <w:rPr>
          <w:sz w:val="18"/>
          <w:szCs w:val="18"/>
        </w:rPr>
      </w:pPr>
    </w:p>
    <w:p w:rsidR="00E46063" w:rsidRDefault="00E46063" w:rsidP="00E46063">
      <w:pPr>
        <w:pStyle w:val="Heading2"/>
        <w:jc w:val="center"/>
        <w:rPr>
          <w:sz w:val="20"/>
          <w:szCs w:val="20"/>
        </w:rPr>
      </w:pPr>
      <w:r w:rsidRPr="002E389B">
        <w:rPr>
          <w:sz w:val="20"/>
          <w:szCs w:val="20"/>
        </w:rPr>
        <w:t xml:space="preserve">Figure </w:t>
      </w:r>
      <w:r>
        <w:rPr>
          <w:sz w:val="20"/>
          <w:szCs w:val="20"/>
        </w:rPr>
        <w:t>D.14</w:t>
      </w:r>
    </w:p>
    <w:p w:rsidR="00E46063" w:rsidRDefault="00EC0BE0" w:rsidP="00E46063">
      <w:pPr>
        <w:pStyle w:val="Heading2"/>
        <w:jc w:val="center"/>
      </w:pPr>
      <w:r>
        <w:rPr>
          <w:noProof/>
          <w:lang w:val="en-US"/>
        </w:rPr>
        <w:drawing>
          <wp:inline distT="0" distB="0" distL="0" distR="0">
            <wp:extent cx="4457700" cy="2533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4457700" cy="2533650"/>
                    </a:xfrm>
                    <a:prstGeom prst="rect">
                      <a:avLst/>
                    </a:prstGeom>
                    <a:noFill/>
                    <a:ln w="9525">
                      <a:noFill/>
                      <a:miter lim="800000"/>
                      <a:headEnd/>
                      <a:tailEnd/>
                    </a:ln>
                  </pic:spPr>
                </pic:pic>
              </a:graphicData>
            </a:graphic>
          </wp:inline>
        </w:drawing>
      </w:r>
    </w:p>
    <w:p w:rsidR="00E46063" w:rsidRDefault="00E46063" w:rsidP="00E46063">
      <w:pPr>
        <w:pStyle w:val="Heading2"/>
        <w:ind w:left="630" w:hanging="630"/>
        <w:jc w:val="both"/>
        <w:rPr>
          <w:b w:val="0"/>
          <w:sz w:val="20"/>
          <w:szCs w:val="20"/>
        </w:rPr>
      </w:pPr>
    </w:p>
    <w:p w:rsidR="00E46063" w:rsidRPr="00EF1AEC" w:rsidRDefault="00E46063" w:rsidP="00E46063">
      <w:pPr>
        <w:pStyle w:val="Heading2"/>
        <w:ind w:left="630" w:hanging="630"/>
        <w:jc w:val="both"/>
        <w:rPr>
          <w:b w:val="0"/>
          <w:sz w:val="18"/>
          <w:szCs w:val="18"/>
        </w:rPr>
      </w:pPr>
      <w:r w:rsidRPr="00EF1AEC">
        <w:rPr>
          <w:b w:val="0"/>
          <w:sz w:val="18"/>
          <w:szCs w:val="18"/>
        </w:rPr>
        <w:t xml:space="preserve">Note: </w:t>
      </w:r>
      <w:r w:rsidRPr="00EF1AEC">
        <w:rPr>
          <w:b w:val="0"/>
          <w:sz w:val="18"/>
          <w:szCs w:val="18"/>
        </w:rPr>
        <w:tab/>
        <w:t>The household income distributions are person-weighted.  The graphs show the density of individuals attributed with the equivalised income of their respective households.</w:t>
      </w:r>
    </w:p>
    <w:p w:rsidR="00E46063" w:rsidRPr="00B212F2" w:rsidRDefault="00E46063" w:rsidP="00E46063">
      <w:pPr>
        <w:jc w:val="both"/>
        <w:rPr>
          <w:sz w:val="20"/>
        </w:rPr>
      </w:pPr>
      <w:r w:rsidRPr="00904E17">
        <w:rPr>
          <w:b/>
        </w:rPr>
        <w:br w:type="page"/>
      </w:r>
      <w:bookmarkStart w:id="84" w:name="_Toc115142509"/>
      <w:r w:rsidRPr="00B212F2">
        <w:rPr>
          <w:sz w:val="20"/>
        </w:rPr>
        <w:lastRenderedPageBreak/>
        <w:t xml:space="preserve">The significant change in shape of the income </w:t>
      </w:r>
      <w:r>
        <w:rPr>
          <w:sz w:val="20"/>
        </w:rPr>
        <w:t xml:space="preserve">distribution from 2004 to 2007 </w:t>
      </w:r>
      <w:r w:rsidRPr="00B212F2">
        <w:rPr>
          <w:sz w:val="20"/>
        </w:rPr>
        <w:t>(</w:t>
      </w:r>
      <w:r w:rsidRPr="00B212F2">
        <w:rPr>
          <w:b/>
          <w:sz w:val="20"/>
        </w:rPr>
        <w:t>Figure D.1</w:t>
      </w:r>
      <w:r>
        <w:rPr>
          <w:b/>
          <w:sz w:val="20"/>
        </w:rPr>
        <w:t>5</w:t>
      </w:r>
      <w:r w:rsidRPr="00B212F2">
        <w:rPr>
          <w:sz w:val="20"/>
        </w:rPr>
        <w:t>) reflects two main factors:</w:t>
      </w:r>
    </w:p>
    <w:p w:rsidR="00E46063" w:rsidRPr="00B212F2" w:rsidRDefault="00E46063" w:rsidP="00614C04">
      <w:pPr>
        <w:numPr>
          <w:ilvl w:val="0"/>
          <w:numId w:val="43"/>
        </w:numPr>
        <w:tabs>
          <w:tab w:val="clear" w:pos="360"/>
          <w:tab w:val="num" w:pos="1080"/>
        </w:tabs>
        <w:spacing w:before="120"/>
        <w:ind w:left="1080" w:hanging="274"/>
        <w:jc w:val="both"/>
        <w:rPr>
          <w:sz w:val="20"/>
        </w:rPr>
      </w:pPr>
      <w:r w:rsidRPr="00B212F2">
        <w:rPr>
          <w:sz w:val="20"/>
        </w:rPr>
        <w:t>the impact of the WFF package on low to middle income households</w:t>
      </w:r>
    </w:p>
    <w:p w:rsidR="00E46063" w:rsidRPr="00B212F2" w:rsidRDefault="00E46063" w:rsidP="00614C04">
      <w:pPr>
        <w:numPr>
          <w:ilvl w:val="0"/>
          <w:numId w:val="43"/>
        </w:numPr>
        <w:tabs>
          <w:tab w:val="clear" w:pos="360"/>
          <w:tab w:val="num" w:pos="1080"/>
        </w:tabs>
        <w:spacing w:before="120"/>
        <w:ind w:left="1080" w:hanging="274"/>
        <w:jc w:val="both"/>
        <w:rPr>
          <w:sz w:val="20"/>
        </w:rPr>
      </w:pPr>
      <w:r w:rsidRPr="00B212F2">
        <w:rPr>
          <w:sz w:val="20"/>
        </w:rPr>
        <w:t>the reduction in the number of people in households whose main source of income is an income-tested benefit (100,000 fewer in 2007 than in 2004)</w:t>
      </w:r>
      <w:r w:rsidR="00B0276C">
        <w:rPr>
          <w:sz w:val="20"/>
        </w:rPr>
        <w:t>.</w:t>
      </w:r>
    </w:p>
    <w:p w:rsidR="00E46063" w:rsidRDefault="00E46063" w:rsidP="00E46063">
      <w:pPr>
        <w:jc w:val="both"/>
        <w:rPr>
          <w:b/>
        </w:rPr>
      </w:pPr>
    </w:p>
    <w:p w:rsidR="00E46063" w:rsidRDefault="00E46063" w:rsidP="00E46063">
      <w:pPr>
        <w:pStyle w:val="Heading2"/>
        <w:jc w:val="center"/>
        <w:rPr>
          <w:sz w:val="20"/>
          <w:szCs w:val="20"/>
        </w:rPr>
      </w:pPr>
    </w:p>
    <w:p w:rsidR="00E46063" w:rsidRPr="00B212F2" w:rsidRDefault="00E46063" w:rsidP="00E46063">
      <w:pPr>
        <w:pStyle w:val="Heading2"/>
        <w:jc w:val="center"/>
        <w:rPr>
          <w:sz w:val="18"/>
          <w:szCs w:val="20"/>
        </w:rPr>
      </w:pPr>
      <w:r w:rsidRPr="00B212F2">
        <w:rPr>
          <w:sz w:val="18"/>
          <w:szCs w:val="20"/>
        </w:rPr>
        <w:t>Figure D.1</w:t>
      </w:r>
      <w:r>
        <w:rPr>
          <w:sz w:val="18"/>
          <w:szCs w:val="20"/>
        </w:rPr>
        <w:t>5</w:t>
      </w:r>
    </w:p>
    <w:p w:rsidR="00E46063" w:rsidRPr="00F0716F" w:rsidRDefault="00EC0BE0" w:rsidP="00E46063">
      <w:pPr>
        <w:jc w:val="center"/>
      </w:pPr>
      <w:r>
        <w:rPr>
          <w:noProof/>
          <w:lang w:val="en-US"/>
        </w:rPr>
        <w:drawing>
          <wp:inline distT="0" distB="0" distL="0" distR="0">
            <wp:extent cx="4381500"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srcRect/>
                    <a:stretch>
                      <a:fillRect/>
                    </a:stretch>
                  </pic:blipFill>
                  <pic:spPr bwMode="auto">
                    <a:xfrm>
                      <a:off x="0" y="0"/>
                      <a:ext cx="4381500" cy="2476500"/>
                    </a:xfrm>
                    <a:prstGeom prst="rect">
                      <a:avLst/>
                    </a:prstGeom>
                    <a:noFill/>
                    <a:ln w="9525">
                      <a:noFill/>
                      <a:miter lim="800000"/>
                      <a:headEnd/>
                      <a:tailEnd/>
                    </a:ln>
                  </pic:spPr>
                </pic:pic>
              </a:graphicData>
            </a:graphic>
          </wp:inline>
        </w:drawing>
      </w:r>
    </w:p>
    <w:p w:rsidR="00E46063" w:rsidRDefault="00E46063" w:rsidP="00E46063">
      <w:pPr>
        <w:pStyle w:val="Heading2"/>
        <w:jc w:val="both"/>
        <w:rPr>
          <w:b w:val="0"/>
          <w:sz w:val="22"/>
          <w:szCs w:val="22"/>
        </w:rPr>
      </w:pPr>
    </w:p>
    <w:p w:rsidR="00E46063" w:rsidRDefault="00E46063" w:rsidP="00E46063">
      <w:pPr>
        <w:pStyle w:val="Heading2"/>
        <w:jc w:val="both"/>
        <w:rPr>
          <w:b w:val="0"/>
          <w:sz w:val="22"/>
          <w:szCs w:val="22"/>
        </w:rPr>
      </w:pPr>
    </w:p>
    <w:p w:rsidR="00E46063" w:rsidRPr="00B212F2" w:rsidRDefault="00E46063" w:rsidP="00E46063">
      <w:pPr>
        <w:pStyle w:val="Heading2"/>
        <w:jc w:val="both"/>
        <w:rPr>
          <w:sz w:val="24"/>
        </w:rPr>
      </w:pPr>
      <w:r>
        <w:br w:type="page"/>
      </w:r>
      <w:r w:rsidRPr="00B212F2">
        <w:rPr>
          <w:sz w:val="24"/>
        </w:rPr>
        <w:lastRenderedPageBreak/>
        <w:t>Income inequality</w:t>
      </w:r>
      <w:bookmarkEnd w:id="78"/>
      <w:bookmarkEnd w:id="79"/>
      <w:bookmarkEnd w:id="80"/>
      <w:bookmarkEnd w:id="82"/>
      <w:bookmarkEnd w:id="83"/>
      <w:r w:rsidRPr="00B212F2">
        <w:rPr>
          <w:sz w:val="24"/>
        </w:rPr>
        <w:t>: summary indicators</w:t>
      </w:r>
      <w:bookmarkEnd w:id="84"/>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 xml:space="preserve">Income inequality is about how dispersed the income distribution is.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Figures D.</w:t>
      </w:r>
      <w:r>
        <w:rPr>
          <w:rFonts w:cs="Arial"/>
          <w:sz w:val="20"/>
          <w:szCs w:val="22"/>
        </w:rPr>
        <w:t>5 to D.10</w:t>
      </w:r>
      <w:r w:rsidRPr="00B212F2">
        <w:rPr>
          <w:rFonts w:cs="Arial"/>
          <w:sz w:val="20"/>
          <w:szCs w:val="22"/>
        </w:rPr>
        <w:t xml:space="preserve"> (above) give a visual impression of how the income distribution bec</w:t>
      </w:r>
      <w:r>
        <w:rPr>
          <w:rFonts w:cs="Arial"/>
          <w:sz w:val="20"/>
          <w:szCs w:val="22"/>
        </w:rPr>
        <w:t>a</w:t>
      </w:r>
      <w:r w:rsidRPr="00B212F2">
        <w:rPr>
          <w:rFonts w:cs="Arial"/>
          <w:sz w:val="20"/>
          <w:szCs w:val="22"/>
        </w:rPr>
        <w:t>me more dispersed from 198</w:t>
      </w:r>
      <w:r>
        <w:rPr>
          <w:rFonts w:cs="Arial"/>
          <w:sz w:val="20"/>
          <w:szCs w:val="22"/>
        </w:rPr>
        <w:t>2</w:t>
      </w:r>
      <w:r w:rsidRPr="00B212F2">
        <w:rPr>
          <w:rFonts w:cs="Arial"/>
          <w:sz w:val="20"/>
          <w:szCs w:val="22"/>
        </w:rPr>
        <w:t xml:space="preserve"> to 20</w:t>
      </w:r>
      <w:r>
        <w:rPr>
          <w:rFonts w:cs="Arial"/>
          <w:sz w:val="20"/>
          <w:szCs w:val="22"/>
        </w:rPr>
        <w:t>11, albeit the dispersion decreased from around 2001 to 2009 before the volatility induced by the economic downturn and global financial crisis.</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 xml:space="preserve">There </w:t>
      </w:r>
      <w:r w:rsidR="00B0276C">
        <w:rPr>
          <w:rFonts w:cs="Arial"/>
          <w:sz w:val="20"/>
          <w:szCs w:val="22"/>
        </w:rPr>
        <w:t>are several</w:t>
      </w:r>
      <w:r w:rsidRPr="00B212F2">
        <w:rPr>
          <w:rFonts w:cs="Arial"/>
          <w:sz w:val="20"/>
          <w:szCs w:val="22"/>
        </w:rPr>
        <w:t xml:space="preserve"> ways </w:t>
      </w:r>
      <w:r w:rsidR="00B0276C">
        <w:rPr>
          <w:rFonts w:cs="Arial"/>
          <w:sz w:val="20"/>
          <w:szCs w:val="22"/>
        </w:rPr>
        <w:t xml:space="preserve">that are used </w:t>
      </w:r>
      <w:r w:rsidRPr="00B212F2">
        <w:rPr>
          <w:rFonts w:cs="Arial"/>
          <w:sz w:val="20"/>
          <w:szCs w:val="22"/>
        </w:rPr>
        <w:t>to summarise the amount of income dispersion or inequality in a single statistic.  No one statistic has emerged as the generally accepted way, mainly because each one captures a different aspect of the way the dispersion of incomes changes over time.  It is now common to report on more than one indicator and to compare the trends produced by each.</w:t>
      </w:r>
      <w:r w:rsidRPr="00B212F2">
        <w:rPr>
          <w:rStyle w:val="FootnoteReference"/>
          <w:rFonts w:cs="Arial"/>
          <w:sz w:val="20"/>
          <w:szCs w:val="22"/>
        </w:rPr>
        <w:t xml:space="preserve"> </w:t>
      </w:r>
      <w:r w:rsidRPr="00B212F2">
        <w:rPr>
          <w:rStyle w:val="FootnoteReference"/>
          <w:rFonts w:cs="Arial"/>
          <w:sz w:val="20"/>
          <w:szCs w:val="22"/>
        </w:rPr>
        <w:footnoteReference w:id="51"/>
      </w:r>
      <w:r w:rsidRPr="00B212F2">
        <w:rPr>
          <w:rFonts w:cs="Arial"/>
          <w:sz w:val="20"/>
          <w:szCs w:val="22"/>
        </w:rPr>
        <w:t xml:space="preserve">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This report uses two measures: percentile ratios and the Gini coefficient.</w:t>
      </w:r>
      <w:r w:rsidRPr="00B212F2">
        <w:rPr>
          <w:rStyle w:val="FootnoteReference"/>
          <w:rFonts w:cs="Arial"/>
          <w:sz w:val="20"/>
          <w:szCs w:val="22"/>
        </w:rPr>
        <w:t xml:space="preserve"> </w:t>
      </w:r>
    </w:p>
    <w:p w:rsidR="00E46063" w:rsidRPr="00B212F2" w:rsidRDefault="00E46063" w:rsidP="00E46063">
      <w:pPr>
        <w:jc w:val="both"/>
        <w:rPr>
          <w:rFonts w:cs="Arial"/>
          <w:sz w:val="20"/>
          <w:szCs w:val="22"/>
        </w:rPr>
      </w:pPr>
    </w:p>
    <w:p w:rsidR="00E46063" w:rsidRPr="00B212F2" w:rsidRDefault="00E46063" w:rsidP="00E46063">
      <w:pPr>
        <w:jc w:val="both"/>
        <w:rPr>
          <w:rFonts w:cs="Arial"/>
          <w:b/>
          <w:sz w:val="20"/>
          <w:szCs w:val="22"/>
        </w:rPr>
      </w:pPr>
    </w:p>
    <w:p w:rsidR="00E46063" w:rsidRPr="00B212F2" w:rsidRDefault="00E46063" w:rsidP="00E46063">
      <w:pPr>
        <w:jc w:val="both"/>
        <w:rPr>
          <w:rFonts w:cs="Arial"/>
          <w:b/>
          <w:sz w:val="20"/>
          <w:szCs w:val="22"/>
        </w:rPr>
      </w:pPr>
      <w:r w:rsidRPr="00B212F2">
        <w:rPr>
          <w:rFonts w:cs="Arial"/>
          <w:b/>
          <w:sz w:val="20"/>
          <w:szCs w:val="22"/>
        </w:rPr>
        <w:t>Percentile ratios</w:t>
      </w:r>
    </w:p>
    <w:p w:rsidR="00E46063" w:rsidRPr="00B212F2" w:rsidRDefault="00E46063" w:rsidP="00E46063">
      <w:pPr>
        <w:ind w:left="720"/>
        <w:jc w:val="both"/>
        <w:rPr>
          <w:rFonts w:cs="Arial"/>
          <w:i/>
          <w:sz w:val="20"/>
          <w:szCs w:val="22"/>
        </w:rPr>
      </w:pPr>
    </w:p>
    <w:p w:rsidR="00E46063" w:rsidRPr="00B212F2" w:rsidRDefault="00E46063" w:rsidP="00E46063">
      <w:pPr>
        <w:jc w:val="both"/>
        <w:rPr>
          <w:rFonts w:cs="Arial"/>
          <w:sz w:val="20"/>
          <w:szCs w:val="22"/>
        </w:rPr>
      </w:pPr>
      <w:r w:rsidRPr="00B212F2">
        <w:rPr>
          <w:rFonts w:cs="Arial"/>
          <w:sz w:val="20"/>
          <w:szCs w:val="22"/>
        </w:rPr>
        <w:t xml:space="preserve">When individuals are ranked on the equivalised income of their respective households and divided into 100 equal-sized groups, each group is called a percentile.  If the ranking starts with the lowest income then the income at the top of the 10th percentile is denoted P10, the median or top of the 50th percentile is P50 and so on.  Ratios of values at the top of selected percentiles, such as P80/P20, are often called percentile ratios.  Percentile ratios summarise the relative distance between two points in the income distribution.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This report uses four percentile ratios to provide a succinct picture of trends in income inequality.</w:t>
      </w:r>
    </w:p>
    <w:p w:rsidR="00E46063" w:rsidRPr="00B212F2" w:rsidRDefault="00E46063" w:rsidP="00614C04">
      <w:pPr>
        <w:numPr>
          <w:ilvl w:val="0"/>
          <w:numId w:val="34"/>
        </w:numPr>
        <w:tabs>
          <w:tab w:val="clear" w:pos="1440"/>
        </w:tabs>
        <w:spacing w:before="120"/>
        <w:ind w:left="720"/>
        <w:jc w:val="both"/>
        <w:rPr>
          <w:rFonts w:cs="Arial"/>
          <w:sz w:val="20"/>
          <w:szCs w:val="22"/>
        </w:rPr>
      </w:pPr>
      <w:r w:rsidRPr="00B212F2">
        <w:rPr>
          <w:rFonts w:cs="Arial"/>
          <w:sz w:val="20"/>
          <w:szCs w:val="22"/>
        </w:rPr>
        <w:t>The P90/P10 ratio provides a good indication of the full spread of the distribution, going as far as possible to the extremes without running the risk of being overly influenced by unrepresentative very high incomes or by the difficulties with bottom decile incomes.</w:t>
      </w:r>
    </w:p>
    <w:p w:rsidR="00E46063" w:rsidRPr="00B212F2" w:rsidRDefault="00E46063" w:rsidP="00614C04">
      <w:pPr>
        <w:numPr>
          <w:ilvl w:val="0"/>
          <w:numId w:val="34"/>
        </w:numPr>
        <w:tabs>
          <w:tab w:val="clear" w:pos="1440"/>
        </w:tabs>
        <w:spacing w:before="120"/>
        <w:ind w:left="720"/>
        <w:jc w:val="both"/>
        <w:rPr>
          <w:rFonts w:cs="Arial"/>
          <w:i/>
          <w:sz w:val="20"/>
          <w:szCs w:val="22"/>
        </w:rPr>
      </w:pPr>
      <w:r w:rsidRPr="00B212F2">
        <w:rPr>
          <w:rFonts w:cs="Arial"/>
          <w:sz w:val="20"/>
          <w:szCs w:val="22"/>
        </w:rPr>
        <w:t>The P80/P20 ratio gives a better indication of the size of the range within which the majority of the population fall and has less volatility than the P90/P10 ratio.</w:t>
      </w:r>
    </w:p>
    <w:p w:rsidR="00E46063" w:rsidRPr="00B212F2" w:rsidRDefault="00E46063" w:rsidP="00614C04">
      <w:pPr>
        <w:numPr>
          <w:ilvl w:val="0"/>
          <w:numId w:val="34"/>
        </w:numPr>
        <w:tabs>
          <w:tab w:val="clear" w:pos="1440"/>
        </w:tabs>
        <w:spacing w:before="120"/>
        <w:ind w:left="720"/>
        <w:jc w:val="both"/>
        <w:rPr>
          <w:rFonts w:cs="Arial"/>
          <w:sz w:val="20"/>
          <w:szCs w:val="22"/>
        </w:rPr>
      </w:pPr>
      <w:r w:rsidRPr="00B212F2">
        <w:rPr>
          <w:rFonts w:cs="Arial"/>
          <w:sz w:val="20"/>
          <w:szCs w:val="22"/>
        </w:rPr>
        <w:t>The P80/P50 and the P20/P50 ratios give an indication of how higher and lower incomes compare with the midpoint.</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sidRPr="00B212F2">
        <w:rPr>
          <w:rFonts w:cs="Arial"/>
          <w:sz w:val="20"/>
          <w:szCs w:val="22"/>
        </w:rPr>
        <w:t xml:space="preserve">For the P90/P10, P80/P20 and P80/P50 indicators, the higher the ratio the greater is the level of inequality.  For the P20/P50 indicator, the higher the ratio the lower is the level of inequality in this part of the distribution.  </w:t>
      </w:r>
    </w:p>
    <w:p w:rsidR="00E46063" w:rsidRPr="00B212F2" w:rsidRDefault="00E46063" w:rsidP="00E46063">
      <w:pPr>
        <w:jc w:val="both"/>
        <w:rPr>
          <w:rFonts w:cs="Arial"/>
          <w:sz w:val="20"/>
          <w:szCs w:val="22"/>
        </w:rPr>
      </w:pPr>
    </w:p>
    <w:p w:rsidR="00E46063" w:rsidRPr="00B212F2" w:rsidRDefault="00E46063" w:rsidP="00E46063">
      <w:pPr>
        <w:jc w:val="both"/>
        <w:rPr>
          <w:rFonts w:cs="Arial"/>
          <w:sz w:val="20"/>
          <w:szCs w:val="22"/>
        </w:rPr>
      </w:pPr>
      <w:r>
        <w:rPr>
          <w:rFonts w:cs="Arial"/>
          <w:szCs w:val="22"/>
        </w:rPr>
        <w:br w:type="page"/>
      </w:r>
      <w:r w:rsidRPr="00B212F2">
        <w:rPr>
          <w:rFonts w:cs="Arial"/>
          <w:b/>
          <w:sz w:val="20"/>
          <w:szCs w:val="22"/>
        </w:rPr>
        <w:lastRenderedPageBreak/>
        <w:t>Figure D.1</w:t>
      </w:r>
      <w:r>
        <w:rPr>
          <w:rFonts w:cs="Arial"/>
          <w:b/>
          <w:sz w:val="20"/>
          <w:szCs w:val="22"/>
        </w:rPr>
        <w:t>6</w:t>
      </w:r>
      <w:r w:rsidRPr="00B212F2">
        <w:rPr>
          <w:rFonts w:cs="Arial"/>
          <w:sz w:val="20"/>
          <w:szCs w:val="22"/>
        </w:rPr>
        <w:t xml:space="preserve"> shows the trends for the P80/P20 ratio.   Incomes after adjusting for housing costs (</w:t>
      </w:r>
      <w:smartTag w:uri="urn:schemas-microsoft-com:office:smarttags" w:element="stockticker">
        <w:r w:rsidRPr="00B212F2">
          <w:rPr>
            <w:rFonts w:cs="Arial"/>
            <w:sz w:val="20"/>
            <w:szCs w:val="22"/>
          </w:rPr>
          <w:t>AHC</w:t>
        </w:r>
      </w:smartTag>
      <w:r w:rsidRPr="00B212F2">
        <w:rPr>
          <w:rFonts w:cs="Arial"/>
          <w:sz w:val="20"/>
          <w:szCs w:val="22"/>
        </w:rPr>
        <w:t xml:space="preserve">) are more dispersed than </w:t>
      </w:r>
      <w:smartTag w:uri="urn:schemas-microsoft-com:office:smarttags" w:element="stockticker">
        <w:r w:rsidRPr="00B212F2">
          <w:rPr>
            <w:rFonts w:cs="Arial"/>
            <w:sz w:val="20"/>
            <w:szCs w:val="22"/>
          </w:rPr>
          <w:t>BHC</w:t>
        </w:r>
      </w:smartTag>
      <w:r w:rsidRPr="00B212F2">
        <w:rPr>
          <w:rFonts w:cs="Arial"/>
          <w:sz w:val="20"/>
          <w:szCs w:val="22"/>
        </w:rPr>
        <w:t xml:space="preserve"> incomes.  The most rapid rises in inequality occurred in the 1988-1992 period.  There was a further net rise in the decade from 1994 to 2004 but the rate of increase was slower.  </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sidRPr="00B212F2">
        <w:rPr>
          <w:rFonts w:cs="Arial"/>
          <w:sz w:val="20"/>
          <w:szCs w:val="22"/>
        </w:rPr>
        <w:t>From 2004 to 20</w:t>
      </w:r>
      <w:r>
        <w:rPr>
          <w:rFonts w:cs="Arial"/>
          <w:sz w:val="20"/>
          <w:szCs w:val="22"/>
        </w:rPr>
        <w:t>07</w:t>
      </w:r>
      <w:r w:rsidRPr="00B212F2">
        <w:rPr>
          <w:rFonts w:cs="Arial"/>
          <w:sz w:val="20"/>
          <w:szCs w:val="22"/>
        </w:rPr>
        <w:t>, the P80/P20 ratio fell, indicating decreasing inequality in the period</w:t>
      </w:r>
      <w:r>
        <w:rPr>
          <w:rFonts w:cs="Arial"/>
          <w:sz w:val="20"/>
          <w:szCs w:val="22"/>
        </w:rPr>
        <w:t xml:space="preserve">, mainly </w:t>
      </w:r>
      <w:r w:rsidRPr="00B212F2">
        <w:rPr>
          <w:rFonts w:cs="Arial"/>
          <w:sz w:val="20"/>
          <w:szCs w:val="22"/>
        </w:rPr>
        <w:t xml:space="preserve">as a result of the Working for Families </w:t>
      </w:r>
      <w:r>
        <w:rPr>
          <w:rFonts w:cs="Arial"/>
          <w:sz w:val="20"/>
          <w:szCs w:val="22"/>
        </w:rPr>
        <w:t>package (2004 to 2007).  The impact of the economic downturn and GFC on incomes has led to some volatility in the index from 2009 to 2010 to 2011.  It will take another survey or two before the post-crisis inequality level becomes clear.   (See the Gini section on the next page for a more detailed discussion of the impact on incomes of the GFC and economic downturn.)</w:t>
      </w:r>
    </w:p>
    <w:p w:rsidR="00E46063" w:rsidRPr="00B212F2" w:rsidRDefault="00E46063" w:rsidP="00E46063">
      <w:pPr>
        <w:jc w:val="both"/>
        <w:rPr>
          <w:rFonts w:cs="Arial"/>
          <w:b/>
          <w:sz w:val="20"/>
          <w:szCs w:val="22"/>
        </w:rPr>
      </w:pPr>
    </w:p>
    <w:p w:rsidR="00E46063" w:rsidRPr="00B212F2" w:rsidRDefault="00E46063" w:rsidP="00E46063">
      <w:pPr>
        <w:jc w:val="center"/>
        <w:rPr>
          <w:rFonts w:cs="Arial"/>
          <w:b/>
          <w:sz w:val="18"/>
        </w:rPr>
      </w:pPr>
      <w:r w:rsidRPr="00B212F2">
        <w:rPr>
          <w:rFonts w:cs="Arial"/>
          <w:b/>
          <w:sz w:val="18"/>
        </w:rPr>
        <w:t>Figure D.1</w:t>
      </w:r>
      <w:r>
        <w:rPr>
          <w:rFonts w:cs="Arial"/>
          <w:b/>
          <w:sz w:val="18"/>
        </w:rPr>
        <w:t>6</w:t>
      </w:r>
    </w:p>
    <w:p w:rsidR="00E46063" w:rsidRPr="00B212F2" w:rsidRDefault="00E46063" w:rsidP="00E46063">
      <w:pPr>
        <w:jc w:val="center"/>
        <w:rPr>
          <w:rFonts w:cs="Arial"/>
          <w:b/>
          <w:sz w:val="18"/>
        </w:rPr>
      </w:pPr>
      <w:r w:rsidRPr="00B212F2">
        <w:rPr>
          <w:rFonts w:cs="Arial"/>
          <w:b/>
          <w:sz w:val="18"/>
        </w:rPr>
        <w:t xml:space="preserve">Income inequality in </w:t>
      </w:r>
      <w:smartTag w:uri="urn:schemas-microsoft-com:office:smarttags" w:element="place">
        <w:smartTag w:uri="urn:schemas-microsoft-com:office:smarttags" w:element="country-region">
          <w:r w:rsidRPr="00B212F2">
            <w:rPr>
              <w:rFonts w:cs="Arial"/>
              <w:b/>
              <w:sz w:val="18"/>
            </w:rPr>
            <w:t>New Zealand</w:t>
          </w:r>
        </w:smartTag>
      </w:smartTag>
      <w:r w:rsidRPr="00B212F2">
        <w:rPr>
          <w:rFonts w:cs="Arial"/>
          <w:b/>
          <w:sz w:val="18"/>
        </w:rPr>
        <w:t>: the P80/P20 ratio, 1982 to 20</w:t>
      </w:r>
      <w:r>
        <w:rPr>
          <w:rFonts w:cs="Arial"/>
          <w:b/>
          <w:sz w:val="18"/>
        </w:rPr>
        <w:t>11, total population</w:t>
      </w:r>
    </w:p>
    <w:p w:rsidR="00E46063" w:rsidRPr="0046047F" w:rsidRDefault="00EC0BE0" w:rsidP="00E46063">
      <w:pPr>
        <w:jc w:val="center"/>
      </w:pPr>
      <w:r>
        <w:rPr>
          <w:noProof/>
          <w:lang w:val="en-US"/>
        </w:rPr>
        <w:drawing>
          <wp:inline distT="0" distB="0" distL="0" distR="0">
            <wp:extent cx="3305175" cy="2219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a:stretch>
                      <a:fillRect/>
                    </a:stretch>
                  </pic:blipFill>
                  <pic:spPr bwMode="auto">
                    <a:xfrm>
                      <a:off x="0" y="0"/>
                      <a:ext cx="3305175" cy="2219325"/>
                    </a:xfrm>
                    <a:prstGeom prst="rect">
                      <a:avLst/>
                    </a:prstGeom>
                    <a:noFill/>
                    <a:ln w="9525">
                      <a:noFill/>
                      <a:miter lim="800000"/>
                      <a:headEnd/>
                      <a:tailEnd/>
                    </a:ln>
                  </pic:spPr>
                </pic:pic>
              </a:graphicData>
            </a:graphic>
          </wp:inline>
        </w:drawing>
      </w:r>
    </w:p>
    <w:p w:rsidR="00E46063" w:rsidRDefault="00E46063" w:rsidP="00E46063">
      <w:pPr>
        <w:jc w:val="both"/>
      </w:pPr>
    </w:p>
    <w:p w:rsidR="00E46063" w:rsidRPr="00B212F2" w:rsidRDefault="00E46063" w:rsidP="00E46063">
      <w:pPr>
        <w:jc w:val="both"/>
        <w:rPr>
          <w:rFonts w:cs="Arial"/>
          <w:sz w:val="20"/>
          <w:szCs w:val="22"/>
        </w:rPr>
      </w:pPr>
      <w:r w:rsidRPr="00B212F2">
        <w:rPr>
          <w:rFonts w:cs="Arial"/>
          <w:b/>
          <w:sz w:val="20"/>
          <w:szCs w:val="22"/>
        </w:rPr>
        <w:t>Tables D.7 and D.8</w:t>
      </w:r>
      <w:r w:rsidRPr="00B212F2">
        <w:rPr>
          <w:rFonts w:cs="Arial"/>
          <w:sz w:val="20"/>
          <w:szCs w:val="22"/>
        </w:rPr>
        <w:t xml:space="preserve"> summarise the trends in all four percentile ratios from 198</w:t>
      </w:r>
      <w:r>
        <w:rPr>
          <w:rFonts w:cs="Arial"/>
          <w:sz w:val="20"/>
          <w:szCs w:val="22"/>
        </w:rPr>
        <w:t>2</w:t>
      </w:r>
      <w:r w:rsidRPr="00B212F2">
        <w:rPr>
          <w:rFonts w:cs="Arial"/>
          <w:sz w:val="20"/>
          <w:szCs w:val="22"/>
        </w:rPr>
        <w:t xml:space="preserve"> to 20</w:t>
      </w:r>
      <w:r>
        <w:rPr>
          <w:rFonts w:cs="Arial"/>
          <w:sz w:val="20"/>
          <w:szCs w:val="22"/>
        </w:rPr>
        <w:t>10</w:t>
      </w:r>
      <w:r w:rsidRPr="00B212F2">
        <w:rPr>
          <w:rFonts w:cs="Arial"/>
          <w:sz w:val="20"/>
          <w:szCs w:val="22"/>
        </w:rPr>
        <w:t>.</w:t>
      </w:r>
    </w:p>
    <w:p w:rsidR="00E46063" w:rsidRDefault="00E46063" w:rsidP="00E46063">
      <w:pPr>
        <w:jc w:val="both"/>
        <w:rPr>
          <w:rFonts w:cs="Arial"/>
          <w:szCs w:val="22"/>
        </w:rPr>
      </w:pPr>
    </w:p>
    <w:p w:rsidR="00E46063" w:rsidRPr="00B212F2" w:rsidRDefault="00E46063" w:rsidP="00E46063">
      <w:pPr>
        <w:jc w:val="center"/>
        <w:rPr>
          <w:rFonts w:cs="Arial"/>
          <w:b/>
          <w:sz w:val="18"/>
        </w:rPr>
      </w:pPr>
      <w:r w:rsidRPr="00B212F2">
        <w:rPr>
          <w:rFonts w:cs="Arial"/>
          <w:b/>
          <w:sz w:val="18"/>
        </w:rPr>
        <w:t>Table D.7</w:t>
      </w:r>
    </w:p>
    <w:p w:rsidR="00E46063" w:rsidRPr="00B212F2" w:rsidRDefault="00E46063" w:rsidP="00E46063">
      <w:pPr>
        <w:spacing w:after="120"/>
        <w:jc w:val="center"/>
        <w:rPr>
          <w:rFonts w:cs="Arial"/>
          <w:b/>
          <w:sz w:val="18"/>
        </w:rPr>
      </w:pPr>
      <w:smartTag w:uri="urn:schemas-microsoft-com:office:smarttags" w:element="stockticker">
        <w:r w:rsidRPr="00B212F2">
          <w:rPr>
            <w:rFonts w:cs="Arial"/>
            <w:b/>
            <w:sz w:val="18"/>
          </w:rPr>
          <w:t>BHC</w:t>
        </w:r>
      </w:smartTag>
      <w:r w:rsidRPr="00B212F2">
        <w:rPr>
          <w:rFonts w:cs="Arial"/>
          <w:b/>
          <w:sz w:val="18"/>
        </w:rPr>
        <w:t xml:space="preserve"> income inequality in New Zealand: percentile ratios, 19</w:t>
      </w:r>
      <w:r>
        <w:rPr>
          <w:rFonts w:cs="Arial"/>
          <w:b/>
          <w:sz w:val="18"/>
        </w:rPr>
        <w:t>82</w:t>
      </w:r>
      <w:r w:rsidRPr="00B212F2">
        <w:rPr>
          <w:rFonts w:cs="Arial"/>
          <w:b/>
          <w:sz w:val="18"/>
        </w:rPr>
        <w:t xml:space="preserve"> to </w:t>
      </w:r>
      <w:r>
        <w:rPr>
          <w:rFonts w:cs="Arial"/>
          <w:b/>
          <w:sz w:val="18"/>
        </w:rPr>
        <w:t>2011, total population</w:t>
      </w:r>
    </w:p>
    <w:tbl>
      <w:tblPr>
        <w:tblStyle w:val="TableGrid"/>
        <w:tblW w:w="0" w:type="auto"/>
        <w:jc w:val="center"/>
        <w:tblLook w:val="01E0"/>
      </w:tblPr>
      <w:tblGrid>
        <w:gridCol w:w="757"/>
        <w:gridCol w:w="546"/>
        <w:gridCol w:w="547"/>
        <w:gridCol w:w="547"/>
        <w:gridCol w:w="546"/>
        <w:gridCol w:w="547"/>
        <w:gridCol w:w="547"/>
        <w:gridCol w:w="546"/>
        <w:gridCol w:w="547"/>
        <w:gridCol w:w="547"/>
        <w:gridCol w:w="546"/>
        <w:gridCol w:w="547"/>
        <w:gridCol w:w="547"/>
        <w:gridCol w:w="546"/>
        <w:gridCol w:w="547"/>
        <w:gridCol w:w="547"/>
      </w:tblGrid>
      <w:tr w:rsidR="00E46063">
        <w:trPr>
          <w:jc w:val="center"/>
        </w:trPr>
        <w:tc>
          <w:tcPr>
            <w:tcW w:w="757" w:type="dxa"/>
            <w:vAlign w:val="center"/>
          </w:tcPr>
          <w:p w:rsidR="00E46063" w:rsidRPr="0072075E" w:rsidRDefault="00E46063" w:rsidP="00614C04">
            <w:pPr>
              <w:spacing w:before="60" w:after="60"/>
              <w:jc w:val="center"/>
              <w:rPr>
                <w:rFonts w:cs="Arial"/>
                <w:sz w:val="14"/>
                <w:szCs w:val="14"/>
              </w:rPr>
            </w:pPr>
          </w:p>
        </w:tc>
        <w:tc>
          <w:tcPr>
            <w:tcW w:w="546" w:type="dxa"/>
            <w:tcMar>
              <w:left w:w="29" w:type="dxa"/>
              <w:right w:w="29" w:type="dxa"/>
            </w:tcMar>
            <w:vAlign w:val="center"/>
          </w:tcPr>
          <w:p w:rsidR="00E46063" w:rsidRPr="0072075E" w:rsidRDefault="00E46063" w:rsidP="00614C04">
            <w:pPr>
              <w:spacing w:before="60" w:after="60"/>
              <w:jc w:val="center"/>
              <w:rPr>
                <w:rFonts w:cs="Arial"/>
                <w:b/>
                <w:sz w:val="14"/>
                <w:szCs w:val="14"/>
              </w:rPr>
            </w:pPr>
            <w:r>
              <w:rPr>
                <w:rFonts w:cs="Arial"/>
                <w:b/>
                <w:sz w:val="14"/>
                <w:szCs w:val="14"/>
              </w:rPr>
              <w:t>1982</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1984</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1986</w:t>
            </w:r>
          </w:p>
        </w:tc>
        <w:tc>
          <w:tcPr>
            <w:tcW w:w="546"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1988</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1990</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1992</w:t>
            </w:r>
          </w:p>
        </w:tc>
        <w:tc>
          <w:tcPr>
            <w:tcW w:w="546"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1994</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1996</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1998</w:t>
            </w:r>
          </w:p>
        </w:tc>
        <w:tc>
          <w:tcPr>
            <w:tcW w:w="546"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2001</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2004</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2007</w:t>
            </w:r>
          </w:p>
        </w:tc>
        <w:tc>
          <w:tcPr>
            <w:tcW w:w="546" w:type="dxa"/>
            <w:tcMar>
              <w:left w:w="29" w:type="dxa"/>
              <w:right w:w="29" w:type="dxa"/>
            </w:tcMar>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2009</w:t>
            </w:r>
          </w:p>
        </w:tc>
        <w:tc>
          <w:tcPr>
            <w:tcW w:w="547" w:type="dxa"/>
            <w:tcMar>
              <w:left w:w="29" w:type="dxa"/>
              <w:right w:w="29" w:type="dxa"/>
            </w:tcMar>
            <w:vAlign w:val="center"/>
          </w:tcPr>
          <w:p w:rsidR="00E46063" w:rsidRPr="0072075E" w:rsidRDefault="00E46063" w:rsidP="00614C04">
            <w:pPr>
              <w:spacing w:before="60" w:after="60"/>
              <w:jc w:val="center"/>
              <w:rPr>
                <w:rFonts w:cs="Arial"/>
                <w:b/>
                <w:sz w:val="14"/>
                <w:szCs w:val="14"/>
              </w:rPr>
            </w:pPr>
            <w:r>
              <w:rPr>
                <w:rFonts w:cs="Arial"/>
                <w:b/>
                <w:sz w:val="14"/>
                <w:szCs w:val="14"/>
              </w:rPr>
              <w:t>2010</w:t>
            </w:r>
          </w:p>
        </w:tc>
        <w:tc>
          <w:tcPr>
            <w:tcW w:w="547" w:type="dxa"/>
          </w:tcPr>
          <w:p w:rsidR="00E46063" w:rsidRDefault="00E46063" w:rsidP="00614C04">
            <w:pPr>
              <w:spacing w:before="60" w:after="60"/>
              <w:jc w:val="center"/>
              <w:rPr>
                <w:rFonts w:cs="Arial"/>
                <w:b/>
                <w:sz w:val="14"/>
                <w:szCs w:val="14"/>
              </w:rPr>
            </w:pPr>
            <w:r>
              <w:rPr>
                <w:rFonts w:cs="Arial"/>
                <w:b/>
                <w:sz w:val="14"/>
                <w:szCs w:val="14"/>
              </w:rPr>
              <w:t>2011</w:t>
            </w:r>
          </w:p>
        </w:tc>
      </w:tr>
      <w:tr w:rsidR="00E46063">
        <w:trPr>
          <w:jc w:val="center"/>
        </w:trPr>
        <w:tc>
          <w:tcPr>
            <w:tcW w:w="757" w:type="dxa"/>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P90/P10</w:t>
            </w:r>
          </w:p>
        </w:tc>
        <w:tc>
          <w:tcPr>
            <w:tcW w:w="546"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3.25</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3.31</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3.20</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3.11</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3.43</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3.80</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3.87</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3.79</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3.68</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3.91</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4.17</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4.07</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4.02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Pr>
                <w:rFonts w:cs="Arial"/>
                <w:sz w:val="14"/>
                <w:szCs w:val="14"/>
              </w:rPr>
              <w:t>3.80</w:t>
            </w:r>
          </w:p>
        </w:tc>
        <w:tc>
          <w:tcPr>
            <w:tcW w:w="547" w:type="dxa"/>
            <w:vAlign w:val="center"/>
          </w:tcPr>
          <w:p w:rsidR="00E46063" w:rsidRDefault="00E46063" w:rsidP="00614C04">
            <w:pPr>
              <w:spacing w:before="60" w:after="60"/>
              <w:jc w:val="center"/>
              <w:rPr>
                <w:rFonts w:cs="Arial"/>
                <w:sz w:val="14"/>
                <w:szCs w:val="14"/>
              </w:rPr>
            </w:pPr>
            <w:r>
              <w:rPr>
                <w:rFonts w:cs="Arial"/>
                <w:sz w:val="14"/>
                <w:szCs w:val="14"/>
              </w:rPr>
              <w:t>3.97</w:t>
            </w:r>
          </w:p>
        </w:tc>
      </w:tr>
      <w:tr w:rsidR="00E46063">
        <w:trPr>
          <w:jc w:val="center"/>
        </w:trPr>
        <w:tc>
          <w:tcPr>
            <w:tcW w:w="757" w:type="dxa"/>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P80/P20</w:t>
            </w:r>
          </w:p>
        </w:tc>
        <w:tc>
          <w:tcPr>
            <w:tcW w:w="546"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2.32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2.29</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2.19</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2.24</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2.42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2.53</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2.55</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2.59</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2.68</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2.74</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2.57</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2.52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Pr>
                <w:rFonts w:cs="Arial"/>
                <w:sz w:val="14"/>
                <w:szCs w:val="14"/>
              </w:rPr>
              <w:t>2.42</w:t>
            </w:r>
          </w:p>
        </w:tc>
        <w:tc>
          <w:tcPr>
            <w:tcW w:w="547" w:type="dxa"/>
            <w:vAlign w:val="center"/>
          </w:tcPr>
          <w:p w:rsidR="00E46063" w:rsidRDefault="00E46063" w:rsidP="00614C04">
            <w:pPr>
              <w:spacing w:before="60" w:after="60"/>
              <w:jc w:val="center"/>
              <w:rPr>
                <w:rFonts w:cs="Arial"/>
                <w:sz w:val="14"/>
                <w:szCs w:val="14"/>
              </w:rPr>
            </w:pPr>
            <w:r>
              <w:rPr>
                <w:rFonts w:cs="Arial"/>
                <w:sz w:val="14"/>
                <w:szCs w:val="14"/>
              </w:rPr>
              <w:t>2.58</w:t>
            </w:r>
          </w:p>
        </w:tc>
      </w:tr>
      <w:tr w:rsidR="00E46063">
        <w:trPr>
          <w:jc w:val="center"/>
        </w:trPr>
        <w:tc>
          <w:tcPr>
            <w:tcW w:w="757" w:type="dxa"/>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P80/P50</w:t>
            </w:r>
          </w:p>
        </w:tc>
        <w:tc>
          <w:tcPr>
            <w:tcW w:w="546"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1.51</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1.53</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1.48</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1.49</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1.60</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1.64</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1.66</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1.66</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1.65</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1.66</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1.61</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1.58</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Pr>
                <w:rFonts w:cs="Arial"/>
                <w:sz w:val="14"/>
                <w:szCs w:val="14"/>
              </w:rPr>
              <w:t>1.54</w:t>
            </w:r>
          </w:p>
        </w:tc>
        <w:tc>
          <w:tcPr>
            <w:tcW w:w="547" w:type="dxa"/>
            <w:vAlign w:val="center"/>
          </w:tcPr>
          <w:p w:rsidR="00E46063" w:rsidRDefault="00E46063" w:rsidP="00614C04">
            <w:pPr>
              <w:spacing w:before="60" w:after="60"/>
              <w:jc w:val="center"/>
              <w:rPr>
                <w:rFonts w:cs="Arial"/>
                <w:sz w:val="14"/>
                <w:szCs w:val="14"/>
              </w:rPr>
            </w:pPr>
            <w:r>
              <w:rPr>
                <w:rFonts w:cs="Arial"/>
                <w:sz w:val="14"/>
                <w:szCs w:val="14"/>
              </w:rPr>
              <w:t>1.61</w:t>
            </w:r>
          </w:p>
        </w:tc>
      </w:tr>
      <w:tr w:rsidR="00E46063">
        <w:trPr>
          <w:jc w:val="center"/>
        </w:trPr>
        <w:tc>
          <w:tcPr>
            <w:tcW w:w="757" w:type="dxa"/>
            <w:vAlign w:val="center"/>
          </w:tcPr>
          <w:p w:rsidR="00E46063" w:rsidRPr="0072075E" w:rsidRDefault="00E46063" w:rsidP="00614C04">
            <w:pPr>
              <w:spacing w:before="60" w:after="60"/>
              <w:jc w:val="center"/>
              <w:rPr>
                <w:rFonts w:cs="Arial"/>
                <w:b/>
                <w:sz w:val="14"/>
                <w:szCs w:val="14"/>
              </w:rPr>
            </w:pPr>
            <w:r w:rsidRPr="0072075E">
              <w:rPr>
                <w:rFonts w:cs="Arial"/>
                <w:b/>
                <w:sz w:val="14"/>
                <w:szCs w:val="14"/>
              </w:rPr>
              <w:t>P20/P50</w:t>
            </w:r>
          </w:p>
        </w:tc>
        <w:tc>
          <w:tcPr>
            <w:tcW w:w="546"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0.65</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0.67</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0.68</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0.67</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0.66</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0.65</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0.66</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0.65</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0.64</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0.62</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0.59</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0.62</w:t>
            </w:r>
          </w:p>
        </w:tc>
        <w:tc>
          <w:tcPr>
            <w:tcW w:w="546" w:type="dxa"/>
            <w:tcMar>
              <w:left w:w="29" w:type="dxa"/>
              <w:right w:w="29" w:type="dxa"/>
            </w:tcMar>
            <w:vAlign w:val="center"/>
          </w:tcPr>
          <w:p w:rsidR="00E46063" w:rsidRPr="0072075E" w:rsidRDefault="00E46063" w:rsidP="00614C04">
            <w:pPr>
              <w:spacing w:before="60" w:after="60"/>
              <w:jc w:val="center"/>
              <w:rPr>
                <w:rFonts w:cs="Arial"/>
                <w:sz w:val="14"/>
                <w:szCs w:val="14"/>
              </w:rPr>
            </w:pPr>
            <w:r w:rsidRPr="0072075E">
              <w:rPr>
                <w:rFonts w:cs="Arial"/>
                <w:sz w:val="14"/>
                <w:szCs w:val="14"/>
              </w:rPr>
              <w:t>0.63</w:t>
            </w:r>
          </w:p>
        </w:tc>
        <w:tc>
          <w:tcPr>
            <w:tcW w:w="547" w:type="dxa"/>
            <w:tcMar>
              <w:left w:w="29" w:type="dxa"/>
              <w:right w:w="29" w:type="dxa"/>
            </w:tcMar>
            <w:vAlign w:val="center"/>
          </w:tcPr>
          <w:p w:rsidR="00E46063" w:rsidRPr="0072075E" w:rsidRDefault="00E46063" w:rsidP="00614C04">
            <w:pPr>
              <w:spacing w:before="60" w:after="60"/>
              <w:jc w:val="center"/>
              <w:rPr>
                <w:rFonts w:cs="Arial"/>
                <w:sz w:val="14"/>
                <w:szCs w:val="14"/>
              </w:rPr>
            </w:pPr>
            <w:r>
              <w:rPr>
                <w:rFonts w:cs="Arial"/>
                <w:sz w:val="14"/>
                <w:szCs w:val="14"/>
              </w:rPr>
              <w:t>0.64</w:t>
            </w:r>
          </w:p>
        </w:tc>
        <w:tc>
          <w:tcPr>
            <w:tcW w:w="547" w:type="dxa"/>
            <w:vAlign w:val="center"/>
          </w:tcPr>
          <w:p w:rsidR="00E46063" w:rsidRDefault="00E46063" w:rsidP="00614C04">
            <w:pPr>
              <w:spacing w:before="60" w:after="60"/>
              <w:jc w:val="center"/>
              <w:rPr>
                <w:rFonts w:cs="Arial"/>
                <w:sz w:val="14"/>
                <w:szCs w:val="14"/>
              </w:rPr>
            </w:pPr>
            <w:r>
              <w:rPr>
                <w:rFonts w:cs="Arial"/>
                <w:sz w:val="14"/>
                <w:szCs w:val="14"/>
              </w:rPr>
              <w:t>0.63</w:t>
            </w:r>
          </w:p>
        </w:tc>
      </w:tr>
    </w:tbl>
    <w:p w:rsidR="00E46063" w:rsidRPr="00C37200" w:rsidRDefault="00E46063" w:rsidP="00E46063">
      <w:pPr>
        <w:jc w:val="center"/>
        <w:rPr>
          <w:rFonts w:cs="Arial"/>
          <w:b/>
          <w:sz w:val="20"/>
        </w:rPr>
      </w:pPr>
    </w:p>
    <w:p w:rsidR="00E46063" w:rsidRPr="00B212F2" w:rsidRDefault="00E46063" w:rsidP="00E46063">
      <w:pPr>
        <w:spacing w:before="120"/>
        <w:jc w:val="center"/>
        <w:rPr>
          <w:rFonts w:cs="Arial"/>
          <w:b/>
          <w:sz w:val="18"/>
        </w:rPr>
      </w:pPr>
      <w:r w:rsidRPr="00B212F2">
        <w:rPr>
          <w:rFonts w:cs="Arial"/>
          <w:b/>
          <w:sz w:val="18"/>
        </w:rPr>
        <w:t>Table D.8</w:t>
      </w:r>
    </w:p>
    <w:p w:rsidR="00E46063" w:rsidRPr="00B212F2" w:rsidRDefault="00E46063" w:rsidP="00E46063">
      <w:pPr>
        <w:spacing w:after="120"/>
        <w:jc w:val="center"/>
        <w:rPr>
          <w:rFonts w:cs="Arial"/>
          <w:b/>
          <w:sz w:val="18"/>
        </w:rPr>
      </w:pPr>
      <w:smartTag w:uri="urn:schemas-microsoft-com:office:smarttags" w:element="stockticker">
        <w:r w:rsidRPr="00B212F2">
          <w:rPr>
            <w:rFonts w:cs="Arial"/>
            <w:b/>
            <w:sz w:val="18"/>
          </w:rPr>
          <w:t>AHC</w:t>
        </w:r>
      </w:smartTag>
      <w:r w:rsidRPr="00B212F2">
        <w:rPr>
          <w:rFonts w:cs="Arial"/>
          <w:b/>
          <w:sz w:val="18"/>
        </w:rPr>
        <w:t xml:space="preserve"> income inequality in New Zealand: percentile ratios</w:t>
      </w:r>
      <w:r>
        <w:rPr>
          <w:rFonts w:cs="Arial"/>
          <w:b/>
          <w:sz w:val="18"/>
        </w:rPr>
        <w:t>, 1982 to 2011, total population</w:t>
      </w:r>
    </w:p>
    <w:tbl>
      <w:tblPr>
        <w:tblStyle w:val="TableGrid"/>
        <w:tblW w:w="0" w:type="auto"/>
        <w:jc w:val="center"/>
        <w:tblLook w:val="01E0"/>
      </w:tblPr>
      <w:tblGrid>
        <w:gridCol w:w="754"/>
        <w:gridCol w:w="541"/>
        <w:gridCol w:w="542"/>
        <w:gridCol w:w="541"/>
        <w:gridCol w:w="542"/>
        <w:gridCol w:w="542"/>
        <w:gridCol w:w="541"/>
        <w:gridCol w:w="542"/>
        <w:gridCol w:w="541"/>
        <w:gridCol w:w="542"/>
        <w:gridCol w:w="542"/>
        <w:gridCol w:w="541"/>
        <w:gridCol w:w="542"/>
        <w:gridCol w:w="541"/>
        <w:gridCol w:w="542"/>
        <w:gridCol w:w="542"/>
      </w:tblGrid>
      <w:tr w:rsidR="00E46063">
        <w:trPr>
          <w:jc w:val="center"/>
        </w:trPr>
        <w:tc>
          <w:tcPr>
            <w:tcW w:w="754" w:type="dxa"/>
            <w:vAlign w:val="center"/>
          </w:tcPr>
          <w:p w:rsidR="00E46063" w:rsidRPr="0072075E" w:rsidRDefault="00E46063" w:rsidP="00614C04">
            <w:pPr>
              <w:spacing w:before="60" w:after="60"/>
              <w:jc w:val="center"/>
              <w:rPr>
                <w:rFonts w:cs="Arial"/>
                <w:sz w:val="14"/>
                <w:szCs w:val="16"/>
              </w:rPr>
            </w:pP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Pr>
                <w:rFonts w:cs="Arial"/>
                <w:b/>
                <w:sz w:val="14"/>
                <w:szCs w:val="16"/>
              </w:rPr>
              <w:t>1982</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1984</w:t>
            </w: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1986</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1988</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1990</w:t>
            </w: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1992</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1994</w:t>
            </w: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1996</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1998</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2001</w:t>
            </w: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2004</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2007</w:t>
            </w:r>
          </w:p>
        </w:tc>
        <w:tc>
          <w:tcPr>
            <w:tcW w:w="541" w:type="dxa"/>
            <w:tcMar>
              <w:left w:w="29" w:type="dxa"/>
              <w:right w:w="29" w:type="dxa"/>
            </w:tcMar>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2009</w:t>
            </w:r>
          </w:p>
        </w:tc>
        <w:tc>
          <w:tcPr>
            <w:tcW w:w="542" w:type="dxa"/>
            <w:tcMar>
              <w:left w:w="29" w:type="dxa"/>
              <w:right w:w="29" w:type="dxa"/>
            </w:tcMar>
            <w:vAlign w:val="center"/>
          </w:tcPr>
          <w:p w:rsidR="00E46063" w:rsidRPr="0072075E" w:rsidRDefault="00E46063" w:rsidP="00614C04">
            <w:pPr>
              <w:spacing w:before="60" w:after="60"/>
              <w:jc w:val="center"/>
              <w:rPr>
                <w:rFonts w:cs="Arial"/>
                <w:b/>
                <w:sz w:val="14"/>
                <w:szCs w:val="16"/>
              </w:rPr>
            </w:pPr>
            <w:r>
              <w:rPr>
                <w:rFonts w:cs="Arial"/>
                <w:b/>
                <w:sz w:val="14"/>
                <w:szCs w:val="16"/>
              </w:rPr>
              <w:t>2010</w:t>
            </w:r>
          </w:p>
        </w:tc>
        <w:tc>
          <w:tcPr>
            <w:tcW w:w="542" w:type="dxa"/>
            <w:vAlign w:val="center"/>
          </w:tcPr>
          <w:p w:rsidR="00E46063" w:rsidRDefault="00E46063" w:rsidP="00614C04">
            <w:pPr>
              <w:spacing w:before="60" w:after="60"/>
              <w:jc w:val="center"/>
              <w:rPr>
                <w:rFonts w:cs="Arial"/>
                <w:b/>
                <w:sz w:val="14"/>
                <w:szCs w:val="16"/>
              </w:rPr>
            </w:pPr>
            <w:r>
              <w:rPr>
                <w:rFonts w:cs="Arial"/>
                <w:b/>
                <w:sz w:val="14"/>
                <w:szCs w:val="16"/>
              </w:rPr>
              <w:t>2011</w:t>
            </w:r>
          </w:p>
        </w:tc>
      </w:tr>
      <w:tr w:rsidR="00E46063">
        <w:trPr>
          <w:jc w:val="center"/>
        </w:trPr>
        <w:tc>
          <w:tcPr>
            <w:tcW w:w="754" w:type="dxa"/>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P90/P10</w:t>
            </w:r>
          </w:p>
        </w:tc>
        <w:tc>
          <w:tcPr>
            <w:tcW w:w="541"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3.63</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3.69</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3.46</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3.48</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3.98</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5.04</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5.16</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5.59</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5.74</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5.57</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5.57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5.77</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5.27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Pr>
                <w:rFonts w:cs="Arial"/>
                <w:sz w:val="14"/>
                <w:szCs w:val="16"/>
              </w:rPr>
              <w:t>4.85</w:t>
            </w:r>
          </w:p>
        </w:tc>
        <w:tc>
          <w:tcPr>
            <w:tcW w:w="542" w:type="dxa"/>
            <w:vAlign w:val="center"/>
          </w:tcPr>
          <w:p w:rsidR="00E46063" w:rsidRDefault="00E46063" w:rsidP="00614C04">
            <w:pPr>
              <w:spacing w:before="60" w:after="60"/>
              <w:jc w:val="center"/>
              <w:rPr>
                <w:rFonts w:cs="Arial"/>
                <w:sz w:val="14"/>
                <w:szCs w:val="16"/>
              </w:rPr>
            </w:pPr>
            <w:r>
              <w:rPr>
                <w:rFonts w:cs="Arial"/>
                <w:sz w:val="14"/>
                <w:szCs w:val="16"/>
              </w:rPr>
              <w:t>5.12</w:t>
            </w:r>
          </w:p>
        </w:tc>
      </w:tr>
      <w:tr w:rsidR="00E46063">
        <w:trPr>
          <w:jc w:val="center"/>
        </w:trPr>
        <w:tc>
          <w:tcPr>
            <w:tcW w:w="754" w:type="dxa"/>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P80/P20</w:t>
            </w:r>
          </w:p>
        </w:tc>
        <w:tc>
          <w:tcPr>
            <w:tcW w:w="541"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2.40</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2.39</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2.30</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2.37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2.54</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2.87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2.99</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2.97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2.91</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3.10</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3.12</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2.86</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2.79</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Pr>
                <w:rFonts w:cs="Arial"/>
                <w:sz w:val="14"/>
                <w:szCs w:val="16"/>
              </w:rPr>
              <w:t>2.75</w:t>
            </w:r>
          </w:p>
        </w:tc>
        <w:tc>
          <w:tcPr>
            <w:tcW w:w="542" w:type="dxa"/>
            <w:vAlign w:val="center"/>
          </w:tcPr>
          <w:p w:rsidR="00E46063" w:rsidRDefault="00E46063" w:rsidP="00614C04">
            <w:pPr>
              <w:spacing w:before="60" w:after="60"/>
              <w:jc w:val="center"/>
              <w:rPr>
                <w:rFonts w:cs="Arial"/>
                <w:sz w:val="14"/>
                <w:szCs w:val="16"/>
              </w:rPr>
            </w:pPr>
            <w:r>
              <w:rPr>
                <w:rFonts w:cs="Arial"/>
                <w:sz w:val="14"/>
                <w:szCs w:val="16"/>
              </w:rPr>
              <w:t>2.85</w:t>
            </w:r>
          </w:p>
        </w:tc>
      </w:tr>
      <w:tr w:rsidR="00E46063">
        <w:trPr>
          <w:jc w:val="center"/>
        </w:trPr>
        <w:tc>
          <w:tcPr>
            <w:tcW w:w="754" w:type="dxa"/>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P80/P50</w:t>
            </w:r>
          </w:p>
        </w:tc>
        <w:tc>
          <w:tcPr>
            <w:tcW w:w="541"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1.57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1.59</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1.51</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1.53</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1.63</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1.67</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1.71</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1.74</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1.73</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1.73</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1.75</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1.70</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1.66</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Pr>
                <w:rFonts w:cs="Arial"/>
                <w:sz w:val="14"/>
                <w:szCs w:val="16"/>
              </w:rPr>
              <w:t>1.65</w:t>
            </w:r>
          </w:p>
        </w:tc>
        <w:tc>
          <w:tcPr>
            <w:tcW w:w="542" w:type="dxa"/>
            <w:vAlign w:val="center"/>
          </w:tcPr>
          <w:p w:rsidR="00E46063" w:rsidRDefault="00E46063" w:rsidP="00614C04">
            <w:pPr>
              <w:spacing w:before="60" w:after="60"/>
              <w:jc w:val="center"/>
              <w:rPr>
                <w:rFonts w:cs="Arial"/>
                <w:sz w:val="14"/>
                <w:szCs w:val="16"/>
              </w:rPr>
            </w:pPr>
            <w:r>
              <w:rPr>
                <w:rFonts w:cs="Arial"/>
                <w:sz w:val="14"/>
                <w:szCs w:val="16"/>
              </w:rPr>
              <w:t>1.71</w:t>
            </w:r>
          </w:p>
        </w:tc>
      </w:tr>
      <w:tr w:rsidR="00E46063">
        <w:trPr>
          <w:jc w:val="center"/>
        </w:trPr>
        <w:tc>
          <w:tcPr>
            <w:tcW w:w="754" w:type="dxa"/>
            <w:vAlign w:val="center"/>
          </w:tcPr>
          <w:p w:rsidR="00E46063" w:rsidRPr="0072075E" w:rsidRDefault="00E46063" w:rsidP="00614C04">
            <w:pPr>
              <w:spacing w:before="60" w:after="60"/>
              <w:jc w:val="center"/>
              <w:rPr>
                <w:rFonts w:cs="Arial"/>
                <w:b/>
                <w:sz w:val="14"/>
                <w:szCs w:val="16"/>
              </w:rPr>
            </w:pPr>
            <w:r w:rsidRPr="0072075E">
              <w:rPr>
                <w:rFonts w:cs="Arial"/>
                <w:b/>
                <w:sz w:val="14"/>
                <w:szCs w:val="16"/>
              </w:rPr>
              <w:t>P20/P50</w:t>
            </w:r>
          </w:p>
        </w:tc>
        <w:tc>
          <w:tcPr>
            <w:tcW w:w="541" w:type="dxa"/>
            <w:tcMar>
              <w:left w:w="29" w:type="dxa"/>
              <w:right w:w="29" w:type="dxa"/>
            </w:tcMar>
            <w:vAlign w:val="center"/>
          </w:tcPr>
          <w:p w:rsidR="00E46063" w:rsidRPr="00876402" w:rsidRDefault="00E46063" w:rsidP="00614C04">
            <w:pPr>
              <w:spacing w:before="60" w:after="60"/>
              <w:jc w:val="center"/>
              <w:rPr>
                <w:rFonts w:cs="Arial"/>
                <w:sz w:val="14"/>
                <w:szCs w:val="14"/>
              </w:rPr>
            </w:pPr>
            <w:r w:rsidRPr="00876402">
              <w:rPr>
                <w:rFonts w:cs="Arial"/>
                <w:sz w:val="14"/>
                <w:szCs w:val="14"/>
              </w:rPr>
              <w:t>0.65</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0.66</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0.65</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0.65</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0.64</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0.58</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0.57</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0.58</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0.59</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0.56</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0.56</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0.60</w:t>
            </w:r>
          </w:p>
        </w:tc>
        <w:tc>
          <w:tcPr>
            <w:tcW w:w="541" w:type="dxa"/>
            <w:tcMar>
              <w:left w:w="29" w:type="dxa"/>
              <w:right w:w="29" w:type="dxa"/>
            </w:tcMar>
            <w:vAlign w:val="center"/>
          </w:tcPr>
          <w:p w:rsidR="00E46063" w:rsidRPr="0072075E" w:rsidRDefault="00E46063" w:rsidP="00614C04">
            <w:pPr>
              <w:spacing w:before="60" w:after="60"/>
              <w:jc w:val="center"/>
              <w:rPr>
                <w:rFonts w:cs="Arial"/>
                <w:sz w:val="14"/>
                <w:szCs w:val="16"/>
              </w:rPr>
            </w:pPr>
            <w:r w:rsidRPr="0072075E">
              <w:rPr>
                <w:rFonts w:cs="Arial"/>
                <w:sz w:val="14"/>
                <w:szCs w:val="16"/>
              </w:rPr>
              <w:t>0.59</w:t>
            </w:r>
          </w:p>
        </w:tc>
        <w:tc>
          <w:tcPr>
            <w:tcW w:w="542" w:type="dxa"/>
            <w:tcMar>
              <w:left w:w="29" w:type="dxa"/>
              <w:right w:w="29" w:type="dxa"/>
            </w:tcMar>
            <w:vAlign w:val="center"/>
          </w:tcPr>
          <w:p w:rsidR="00E46063" w:rsidRPr="0072075E" w:rsidRDefault="00E46063" w:rsidP="00614C04">
            <w:pPr>
              <w:spacing w:before="60" w:after="60"/>
              <w:jc w:val="center"/>
              <w:rPr>
                <w:rFonts w:cs="Arial"/>
                <w:sz w:val="14"/>
                <w:szCs w:val="16"/>
              </w:rPr>
            </w:pPr>
            <w:r>
              <w:rPr>
                <w:rFonts w:cs="Arial"/>
                <w:sz w:val="14"/>
                <w:szCs w:val="16"/>
              </w:rPr>
              <w:t>0.60</w:t>
            </w:r>
          </w:p>
        </w:tc>
        <w:tc>
          <w:tcPr>
            <w:tcW w:w="542" w:type="dxa"/>
            <w:vAlign w:val="center"/>
          </w:tcPr>
          <w:p w:rsidR="00E46063" w:rsidRDefault="00E46063" w:rsidP="00614C04">
            <w:pPr>
              <w:spacing w:before="60" w:after="60"/>
              <w:jc w:val="center"/>
              <w:rPr>
                <w:rFonts w:cs="Arial"/>
                <w:sz w:val="14"/>
                <w:szCs w:val="16"/>
              </w:rPr>
            </w:pPr>
            <w:r>
              <w:rPr>
                <w:rFonts w:cs="Arial"/>
                <w:sz w:val="14"/>
                <w:szCs w:val="16"/>
              </w:rPr>
              <w:t>0.60</w:t>
            </w:r>
          </w:p>
        </w:tc>
      </w:tr>
    </w:tbl>
    <w:p w:rsidR="00E46063" w:rsidRDefault="00E46063" w:rsidP="00E46063">
      <w:pPr>
        <w:jc w:val="both"/>
        <w:rPr>
          <w:rFonts w:cs="Arial"/>
          <w:b/>
          <w:szCs w:val="22"/>
        </w:rPr>
      </w:pPr>
    </w:p>
    <w:p w:rsidR="00E46063" w:rsidRPr="006E41BF" w:rsidRDefault="00E46063" w:rsidP="00E46063">
      <w:pPr>
        <w:pStyle w:val="Heading3"/>
        <w:rPr>
          <w:sz w:val="20"/>
        </w:rPr>
      </w:pPr>
      <w:bookmarkStart w:id="85" w:name="_Toc105985443"/>
      <w:bookmarkStart w:id="86" w:name="_Toc106002518"/>
      <w:bookmarkStart w:id="87" w:name="_Toc106071859"/>
      <w:bookmarkStart w:id="88" w:name="_Toc115142511"/>
      <w:r>
        <w:br w:type="page"/>
      </w:r>
      <w:r w:rsidRPr="006E41BF">
        <w:rPr>
          <w:sz w:val="20"/>
        </w:rPr>
        <w:lastRenderedPageBreak/>
        <w:t>Gini coefficient</w:t>
      </w:r>
      <w:bookmarkEnd w:id="88"/>
    </w:p>
    <w:p w:rsidR="00E46063" w:rsidRPr="006E41BF" w:rsidRDefault="00E46063" w:rsidP="00E46063">
      <w:pPr>
        <w:ind w:left="720"/>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In contrast to the percentile ratios the Gini coefficient takes the incomes of all individuals into account.  It gives a summary of the income differences between each person in the population and every other person in the population.  A difference of, say, $1000 between two high-income people contributes as much to the index as a difference of $1000 between two low-income people.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When comparing changes in income distributions over time, it is important to note that the Gini coefficient is more sensitive to changes in the more dense low-to-middle parts of the distribution than it is to changes more towards the ends of the distribution.  The Gini scores (x100) range from 0 to 100 with scores closer to 100 indicating higher inequality and those nearer zero indicating lower inequality (ie greater equality).</w:t>
      </w:r>
    </w:p>
    <w:p w:rsidR="00E46063" w:rsidRPr="006E41BF" w:rsidRDefault="00E46063" w:rsidP="00E46063">
      <w:pPr>
        <w:jc w:val="both"/>
        <w:rPr>
          <w:rFonts w:cs="Arial"/>
          <w:sz w:val="20"/>
          <w:szCs w:val="22"/>
        </w:rPr>
      </w:pPr>
    </w:p>
    <w:p w:rsidR="00E46063" w:rsidRPr="00AD63F8" w:rsidRDefault="00E46063" w:rsidP="00E46063">
      <w:pPr>
        <w:jc w:val="both"/>
        <w:rPr>
          <w:sz w:val="20"/>
        </w:rPr>
      </w:pPr>
      <w:r w:rsidRPr="00AD63F8">
        <w:rPr>
          <w:sz w:val="20"/>
        </w:rPr>
        <w:t>The first main feature of</w:t>
      </w:r>
      <w:r w:rsidRPr="00AD63F8">
        <w:rPr>
          <w:b/>
          <w:sz w:val="20"/>
        </w:rPr>
        <w:t xml:space="preserve"> Figure D.17</w:t>
      </w:r>
      <w:r w:rsidRPr="00AD63F8">
        <w:rPr>
          <w:sz w:val="20"/>
        </w:rPr>
        <w:t xml:space="preserve"> is the steep rise in the Gini coefficient from the late 1980s to the early 1990s.  This is a similar trend to that shown by the P80/P20 ratio.  The Gini declined a little from 2001 to 2007, </w:t>
      </w:r>
      <w:r w:rsidRPr="00AD63F8">
        <w:rPr>
          <w:rFonts w:cs="Arial"/>
          <w:sz w:val="20"/>
        </w:rPr>
        <w:t>reflecting improving employment, reducing unemployment and the impact of the WFF package which boosted incomes for low to middle income households with children.</w:t>
      </w:r>
    </w:p>
    <w:p w:rsidR="00E46063" w:rsidRPr="00AD63F8" w:rsidRDefault="00E46063" w:rsidP="00E46063">
      <w:pPr>
        <w:jc w:val="both"/>
        <w:rPr>
          <w:sz w:val="20"/>
        </w:rPr>
      </w:pPr>
    </w:p>
    <w:p w:rsidR="00E46063" w:rsidRPr="00AD63F8" w:rsidRDefault="00E46063" w:rsidP="00E46063">
      <w:pPr>
        <w:jc w:val="both"/>
        <w:rPr>
          <w:sz w:val="20"/>
        </w:rPr>
      </w:pPr>
      <w:r w:rsidRPr="00AD63F8">
        <w:rPr>
          <w:sz w:val="20"/>
        </w:rPr>
        <w:t>The second main feature is the volatility for the inequality figures from 2009 to 2010 to 2011 (for both the Gini and the 80:20 measures),</w:t>
      </w:r>
      <w:r w:rsidRPr="00AD63F8">
        <w:rPr>
          <w:rFonts w:cs="Arial"/>
          <w:sz w:val="20"/>
        </w:rPr>
        <w:t xml:space="preserve"> the period in which the impact of the GFC and economic downturn is evident in the HES income data.  From 2007 to 2009, the Gini increased a little but the 80:20 percentile ratio fell.  From 2009 to 2010 there was a large fall in the Gini, followed by a large rise from 2010 to 2011. </w:t>
      </w:r>
    </w:p>
    <w:p w:rsidR="00E46063" w:rsidRDefault="00E46063" w:rsidP="00E46063">
      <w:pPr>
        <w:jc w:val="both"/>
        <w:rPr>
          <w:sz w:val="20"/>
        </w:rPr>
      </w:pPr>
    </w:p>
    <w:p w:rsidR="00E46063" w:rsidRPr="006E41BF" w:rsidRDefault="00E46063" w:rsidP="00E46063">
      <w:pPr>
        <w:pStyle w:val="Heading3"/>
        <w:jc w:val="center"/>
        <w:rPr>
          <w:sz w:val="18"/>
          <w:szCs w:val="20"/>
        </w:rPr>
      </w:pPr>
      <w:r w:rsidRPr="006E41BF">
        <w:rPr>
          <w:sz w:val="18"/>
          <w:szCs w:val="20"/>
        </w:rPr>
        <w:t>Figure D.1</w:t>
      </w:r>
      <w:r>
        <w:rPr>
          <w:sz w:val="18"/>
          <w:szCs w:val="20"/>
        </w:rPr>
        <w:t>7</w:t>
      </w:r>
    </w:p>
    <w:p w:rsidR="00E46063" w:rsidRDefault="00E46063" w:rsidP="00E46063">
      <w:pPr>
        <w:jc w:val="center"/>
        <w:rPr>
          <w:sz w:val="20"/>
        </w:rPr>
      </w:pPr>
      <w:r w:rsidRPr="006E41BF">
        <w:rPr>
          <w:b/>
          <w:sz w:val="18"/>
        </w:rPr>
        <w:t xml:space="preserve">Inequality in </w:t>
      </w:r>
      <w:smartTag w:uri="urn:schemas-microsoft-com:office:smarttags" w:element="place">
        <w:smartTag w:uri="urn:schemas-microsoft-com:office:smarttags" w:element="country-region">
          <w:r w:rsidRPr="006E41BF">
            <w:rPr>
              <w:b/>
              <w:sz w:val="18"/>
            </w:rPr>
            <w:t>New Zealand</w:t>
          </w:r>
        </w:smartTag>
      </w:smartTag>
      <w:r w:rsidRPr="006E41BF">
        <w:rPr>
          <w:b/>
          <w:sz w:val="18"/>
        </w:rPr>
        <w:t>: the Gini coefficient</w:t>
      </w:r>
    </w:p>
    <w:p w:rsidR="00E46063" w:rsidRPr="00614230" w:rsidRDefault="00EC0BE0" w:rsidP="00E46063">
      <w:pPr>
        <w:jc w:val="center"/>
      </w:pPr>
      <w:r>
        <w:rPr>
          <w:noProof/>
          <w:lang w:val="en-US"/>
        </w:rPr>
        <w:drawing>
          <wp:inline distT="0" distB="0" distL="0" distR="0">
            <wp:extent cx="3838575" cy="2533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a:stretch>
                      <a:fillRect/>
                    </a:stretch>
                  </pic:blipFill>
                  <pic:spPr bwMode="auto">
                    <a:xfrm>
                      <a:off x="0" y="0"/>
                      <a:ext cx="3838575" cy="2533650"/>
                    </a:xfrm>
                    <a:prstGeom prst="rect">
                      <a:avLst/>
                    </a:prstGeom>
                    <a:noFill/>
                    <a:ln w="9525">
                      <a:noFill/>
                      <a:miter lim="800000"/>
                      <a:headEnd/>
                      <a:tailEnd/>
                    </a:ln>
                  </pic:spPr>
                </pic:pic>
              </a:graphicData>
            </a:graphic>
          </wp:inline>
        </w:drawing>
      </w:r>
    </w:p>
    <w:p w:rsidR="00E46063" w:rsidRDefault="00E46063" w:rsidP="00E46063">
      <w:pPr>
        <w:jc w:val="both"/>
        <w:rPr>
          <w:rFonts w:cs="Arial"/>
          <w:sz w:val="20"/>
        </w:rPr>
      </w:pPr>
    </w:p>
    <w:p w:rsidR="00E46063" w:rsidRDefault="00E46063" w:rsidP="00E46063">
      <w:pPr>
        <w:jc w:val="both"/>
        <w:rPr>
          <w:rFonts w:cs="Arial"/>
          <w:sz w:val="20"/>
        </w:rPr>
      </w:pPr>
      <w:r w:rsidRPr="00AD63F8">
        <w:rPr>
          <w:rFonts w:cs="Arial"/>
          <w:sz w:val="20"/>
        </w:rPr>
        <w:t xml:space="preserve">The volatility </w:t>
      </w:r>
      <w:r>
        <w:rPr>
          <w:rFonts w:cs="Arial"/>
          <w:sz w:val="20"/>
        </w:rPr>
        <w:t xml:space="preserve">from HES 2009 to 2011 </w:t>
      </w:r>
      <w:r w:rsidRPr="00AD63F8">
        <w:rPr>
          <w:rFonts w:cs="Arial"/>
          <w:sz w:val="20"/>
        </w:rPr>
        <w:t xml:space="preserve">reflects the differing size and timing of the impact of the GFC and associated economic downturn on the various components of market income and </w:t>
      </w:r>
      <w:r>
        <w:rPr>
          <w:rFonts w:cs="Arial"/>
          <w:sz w:val="20"/>
        </w:rPr>
        <w:t xml:space="preserve">on </w:t>
      </w:r>
      <w:r w:rsidRPr="00AD63F8">
        <w:rPr>
          <w:rFonts w:cs="Arial"/>
          <w:sz w:val="20"/>
        </w:rPr>
        <w:t>different parts of the income distribution.</w:t>
      </w:r>
      <w:r>
        <w:rPr>
          <w:rFonts w:cs="Arial"/>
          <w:sz w:val="20"/>
        </w:rPr>
        <w:t xml:space="preserve">  </w:t>
      </w:r>
    </w:p>
    <w:p w:rsidR="00E46063" w:rsidRPr="00AD63F8" w:rsidRDefault="00E46063" w:rsidP="00614C04">
      <w:pPr>
        <w:numPr>
          <w:ilvl w:val="0"/>
          <w:numId w:val="101"/>
        </w:numPr>
        <w:tabs>
          <w:tab w:val="clear" w:pos="360"/>
          <w:tab w:val="num" w:pos="709"/>
        </w:tabs>
        <w:spacing w:before="120"/>
        <w:ind w:left="709" w:hanging="284"/>
        <w:jc w:val="both"/>
        <w:rPr>
          <w:rFonts w:cs="Arial"/>
          <w:sz w:val="20"/>
        </w:rPr>
      </w:pPr>
      <w:r>
        <w:rPr>
          <w:rFonts w:cs="Arial"/>
          <w:sz w:val="20"/>
        </w:rPr>
        <w:t xml:space="preserve">The </w:t>
      </w:r>
      <w:r w:rsidRPr="00AD63F8">
        <w:rPr>
          <w:rFonts w:cs="Arial"/>
          <w:sz w:val="20"/>
        </w:rPr>
        <w:t>lower figures in 2010 compared with 2007 reflect two changes: a small real gain for lower deciles, and a decline in real incomes for the top two deciles (mainly from lower self-employment income and lower investment returns).</w:t>
      </w:r>
    </w:p>
    <w:p w:rsidR="00E46063" w:rsidRPr="00962B7C" w:rsidRDefault="00E46063" w:rsidP="00614C04">
      <w:pPr>
        <w:numPr>
          <w:ilvl w:val="0"/>
          <w:numId w:val="101"/>
        </w:numPr>
        <w:tabs>
          <w:tab w:val="clear" w:pos="360"/>
          <w:tab w:val="num" w:pos="709"/>
        </w:tabs>
        <w:spacing w:before="120"/>
        <w:ind w:left="709" w:hanging="284"/>
        <w:jc w:val="both"/>
        <w:rPr>
          <w:sz w:val="20"/>
        </w:rPr>
      </w:pPr>
      <w:r w:rsidRPr="00AD63F8">
        <w:rPr>
          <w:rFonts w:cs="Arial"/>
          <w:sz w:val="20"/>
        </w:rPr>
        <w:t>From the</w:t>
      </w:r>
      <w:r>
        <w:rPr>
          <w:rFonts w:cs="Arial"/>
          <w:sz w:val="20"/>
        </w:rPr>
        <w:t xml:space="preserve"> 2010 to 2011 HES both the 80:20 ratio and the Gini rose significantly.  This reflects the rise in incomes in the top third and the fall in incomes in the bottom two thirds of the income distribution described above in, for example, Figure D.8. The rise for higher incomes reflects higher self-employment incomes, some gains in returns on investment, and a modest (%) gain in income from wages and salaries.  The fall in income for the lower two thirds is mainly from lower employment income.  </w:t>
      </w:r>
    </w:p>
    <w:p w:rsidR="00E46063" w:rsidRDefault="00E46063" w:rsidP="00E46063">
      <w:pPr>
        <w:jc w:val="both"/>
        <w:rPr>
          <w:rFonts w:cs="Arial"/>
          <w:sz w:val="20"/>
        </w:rPr>
      </w:pPr>
    </w:p>
    <w:p w:rsidR="00E46063" w:rsidRPr="00E516AE" w:rsidRDefault="00E46063" w:rsidP="00E46063">
      <w:pPr>
        <w:jc w:val="both"/>
        <w:rPr>
          <w:rFonts w:cs="Arial"/>
          <w:sz w:val="20"/>
        </w:rPr>
      </w:pPr>
      <w:r>
        <w:rPr>
          <w:rFonts w:cs="Arial"/>
          <w:sz w:val="20"/>
        </w:rPr>
        <w:t xml:space="preserve">It will take another survey or two to be able to see where the inequality trend will settle after the shocks from the GFC, the </w:t>
      </w:r>
      <w:smartTag w:uri="urn:schemas-microsoft-com:office:smarttags" w:element="place">
        <w:smartTag w:uri="urn:schemas-microsoft-com:office:smarttags" w:element="City">
          <w:r>
            <w:rPr>
              <w:rFonts w:cs="Arial"/>
              <w:sz w:val="20"/>
            </w:rPr>
            <w:t>Christchurch</w:t>
          </w:r>
        </w:smartTag>
      </w:smartTag>
      <w:r>
        <w:rPr>
          <w:rFonts w:cs="Arial"/>
          <w:sz w:val="20"/>
        </w:rPr>
        <w:t xml:space="preserve"> earthquakes, and the economic downturn and recovery. </w:t>
      </w:r>
      <w:r>
        <w:rPr>
          <w:sz w:val="20"/>
        </w:rPr>
        <w:t xml:space="preserve"> </w:t>
      </w:r>
      <w:r>
        <w:rPr>
          <w:sz w:val="20"/>
        </w:rPr>
        <w:lastRenderedPageBreak/>
        <w:t xml:space="preserve">The average of the 2009, 2010 and 2011 figures is in the range that prevailed from 2004 to 2007, but the impact of the shock cannot be predicted from that.  </w:t>
      </w:r>
      <w:r>
        <w:rPr>
          <w:rFonts w:cs="Arial"/>
          <w:sz w:val="20"/>
        </w:rPr>
        <w:t xml:space="preserve">Figure D.17 shows that the Gini can sometimes fluctuate from year to year and the trend becomes clear only on looking back.  </w:t>
      </w:r>
    </w:p>
    <w:p w:rsidR="00E46063" w:rsidRDefault="00E46063" w:rsidP="00E46063">
      <w:pPr>
        <w:jc w:val="both"/>
        <w:rPr>
          <w:sz w:val="20"/>
        </w:rPr>
      </w:pPr>
    </w:p>
    <w:p w:rsidR="00E46063" w:rsidRDefault="00E46063" w:rsidP="00E46063">
      <w:pPr>
        <w:jc w:val="both"/>
        <w:rPr>
          <w:b/>
          <w:sz w:val="20"/>
        </w:rPr>
      </w:pPr>
    </w:p>
    <w:p w:rsidR="00E46063" w:rsidRDefault="00E46063" w:rsidP="00E46063">
      <w:pPr>
        <w:jc w:val="both"/>
        <w:rPr>
          <w:sz w:val="20"/>
        </w:rPr>
      </w:pPr>
      <w:r w:rsidRPr="00B875E5">
        <w:rPr>
          <w:b/>
          <w:sz w:val="20"/>
        </w:rPr>
        <w:t>Table D.9</w:t>
      </w:r>
      <w:r>
        <w:rPr>
          <w:sz w:val="20"/>
        </w:rPr>
        <w:t xml:space="preserve"> shows that inequality is greater for </w:t>
      </w:r>
      <w:smartTag w:uri="urn:schemas-microsoft-com:office:smarttags" w:element="stockticker">
        <w:r>
          <w:rPr>
            <w:sz w:val="20"/>
          </w:rPr>
          <w:t>AHC</w:t>
        </w:r>
      </w:smartTag>
      <w:r>
        <w:rPr>
          <w:sz w:val="20"/>
        </w:rPr>
        <w:t xml:space="preserve"> incomes tha</w:t>
      </w:r>
      <w:r w:rsidRPr="006E41BF">
        <w:rPr>
          <w:sz w:val="20"/>
        </w:rPr>
        <w:t xml:space="preserve">n for </w:t>
      </w:r>
      <w:smartTag w:uri="urn:schemas-microsoft-com:office:smarttags" w:element="stockticker">
        <w:r w:rsidRPr="006E41BF">
          <w:rPr>
            <w:sz w:val="20"/>
          </w:rPr>
          <w:t>BHC</w:t>
        </w:r>
      </w:smartTag>
      <w:r w:rsidRPr="006E41BF">
        <w:rPr>
          <w:sz w:val="20"/>
        </w:rPr>
        <w:t xml:space="preserve">, as is the case when using percentile ratios.  </w:t>
      </w:r>
      <w:r>
        <w:rPr>
          <w:sz w:val="20"/>
        </w:rPr>
        <w:t>This reflects the fact that housing costs generally make up a greater proportion of household income for lower-income households than for higher-income households, thus increasing the spread of (</w:t>
      </w:r>
      <w:smartTag w:uri="urn:schemas-microsoft-com:office:smarttags" w:element="stockticker">
        <w:r>
          <w:rPr>
            <w:sz w:val="20"/>
          </w:rPr>
          <w:t>AHC</w:t>
        </w:r>
      </w:smartTag>
      <w:r>
        <w:rPr>
          <w:sz w:val="20"/>
        </w:rPr>
        <w:t>) incomes.</w:t>
      </w:r>
    </w:p>
    <w:p w:rsidR="00E46063" w:rsidRDefault="00E46063" w:rsidP="00E46063">
      <w:pPr>
        <w:jc w:val="center"/>
        <w:rPr>
          <w:rFonts w:cs="Arial"/>
          <w:b/>
          <w:sz w:val="20"/>
        </w:rPr>
      </w:pPr>
      <w:bookmarkStart w:id="89" w:name="_Toc115142512"/>
    </w:p>
    <w:p w:rsidR="00E46063" w:rsidRPr="006E41BF" w:rsidRDefault="00E46063" w:rsidP="00E46063">
      <w:pPr>
        <w:jc w:val="center"/>
        <w:rPr>
          <w:rFonts w:cs="Arial"/>
          <w:b/>
          <w:sz w:val="18"/>
        </w:rPr>
      </w:pPr>
      <w:r w:rsidRPr="006E41BF">
        <w:rPr>
          <w:rFonts w:cs="Arial"/>
          <w:b/>
          <w:sz w:val="18"/>
        </w:rPr>
        <w:t>Table D.9</w:t>
      </w:r>
    </w:p>
    <w:p w:rsidR="00E46063" w:rsidRPr="006E41BF" w:rsidRDefault="00E46063" w:rsidP="00E46063">
      <w:pPr>
        <w:spacing w:after="120"/>
        <w:jc w:val="center"/>
        <w:rPr>
          <w:rFonts w:cs="Arial"/>
          <w:b/>
          <w:sz w:val="18"/>
        </w:rPr>
      </w:pPr>
      <w:r w:rsidRPr="006E41BF">
        <w:rPr>
          <w:rFonts w:cs="Arial"/>
          <w:b/>
          <w:sz w:val="18"/>
        </w:rPr>
        <w:t xml:space="preserve">Income inequality in </w:t>
      </w:r>
      <w:smartTag w:uri="urn:schemas-microsoft-com:office:smarttags" w:element="place">
        <w:smartTag w:uri="urn:schemas-microsoft-com:office:smarttags" w:element="country-region">
          <w:r w:rsidRPr="006E41BF">
            <w:rPr>
              <w:rFonts w:cs="Arial"/>
              <w:b/>
              <w:sz w:val="18"/>
            </w:rPr>
            <w:t>New Zealand</w:t>
          </w:r>
        </w:smartTag>
      </w:smartTag>
      <w:r w:rsidRPr="006E41BF">
        <w:rPr>
          <w:rFonts w:cs="Arial"/>
          <w:b/>
          <w:sz w:val="18"/>
        </w:rPr>
        <w:t>: the Gini coefficient (x100)</w:t>
      </w:r>
      <w:r>
        <w:rPr>
          <w:rStyle w:val="FootnoteReference"/>
          <w:rFonts w:cs="Arial"/>
          <w:b/>
          <w:sz w:val="18"/>
        </w:rPr>
        <w:footnoteReference w:id="52"/>
      </w:r>
      <w:r>
        <w:rPr>
          <w:rFonts w:cs="Arial"/>
          <w:b/>
          <w:sz w:val="18"/>
        </w:rPr>
        <w:t xml:space="preserve"> </w:t>
      </w:r>
      <w:r>
        <w:rPr>
          <w:rStyle w:val="FootnoteReference"/>
          <w:rFonts w:cs="Arial"/>
          <w:b/>
          <w:sz w:val="18"/>
        </w:rPr>
        <w:footnoteReference w:id="53"/>
      </w:r>
    </w:p>
    <w:tbl>
      <w:tblPr>
        <w:tblStyle w:val="TableGrid"/>
        <w:tblW w:w="0" w:type="auto"/>
        <w:jc w:val="center"/>
        <w:tblLook w:val="01E0"/>
      </w:tblPr>
      <w:tblGrid>
        <w:gridCol w:w="521"/>
        <w:gridCol w:w="536"/>
        <w:gridCol w:w="537"/>
        <w:gridCol w:w="536"/>
        <w:gridCol w:w="537"/>
        <w:gridCol w:w="536"/>
        <w:gridCol w:w="537"/>
        <w:gridCol w:w="536"/>
        <w:gridCol w:w="537"/>
        <w:gridCol w:w="536"/>
        <w:gridCol w:w="537"/>
        <w:gridCol w:w="536"/>
        <w:gridCol w:w="537"/>
        <w:gridCol w:w="536"/>
        <w:gridCol w:w="537"/>
        <w:gridCol w:w="537"/>
      </w:tblGrid>
      <w:tr w:rsidR="00E46063">
        <w:trPr>
          <w:trHeight w:hRule="exact" w:val="262"/>
          <w:jc w:val="center"/>
        </w:trPr>
        <w:tc>
          <w:tcPr>
            <w:tcW w:w="521" w:type="dxa"/>
            <w:vAlign w:val="center"/>
          </w:tcPr>
          <w:p w:rsidR="00E46063" w:rsidRPr="00B44842" w:rsidRDefault="00E46063" w:rsidP="00614C04">
            <w:pPr>
              <w:spacing w:before="60" w:after="60"/>
              <w:jc w:val="center"/>
              <w:rPr>
                <w:rFonts w:cs="Arial"/>
                <w:b/>
                <w:sz w:val="14"/>
                <w:szCs w:val="16"/>
              </w:rPr>
            </w:pP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Pr>
                <w:rFonts w:cs="Arial"/>
                <w:b/>
                <w:sz w:val="14"/>
                <w:szCs w:val="16"/>
              </w:rPr>
              <w:t>1982</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1984</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1986</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1988</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1990</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1992</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1994</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1996</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1998</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2001</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2004</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2007</w:t>
            </w:r>
          </w:p>
        </w:tc>
        <w:tc>
          <w:tcPr>
            <w:tcW w:w="536" w:type="dxa"/>
            <w:tcMar>
              <w:left w:w="29" w:type="dxa"/>
              <w:right w:w="29" w:type="dxa"/>
            </w:tcMar>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2009</w:t>
            </w:r>
          </w:p>
        </w:tc>
        <w:tc>
          <w:tcPr>
            <w:tcW w:w="537" w:type="dxa"/>
            <w:tcMar>
              <w:left w:w="29" w:type="dxa"/>
              <w:right w:w="29" w:type="dxa"/>
            </w:tcMar>
            <w:vAlign w:val="center"/>
          </w:tcPr>
          <w:p w:rsidR="00E46063" w:rsidRPr="00B44842" w:rsidRDefault="00E46063" w:rsidP="00614C04">
            <w:pPr>
              <w:spacing w:before="60" w:after="60"/>
              <w:jc w:val="center"/>
              <w:rPr>
                <w:rFonts w:cs="Arial"/>
                <w:b/>
                <w:sz w:val="14"/>
                <w:szCs w:val="16"/>
              </w:rPr>
            </w:pPr>
            <w:r>
              <w:rPr>
                <w:rFonts w:cs="Arial"/>
                <w:b/>
                <w:sz w:val="14"/>
                <w:szCs w:val="16"/>
              </w:rPr>
              <w:t>2010</w:t>
            </w:r>
          </w:p>
        </w:tc>
        <w:tc>
          <w:tcPr>
            <w:tcW w:w="537" w:type="dxa"/>
            <w:vAlign w:val="center"/>
          </w:tcPr>
          <w:p w:rsidR="00E46063" w:rsidRDefault="00E46063" w:rsidP="00614C04">
            <w:pPr>
              <w:spacing w:before="60" w:after="60"/>
              <w:jc w:val="center"/>
              <w:rPr>
                <w:rFonts w:cs="Arial"/>
                <w:b/>
                <w:sz w:val="14"/>
                <w:szCs w:val="16"/>
              </w:rPr>
            </w:pPr>
            <w:r>
              <w:rPr>
                <w:rFonts w:cs="Arial"/>
                <w:b/>
                <w:sz w:val="14"/>
                <w:szCs w:val="16"/>
              </w:rPr>
              <w:t>2011</w:t>
            </w:r>
          </w:p>
        </w:tc>
      </w:tr>
      <w:tr w:rsidR="00E46063">
        <w:trPr>
          <w:trHeight w:hRule="exact" w:val="280"/>
          <w:jc w:val="center"/>
        </w:trPr>
        <w:tc>
          <w:tcPr>
            <w:tcW w:w="521" w:type="dxa"/>
            <w:vAlign w:val="center"/>
          </w:tcPr>
          <w:p w:rsidR="00E46063" w:rsidRPr="00B44842" w:rsidRDefault="00E46063" w:rsidP="00614C04">
            <w:pPr>
              <w:spacing w:before="60" w:after="60"/>
              <w:jc w:val="center"/>
              <w:rPr>
                <w:rFonts w:cs="Arial"/>
                <w:b/>
                <w:sz w:val="14"/>
                <w:szCs w:val="16"/>
              </w:rPr>
            </w:pPr>
            <w:r w:rsidRPr="00B44842">
              <w:rPr>
                <w:rFonts w:cs="Arial"/>
                <w:b/>
                <w:sz w:val="14"/>
                <w:szCs w:val="16"/>
              </w:rPr>
              <w:t>BHC</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Pr>
                <w:rFonts w:cs="Arial"/>
                <w:sz w:val="14"/>
                <w:szCs w:val="16"/>
              </w:rPr>
              <w:t>26.0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26.0</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25.4</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25.1</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29.0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30.1</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31.0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32.0</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32.6</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32.3</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31.7</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32.3</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Pr>
                <w:rFonts w:cs="Arial"/>
                <w:sz w:val="14"/>
                <w:szCs w:val="16"/>
              </w:rPr>
              <w:t>30.9</w:t>
            </w:r>
          </w:p>
        </w:tc>
        <w:tc>
          <w:tcPr>
            <w:tcW w:w="537" w:type="dxa"/>
            <w:vAlign w:val="center"/>
          </w:tcPr>
          <w:p w:rsidR="00E46063" w:rsidRDefault="00E46063" w:rsidP="00614C04">
            <w:pPr>
              <w:spacing w:before="60" w:after="60"/>
              <w:jc w:val="center"/>
              <w:rPr>
                <w:rFonts w:cs="Arial"/>
                <w:sz w:val="14"/>
                <w:szCs w:val="16"/>
              </w:rPr>
            </w:pPr>
            <w:r>
              <w:rPr>
                <w:rFonts w:cs="Arial"/>
                <w:sz w:val="14"/>
                <w:szCs w:val="16"/>
              </w:rPr>
              <w:t>33.3</w:t>
            </w:r>
          </w:p>
        </w:tc>
      </w:tr>
      <w:tr w:rsidR="00E46063">
        <w:trPr>
          <w:trHeight w:hRule="exact" w:val="262"/>
          <w:jc w:val="center"/>
        </w:trPr>
        <w:tc>
          <w:tcPr>
            <w:tcW w:w="521" w:type="dxa"/>
            <w:vAlign w:val="center"/>
          </w:tcPr>
          <w:p w:rsidR="00E46063" w:rsidRPr="00B44842" w:rsidRDefault="00E46063" w:rsidP="00614C04">
            <w:pPr>
              <w:spacing w:before="60" w:after="60"/>
              <w:jc w:val="center"/>
              <w:rPr>
                <w:rFonts w:cs="Arial"/>
                <w:b/>
                <w:sz w:val="14"/>
                <w:szCs w:val="16"/>
              </w:rPr>
            </w:pPr>
            <w:smartTag w:uri="urn:schemas-microsoft-com:office:smarttags" w:element="stockticker">
              <w:r w:rsidRPr="00B44842">
                <w:rPr>
                  <w:rFonts w:cs="Arial"/>
                  <w:b/>
                  <w:sz w:val="14"/>
                  <w:szCs w:val="16"/>
                </w:rPr>
                <w:t>AHC</w:t>
              </w:r>
            </w:smartTag>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Pr>
                <w:rFonts w:cs="Arial"/>
                <w:sz w:val="14"/>
                <w:szCs w:val="16"/>
              </w:rPr>
              <w:t>28.0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28.5</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27.4</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28.5</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32.1</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34.9</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35.6</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37.2</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37.5</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38.1</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37.0</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36.8</w:t>
            </w:r>
          </w:p>
        </w:tc>
        <w:tc>
          <w:tcPr>
            <w:tcW w:w="536" w:type="dxa"/>
            <w:tcMar>
              <w:left w:w="29" w:type="dxa"/>
              <w:right w:w="29" w:type="dxa"/>
            </w:tcMar>
            <w:vAlign w:val="center"/>
          </w:tcPr>
          <w:p w:rsidR="00E46063" w:rsidRPr="00B44842" w:rsidRDefault="00E46063" w:rsidP="00614C04">
            <w:pPr>
              <w:spacing w:before="60" w:after="60"/>
              <w:jc w:val="center"/>
              <w:rPr>
                <w:rFonts w:cs="Arial"/>
                <w:sz w:val="14"/>
                <w:szCs w:val="16"/>
              </w:rPr>
            </w:pPr>
            <w:r w:rsidRPr="00B44842">
              <w:rPr>
                <w:rFonts w:cs="Arial"/>
                <w:sz w:val="14"/>
                <w:szCs w:val="16"/>
              </w:rPr>
              <w:t>37.5</w:t>
            </w:r>
          </w:p>
        </w:tc>
        <w:tc>
          <w:tcPr>
            <w:tcW w:w="537" w:type="dxa"/>
            <w:tcMar>
              <w:left w:w="29" w:type="dxa"/>
              <w:right w:w="29" w:type="dxa"/>
            </w:tcMar>
            <w:vAlign w:val="center"/>
          </w:tcPr>
          <w:p w:rsidR="00E46063" w:rsidRPr="00B44842" w:rsidRDefault="00E46063" w:rsidP="00614C04">
            <w:pPr>
              <w:spacing w:before="60" w:after="60"/>
              <w:jc w:val="center"/>
              <w:rPr>
                <w:rFonts w:cs="Arial"/>
                <w:sz w:val="14"/>
                <w:szCs w:val="16"/>
              </w:rPr>
            </w:pPr>
            <w:r>
              <w:rPr>
                <w:rFonts w:cs="Arial"/>
                <w:sz w:val="14"/>
                <w:szCs w:val="16"/>
              </w:rPr>
              <w:t>36.1</w:t>
            </w:r>
          </w:p>
        </w:tc>
        <w:tc>
          <w:tcPr>
            <w:tcW w:w="537" w:type="dxa"/>
            <w:vAlign w:val="center"/>
          </w:tcPr>
          <w:p w:rsidR="00E46063" w:rsidRDefault="00E46063" w:rsidP="00614C04">
            <w:pPr>
              <w:spacing w:before="60" w:after="60"/>
              <w:jc w:val="center"/>
              <w:rPr>
                <w:rFonts w:cs="Arial"/>
                <w:sz w:val="14"/>
                <w:szCs w:val="16"/>
              </w:rPr>
            </w:pPr>
            <w:r>
              <w:rPr>
                <w:rFonts w:cs="Arial"/>
                <w:sz w:val="14"/>
                <w:szCs w:val="16"/>
              </w:rPr>
              <w:t>38.8</w:t>
            </w:r>
          </w:p>
        </w:tc>
      </w:tr>
      <w:bookmarkEnd w:id="85"/>
      <w:bookmarkEnd w:id="86"/>
      <w:bookmarkEnd w:id="87"/>
      <w:bookmarkEnd w:id="89"/>
    </w:tbl>
    <w:p w:rsidR="00E46063" w:rsidRDefault="00E46063" w:rsidP="00E46063">
      <w:pPr>
        <w:jc w:val="both"/>
      </w:pPr>
    </w:p>
    <w:p w:rsidR="00E46063" w:rsidRDefault="00E46063" w:rsidP="00E46063">
      <w:pPr>
        <w:jc w:val="both"/>
      </w:pPr>
      <w:r>
        <w:br w:type="page"/>
      </w:r>
    </w:p>
    <w:p w:rsidR="00E46063" w:rsidRDefault="00E46063" w:rsidP="00E46063">
      <w:pPr>
        <w:jc w:val="both"/>
      </w:pPr>
      <w:r>
        <w:rPr>
          <w:noProof/>
          <w:lang w:val="en-US"/>
        </w:rPr>
        <w:pict>
          <v:shape id="_x0000_s1214" type="#_x0000_t202" style="position:absolute;left:0;text-align:left;margin-left:13.95pt;margin-top:-5.85pt;width:412.5pt;height:580.5pt;z-index:251662848">
            <v:textbox style="mso-next-textbox:#_x0000_s1214">
              <w:txbxContent>
                <w:p w:rsidR="00DE4A2A" w:rsidRDefault="00DE4A2A" w:rsidP="00E46063">
                  <w:pPr>
                    <w:spacing w:before="120"/>
                    <w:jc w:val="center"/>
                    <w:rPr>
                      <w:b/>
                      <w:sz w:val="20"/>
                    </w:rPr>
                  </w:pPr>
                  <w:smartTag w:uri="urn:schemas-microsoft-com:office:smarttags" w:element="address">
                    <w:smartTag w:uri="urn:schemas-microsoft-com:office:smarttags" w:element="Street">
                      <w:r>
                        <w:rPr>
                          <w:b/>
                          <w:sz w:val="20"/>
                        </w:rPr>
                        <w:t>Box</w:t>
                      </w:r>
                    </w:smartTag>
                    <w:r>
                      <w:rPr>
                        <w:b/>
                        <w:sz w:val="20"/>
                      </w:rPr>
                      <w:t xml:space="preserve"> 1</w:t>
                    </w:r>
                  </w:smartTag>
                </w:p>
                <w:p w:rsidR="00DE4A2A" w:rsidRPr="000D6780" w:rsidRDefault="00DE4A2A" w:rsidP="00E46063">
                  <w:pPr>
                    <w:jc w:val="center"/>
                    <w:rPr>
                      <w:b/>
                      <w:sz w:val="20"/>
                    </w:rPr>
                  </w:pPr>
                  <w:r w:rsidRPr="000D6780">
                    <w:rPr>
                      <w:b/>
                      <w:sz w:val="20"/>
                    </w:rPr>
                    <w:t>How the income inequality picture changes depending on the income concept used</w:t>
                  </w:r>
                </w:p>
                <w:p w:rsidR="00DE4A2A" w:rsidRPr="000D6780" w:rsidRDefault="00DE4A2A" w:rsidP="00E46063">
                  <w:pPr>
                    <w:jc w:val="center"/>
                    <w:rPr>
                      <w:b/>
                      <w:sz w:val="20"/>
                    </w:rPr>
                  </w:pPr>
                </w:p>
                <w:p w:rsidR="00DE4A2A" w:rsidRPr="002C077B" w:rsidRDefault="00DE4A2A" w:rsidP="00E46063">
                  <w:pPr>
                    <w:jc w:val="both"/>
                    <w:rPr>
                      <w:sz w:val="20"/>
                    </w:rPr>
                  </w:pPr>
                  <w:r w:rsidRPr="002C077B">
                    <w:rPr>
                      <w:sz w:val="20"/>
                    </w:rPr>
                    <w:t>The level of inequality or dispersion in the distribution of incomes depends on which income concept is used.</w:t>
                  </w:r>
                </w:p>
                <w:p w:rsidR="00DE4A2A" w:rsidRPr="002C077B" w:rsidRDefault="00DE4A2A" w:rsidP="00E46063">
                  <w:pPr>
                    <w:jc w:val="both"/>
                    <w:rPr>
                      <w:sz w:val="20"/>
                    </w:rPr>
                  </w:pPr>
                </w:p>
                <w:p w:rsidR="00DE4A2A" w:rsidRPr="002C077B" w:rsidRDefault="00DE4A2A" w:rsidP="00E46063">
                  <w:pPr>
                    <w:jc w:val="both"/>
                    <w:rPr>
                      <w:sz w:val="20"/>
                    </w:rPr>
                  </w:pPr>
                  <w:r w:rsidRPr="002C077B">
                    <w:rPr>
                      <w:sz w:val="20"/>
                    </w:rPr>
                    <w:t>This report uses equivalised disposable household income as the income concept for all its income distribution, inequality and poverty analysis.  This is the total after-tax income of all individuals in the household, together with Working for Families Tax Credits and other non-taxable income such as the Accommodation Supplement (AS) and so on, adjusted for household size and composition.   This is standard international practice for reports of this type, where the focus is on household income as an indicator of the material wellbeing of household members relative to others from other households.</w:t>
                  </w:r>
                </w:p>
                <w:p w:rsidR="00DE4A2A" w:rsidRPr="002C077B" w:rsidRDefault="00DE4A2A" w:rsidP="00E46063">
                  <w:pPr>
                    <w:jc w:val="both"/>
                    <w:rPr>
                      <w:sz w:val="20"/>
                    </w:rPr>
                  </w:pPr>
                </w:p>
                <w:p w:rsidR="00DE4A2A" w:rsidRPr="002C077B" w:rsidRDefault="00DE4A2A" w:rsidP="00E46063">
                  <w:pPr>
                    <w:jc w:val="both"/>
                    <w:rPr>
                      <w:sz w:val="20"/>
                    </w:rPr>
                  </w:pPr>
                  <w:r w:rsidRPr="002C077B">
                    <w:rPr>
                      <w:sz w:val="20"/>
                    </w:rPr>
                    <w:t>The graph below shows the different levels of inequality that different income concepts produce, using the 80:20 percentile ratio as the measure.</w:t>
                  </w:r>
                </w:p>
                <w:p w:rsidR="00DE4A2A" w:rsidRPr="002C077B" w:rsidRDefault="00DE4A2A" w:rsidP="00E46063">
                  <w:pPr>
                    <w:jc w:val="both"/>
                    <w:rPr>
                      <w:sz w:val="20"/>
                    </w:rPr>
                  </w:pPr>
                </w:p>
                <w:p w:rsidR="00DE4A2A" w:rsidRPr="002C077B" w:rsidRDefault="00DE4A2A" w:rsidP="00E46063">
                  <w:pPr>
                    <w:jc w:val="both"/>
                    <w:rPr>
                      <w:sz w:val="20"/>
                    </w:rPr>
                  </w:pPr>
                  <w:r w:rsidRPr="002C077B">
                    <w:rPr>
                      <w:sz w:val="20"/>
                    </w:rPr>
                    <w:t>Inequality decreases considerably when the focus moves from individuals to households (HHs).  The 80:20 ratio falls from 5.5 for individual taxable income to 3.5 for HH gross taxable income.  HH gross taxable income excludes all non-taxable components such as WFF tax credits, AS, and so on.  When these are included, inequality drops further (HH gross).  Taking personal income tax deductions into account further reduces the 80:20 ratio, as does the adjustment for household size and composition.  The 80:20 ratio is more than halved in going from individual taxable income to equivalised disposable HH income.  The latter is the best of these income concepts to use when using income to assess the material wellbeing of the population, and of subgroups within it.</w:t>
                  </w:r>
                </w:p>
                <w:p w:rsidR="00DE4A2A" w:rsidRDefault="00DE4A2A" w:rsidP="00E46063">
                  <w:pPr>
                    <w:jc w:val="center"/>
                    <w:rPr>
                      <w:b/>
                      <w:sz w:val="16"/>
                      <w:szCs w:val="16"/>
                    </w:rPr>
                  </w:pPr>
                </w:p>
                <w:p w:rsidR="00DE4A2A" w:rsidRPr="000D6780" w:rsidRDefault="00DE4A2A" w:rsidP="00E46063">
                  <w:pPr>
                    <w:jc w:val="center"/>
                    <w:rPr>
                      <w:b/>
                      <w:sz w:val="18"/>
                      <w:szCs w:val="18"/>
                    </w:rPr>
                  </w:pPr>
                  <w:r w:rsidRPr="000D6780">
                    <w:rPr>
                      <w:b/>
                      <w:sz w:val="18"/>
                      <w:szCs w:val="18"/>
                    </w:rPr>
                    <w:t>80:20 percentile ratio for different income concepts</w:t>
                  </w:r>
                </w:p>
                <w:p w:rsidR="00DE4A2A" w:rsidRPr="000D6780" w:rsidRDefault="00DE4A2A" w:rsidP="00E46063">
                  <w:pPr>
                    <w:jc w:val="center"/>
                    <w:rPr>
                      <w:sz w:val="18"/>
                      <w:szCs w:val="18"/>
                    </w:rPr>
                  </w:pPr>
                  <w:r w:rsidRPr="000D6780">
                    <w:rPr>
                      <w:b/>
                      <w:sz w:val="18"/>
                      <w:szCs w:val="18"/>
                    </w:rPr>
                    <w:t xml:space="preserve">(HLFS 2009 for individuals, HES 2009 for </w:t>
                  </w:r>
                  <w:r>
                    <w:rPr>
                      <w:b/>
                      <w:sz w:val="18"/>
                      <w:szCs w:val="18"/>
                    </w:rPr>
                    <w:t>household</w:t>
                  </w:r>
                  <w:r w:rsidRPr="000D6780">
                    <w:rPr>
                      <w:b/>
                      <w:sz w:val="18"/>
                      <w:szCs w:val="18"/>
                    </w:rPr>
                    <w:t>s)</w:t>
                  </w:r>
                </w:p>
                <w:p w:rsidR="00DE4A2A" w:rsidRPr="00143D17" w:rsidRDefault="00EC0BE0" w:rsidP="00E46063">
                  <w:pPr>
                    <w:jc w:val="center"/>
                    <w:rPr>
                      <w:sz w:val="18"/>
                      <w:szCs w:val="18"/>
                    </w:rPr>
                  </w:pPr>
                  <w:r>
                    <w:rPr>
                      <w:noProof/>
                      <w:lang w:val="en-US"/>
                    </w:rPr>
                    <w:drawing>
                      <wp:inline distT="0" distB="0" distL="0" distR="0">
                        <wp:extent cx="3800475" cy="22098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srcRect/>
                                <a:stretch>
                                  <a:fillRect/>
                                </a:stretch>
                              </pic:blipFill>
                              <pic:spPr bwMode="auto">
                                <a:xfrm>
                                  <a:off x="0" y="0"/>
                                  <a:ext cx="3800475" cy="2209800"/>
                                </a:xfrm>
                                <a:prstGeom prst="rect">
                                  <a:avLst/>
                                </a:prstGeom>
                                <a:noFill/>
                                <a:ln w="9525">
                                  <a:noFill/>
                                  <a:miter lim="800000"/>
                                  <a:headEnd/>
                                  <a:tailEnd/>
                                </a:ln>
                              </pic:spPr>
                            </pic:pic>
                          </a:graphicData>
                        </a:graphic>
                      </wp:inline>
                    </w:drawing>
                  </w:r>
                </w:p>
                <w:p w:rsidR="00DE4A2A" w:rsidRDefault="00DE4A2A" w:rsidP="00E46063">
                  <w:pPr>
                    <w:rPr>
                      <w:b/>
                      <w:sz w:val="20"/>
                    </w:rPr>
                  </w:pPr>
                </w:p>
                <w:p w:rsidR="00DE4A2A" w:rsidRPr="002C077B" w:rsidRDefault="00DE4A2A" w:rsidP="00E46063">
                  <w:pPr>
                    <w:jc w:val="both"/>
                    <w:rPr>
                      <w:sz w:val="20"/>
                    </w:rPr>
                  </w:pPr>
                  <w:r w:rsidRPr="002C077B">
                    <w:rPr>
                      <w:sz w:val="20"/>
                    </w:rPr>
                    <w:t xml:space="preserve">When the same group of individuals is followed over time (longitudinal data), and the income concept is the average household disposable income of the individual over, say, a decade, then measured inequality falls even further as a result of income mobility.  See </w:t>
                  </w:r>
                  <w:r w:rsidRPr="002C077B">
                    <w:rPr>
                      <w:b/>
                      <w:sz w:val="20"/>
                    </w:rPr>
                    <w:t>Section L</w:t>
                  </w:r>
                  <w:r w:rsidRPr="002C077B">
                    <w:rPr>
                      <w:sz w:val="20"/>
                    </w:rPr>
                    <w:t xml:space="preserve"> for more on this.</w:t>
                  </w:r>
                </w:p>
              </w:txbxContent>
            </v:textbox>
          </v:shape>
        </w:pict>
      </w:r>
    </w:p>
    <w:p w:rsidR="00E46063" w:rsidRDefault="00E46063" w:rsidP="00E46063">
      <w:pPr>
        <w:jc w:val="both"/>
      </w:pPr>
    </w:p>
    <w:p w:rsidR="00CC17AF" w:rsidRPr="00F318E0" w:rsidRDefault="00E46063" w:rsidP="00937741">
      <w:pPr>
        <w:pStyle w:val="Heading2"/>
        <w:jc w:val="both"/>
        <w:rPr>
          <w:sz w:val="24"/>
          <w:szCs w:val="24"/>
        </w:rPr>
      </w:pPr>
      <w:r>
        <w:br w:type="page"/>
      </w:r>
      <w:r w:rsidR="00F318E0" w:rsidRPr="00F318E0">
        <w:rPr>
          <w:sz w:val="24"/>
          <w:szCs w:val="24"/>
        </w:rPr>
        <w:lastRenderedPageBreak/>
        <w:t>Long-run trends for v</w:t>
      </w:r>
      <w:r w:rsidR="00CC17AF" w:rsidRPr="00F318E0">
        <w:rPr>
          <w:sz w:val="24"/>
          <w:szCs w:val="24"/>
        </w:rPr>
        <w:t xml:space="preserve">ery high </w:t>
      </w:r>
      <w:r w:rsidR="00F318E0" w:rsidRPr="00F318E0">
        <w:rPr>
          <w:sz w:val="24"/>
          <w:szCs w:val="24"/>
        </w:rPr>
        <w:t>i</w:t>
      </w:r>
      <w:r w:rsidR="00CC17AF" w:rsidRPr="00F318E0">
        <w:rPr>
          <w:sz w:val="24"/>
          <w:szCs w:val="24"/>
        </w:rPr>
        <w:t>ncomes</w:t>
      </w:r>
    </w:p>
    <w:p w:rsidR="00F318E0" w:rsidRDefault="00F318E0" w:rsidP="00CC17AF">
      <w:pPr>
        <w:rPr>
          <w:lang w:val="en-NZ"/>
        </w:rPr>
      </w:pPr>
    </w:p>
    <w:p w:rsidR="00F65271" w:rsidRPr="00AB3233" w:rsidRDefault="00F65271" w:rsidP="00AB3233">
      <w:pPr>
        <w:jc w:val="both"/>
        <w:rPr>
          <w:sz w:val="20"/>
          <w:lang w:val="en-NZ"/>
        </w:rPr>
      </w:pPr>
      <w:r w:rsidRPr="00AB3233">
        <w:rPr>
          <w:sz w:val="20"/>
          <w:lang w:val="en-NZ"/>
        </w:rPr>
        <w:t>Those with very high incomes (for example the top 1%) make up a small share of the population but their incomes make up a relatively large share of total income and total income tax paid.</w:t>
      </w:r>
    </w:p>
    <w:p w:rsidR="00F65271" w:rsidRPr="00AB3233" w:rsidRDefault="00F65271" w:rsidP="00AB3233">
      <w:pPr>
        <w:jc w:val="both"/>
        <w:rPr>
          <w:sz w:val="20"/>
          <w:lang w:val="en-NZ"/>
        </w:rPr>
      </w:pPr>
    </w:p>
    <w:p w:rsidR="003F7483" w:rsidRPr="00AB3233" w:rsidRDefault="00F65271" w:rsidP="00AB3233">
      <w:pPr>
        <w:jc w:val="both"/>
        <w:rPr>
          <w:sz w:val="20"/>
          <w:lang w:val="en-NZ"/>
        </w:rPr>
      </w:pPr>
      <w:r w:rsidRPr="00AB3233">
        <w:rPr>
          <w:sz w:val="20"/>
          <w:lang w:val="en-NZ"/>
        </w:rPr>
        <w:t xml:space="preserve">Long-run time series on very high incomes based in the main on income tax data have recently become available, largely due to the work of Tony Atkinson </w:t>
      </w:r>
      <w:r w:rsidR="003F7483" w:rsidRPr="00AB3233">
        <w:rPr>
          <w:sz w:val="20"/>
          <w:lang w:val="en-NZ"/>
        </w:rPr>
        <w:t>(</w:t>
      </w:r>
      <w:r w:rsidRPr="00AB3233">
        <w:rPr>
          <w:sz w:val="20"/>
          <w:lang w:val="en-NZ"/>
        </w:rPr>
        <w:t>UK</w:t>
      </w:r>
      <w:r w:rsidR="003F7483" w:rsidRPr="00AB3233">
        <w:rPr>
          <w:sz w:val="20"/>
          <w:lang w:val="en-NZ"/>
        </w:rPr>
        <w:t>),</w:t>
      </w:r>
      <w:r w:rsidRPr="00AB3233">
        <w:rPr>
          <w:sz w:val="20"/>
          <w:lang w:val="en-NZ"/>
        </w:rPr>
        <w:t xml:space="preserve"> Thomas Pikketty</w:t>
      </w:r>
      <w:r w:rsidR="003F7483" w:rsidRPr="00AB3233">
        <w:rPr>
          <w:sz w:val="20"/>
          <w:lang w:val="en-NZ"/>
        </w:rPr>
        <w:t xml:space="preserve"> (</w:t>
      </w:r>
      <w:smartTag w:uri="urn:schemas-microsoft-com:office:smarttags" w:element="place">
        <w:smartTag w:uri="urn:schemas-microsoft-com:office:smarttags" w:element="country-region">
          <w:r w:rsidR="003F7483" w:rsidRPr="00AB3233">
            <w:rPr>
              <w:sz w:val="20"/>
              <w:lang w:val="en-NZ"/>
            </w:rPr>
            <w:t>France</w:t>
          </w:r>
        </w:smartTag>
      </w:smartTag>
      <w:r w:rsidR="003F7483" w:rsidRPr="00AB3233">
        <w:rPr>
          <w:sz w:val="20"/>
          <w:lang w:val="en-NZ"/>
        </w:rPr>
        <w:t>)</w:t>
      </w:r>
      <w:r w:rsidRPr="00AB3233">
        <w:rPr>
          <w:sz w:val="20"/>
          <w:lang w:val="en-NZ"/>
        </w:rPr>
        <w:t xml:space="preserve"> and Emmanuel Saez</w:t>
      </w:r>
      <w:r w:rsidR="003F7483" w:rsidRPr="00AB3233">
        <w:rPr>
          <w:sz w:val="20"/>
          <w:lang w:val="en-NZ"/>
        </w:rPr>
        <w:t xml:space="preserve"> (US)</w:t>
      </w:r>
      <w:r w:rsidR="00AB3233">
        <w:rPr>
          <w:sz w:val="20"/>
          <w:lang w:val="en-NZ"/>
        </w:rPr>
        <w:t>.</w:t>
      </w:r>
      <w:r w:rsidR="006A1791">
        <w:rPr>
          <w:sz w:val="20"/>
          <w:lang w:val="en-NZ"/>
        </w:rPr>
        <w:t xml:space="preserve">  </w:t>
      </w:r>
      <w:r w:rsidR="00AB3233">
        <w:rPr>
          <w:sz w:val="20"/>
          <w:lang w:val="en-NZ"/>
        </w:rPr>
        <w:t>S</w:t>
      </w:r>
      <w:r w:rsidR="003F7483" w:rsidRPr="00AB3233">
        <w:rPr>
          <w:sz w:val="20"/>
          <w:lang w:val="en-NZ"/>
        </w:rPr>
        <w:t>ee for example, Atkinson et (2011)</w:t>
      </w:r>
      <w:r w:rsidRPr="00AB3233">
        <w:rPr>
          <w:sz w:val="20"/>
          <w:lang w:val="en-NZ"/>
        </w:rPr>
        <w:t xml:space="preserve">. </w:t>
      </w:r>
    </w:p>
    <w:p w:rsidR="003F7483" w:rsidRPr="00AB3233" w:rsidRDefault="003F7483" w:rsidP="00AB3233">
      <w:pPr>
        <w:jc w:val="both"/>
        <w:rPr>
          <w:sz w:val="20"/>
          <w:lang w:val="en-NZ"/>
        </w:rPr>
      </w:pPr>
    </w:p>
    <w:p w:rsidR="00CC17AF" w:rsidRPr="00AB3233" w:rsidRDefault="003F7483" w:rsidP="00AB3233">
      <w:pPr>
        <w:jc w:val="both"/>
        <w:rPr>
          <w:sz w:val="20"/>
          <w:lang w:val="en-NZ"/>
        </w:rPr>
      </w:pPr>
      <w:r w:rsidRPr="00AB3233">
        <w:rPr>
          <w:b/>
          <w:sz w:val="20"/>
          <w:lang w:val="en-NZ"/>
        </w:rPr>
        <w:t>Figure D.18</w:t>
      </w:r>
      <w:r w:rsidRPr="00AB3233">
        <w:rPr>
          <w:sz w:val="20"/>
          <w:lang w:val="en-NZ"/>
        </w:rPr>
        <w:t xml:space="preserve"> shows the share of total income received by those with the top 1% of income from the 1920s to around 2010 for the </w:t>
      </w:r>
      <w:smartTag w:uri="urn:schemas-microsoft-com:office:smarttags" w:element="country-region">
        <w:r w:rsidRPr="00AB3233">
          <w:rPr>
            <w:sz w:val="20"/>
            <w:lang w:val="en-NZ"/>
          </w:rPr>
          <w:t>US</w:t>
        </w:r>
      </w:smartTag>
      <w:r w:rsidRPr="00AB3233">
        <w:rPr>
          <w:sz w:val="20"/>
          <w:lang w:val="en-NZ"/>
        </w:rPr>
        <w:t xml:space="preserve">, the </w:t>
      </w:r>
      <w:smartTag w:uri="urn:schemas-microsoft-com:office:smarttags" w:element="country-region">
        <w:r w:rsidRPr="00AB3233">
          <w:rPr>
            <w:sz w:val="20"/>
            <w:lang w:val="en-NZ"/>
          </w:rPr>
          <w:t>UK</w:t>
        </w:r>
      </w:smartTag>
      <w:r w:rsidRPr="00AB3233">
        <w:rPr>
          <w:sz w:val="20"/>
          <w:lang w:val="en-NZ"/>
        </w:rPr>
        <w:t xml:space="preserve">, </w:t>
      </w:r>
      <w:smartTag w:uri="urn:schemas-microsoft-com:office:smarttags" w:element="country-region">
        <w:r w:rsidRPr="00AB3233">
          <w:rPr>
            <w:sz w:val="20"/>
            <w:lang w:val="en-NZ"/>
          </w:rPr>
          <w:t>Canada</w:t>
        </w:r>
      </w:smartTag>
      <w:r w:rsidRPr="00AB3233">
        <w:rPr>
          <w:sz w:val="20"/>
          <w:lang w:val="en-NZ"/>
        </w:rPr>
        <w:t xml:space="preserve">, </w:t>
      </w:r>
      <w:smartTag w:uri="urn:schemas-microsoft-com:office:smarttags" w:element="country-region">
        <w:r w:rsidRPr="00AB3233">
          <w:rPr>
            <w:sz w:val="20"/>
            <w:lang w:val="en-NZ"/>
          </w:rPr>
          <w:t>Australia</w:t>
        </w:r>
      </w:smartTag>
      <w:r w:rsidRPr="00AB3233">
        <w:rPr>
          <w:sz w:val="20"/>
          <w:lang w:val="en-NZ"/>
        </w:rPr>
        <w:t xml:space="preserve"> and </w:t>
      </w:r>
      <w:smartTag w:uri="urn:schemas-microsoft-com:office:smarttags" w:element="place">
        <w:smartTag w:uri="urn:schemas-microsoft-com:office:smarttags" w:element="country-region">
          <w:r w:rsidRPr="00AB3233">
            <w:rPr>
              <w:sz w:val="20"/>
              <w:lang w:val="en-NZ"/>
            </w:rPr>
            <w:t>New Zealand</w:t>
          </w:r>
        </w:smartTag>
      </w:smartTag>
      <w:r w:rsidRPr="00AB3233">
        <w:rPr>
          <w:sz w:val="20"/>
          <w:lang w:val="en-NZ"/>
        </w:rPr>
        <w:t>.</w:t>
      </w:r>
    </w:p>
    <w:p w:rsidR="003F7483" w:rsidRPr="00AB3233" w:rsidRDefault="003F7483" w:rsidP="00AB3233">
      <w:pPr>
        <w:jc w:val="both"/>
        <w:rPr>
          <w:sz w:val="20"/>
          <w:lang w:val="en-NZ"/>
        </w:rPr>
      </w:pPr>
    </w:p>
    <w:p w:rsidR="00F318E0" w:rsidRDefault="003F7483" w:rsidP="00AB3233">
      <w:pPr>
        <w:jc w:val="both"/>
        <w:rPr>
          <w:sz w:val="20"/>
        </w:rPr>
      </w:pPr>
      <w:r w:rsidRPr="00AB3233">
        <w:rPr>
          <w:sz w:val="20"/>
        </w:rPr>
        <w:t xml:space="preserve">For the </w:t>
      </w:r>
      <w:smartTag w:uri="urn:schemas-microsoft-com:office:smarttags" w:element="country-region">
        <w:r w:rsidRPr="00AB3233">
          <w:rPr>
            <w:sz w:val="20"/>
          </w:rPr>
          <w:t>US</w:t>
        </w:r>
      </w:smartTag>
      <w:r w:rsidRPr="00AB3233">
        <w:rPr>
          <w:sz w:val="20"/>
        </w:rPr>
        <w:t xml:space="preserve">, the </w:t>
      </w:r>
      <w:smartTag w:uri="urn:schemas-microsoft-com:office:smarttags" w:element="country-region">
        <w:r w:rsidRPr="00AB3233">
          <w:rPr>
            <w:sz w:val="20"/>
          </w:rPr>
          <w:t>UK</w:t>
        </w:r>
      </w:smartTag>
      <w:r w:rsidRPr="00AB3233">
        <w:rPr>
          <w:sz w:val="20"/>
        </w:rPr>
        <w:t xml:space="preserve"> and </w:t>
      </w:r>
      <w:smartTag w:uri="urn:schemas-microsoft-com:office:smarttags" w:element="country-region">
        <w:r w:rsidRPr="00AB3233">
          <w:rPr>
            <w:sz w:val="20"/>
          </w:rPr>
          <w:t>Canada</w:t>
        </w:r>
      </w:smartTag>
      <w:r w:rsidRPr="00AB3233">
        <w:rPr>
          <w:sz w:val="20"/>
        </w:rPr>
        <w:t xml:space="preserve"> there is a clear U-shaped curve with the share</w:t>
      </w:r>
      <w:r w:rsidR="006A1791">
        <w:rPr>
          <w:sz w:val="20"/>
        </w:rPr>
        <w:t xml:space="preserve"> of total income received by the top 1%</w:t>
      </w:r>
      <w:r w:rsidRPr="00AB3233">
        <w:rPr>
          <w:sz w:val="20"/>
        </w:rPr>
        <w:t xml:space="preserve"> rising fairly steeply for the </w:t>
      </w:r>
      <w:smartTag w:uri="urn:schemas-microsoft-com:office:smarttags" w:element="country-region">
        <w:r w:rsidRPr="00AB3233">
          <w:rPr>
            <w:sz w:val="20"/>
          </w:rPr>
          <w:t>US</w:t>
        </w:r>
      </w:smartTag>
      <w:r w:rsidRPr="00AB3233">
        <w:rPr>
          <w:sz w:val="20"/>
        </w:rPr>
        <w:t xml:space="preserve"> and the </w:t>
      </w:r>
      <w:smartTag w:uri="urn:schemas-microsoft-com:office:smarttags" w:element="country-region">
        <w:r w:rsidRPr="00AB3233">
          <w:rPr>
            <w:sz w:val="20"/>
          </w:rPr>
          <w:t>UK</w:t>
        </w:r>
      </w:smartTag>
      <w:r w:rsidRPr="00AB3233">
        <w:rPr>
          <w:sz w:val="20"/>
        </w:rPr>
        <w:t xml:space="preserve"> from the mid 1980s, roughly doubling from 8% to </w:t>
      </w:r>
      <w:r w:rsidR="003F1BE4">
        <w:rPr>
          <w:sz w:val="20"/>
        </w:rPr>
        <w:t>16</w:t>
      </w:r>
      <w:r w:rsidRPr="00AB3233">
        <w:rPr>
          <w:sz w:val="20"/>
        </w:rPr>
        <w:t>% in 20</w:t>
      </w:r>
      <w:r w:rsidR="003F1BE4">
        <w:rPr>
          <w:sz w:val="20"/>
        </w:rPr>
        <w:t xml:space="preserve">09 for the </w:t>
      </w:r>
      <w:smartTag w:uri="urn:schemas-microsoft-com:office:smarttags" w:element="country-region">
        <w:r w:rsidR="003F1BE4">
          <w:rPr>
            <w:sz w:val="20"/>
          </w:rPr>
          <w:t>US</w:t>
        </w:r>
      </w:smartTag>
      <w:r w:rsidR="003F1BE4">
        <w:rPr>
          <w:sz w:val="20"/>
        </w:rPr>
        <w:t xml:space="preserve"> and from 6% to 15% for the </w:t>
      </w:r>
      <w:smartTag w:uri="urn:schemas-microsoft-com:office:smarttags" w:element="country-region">
        <w:smartTag w:uri="urn:schemas-microsoft-com:office:smarttags" w:element="place">
          <w:r w:rsidR="003F1BE4">
            <w:rPr>
              <w:sz w:val="20"/>
            </w:rPr>
            <w:t>UK</w:t>
          </w:r>
        </w:smartTag>
      </w:smartTag>
      <w:r w:rsidRPr="00AB3233">
        <w:rPr>
          <w:sz w:val="20"/>
        </w:rPr>
        <w:t>.  For New Zealand and Australia the proportion of total incomes received by the top 1% is less than for the US and the UK, but the rise from the mid 1980s to 2009 is still steep, doubl</w:t>
      </w:r>
      <w:r w:rsidR="00AB3233">
        <w:rPr>
          <w:sz w:val="20"/>
        </w:rPr>
        <w:t>ing</w:t>
      </w:r>
      <w:r w:rsidRPr="00AB3233">
        <w:rPr>
          <w:sz w:val="20"/>
        </w:rPr>
        <w:t xml:space="preserve"> the s</w:t>
      </w:r>
      <w:r w:rsidR="00AB3233" w:rsidRPr="00AB3233">
        <w:rPr>
          <w:sz w:val="20"/>
        </w:rPr>
        <w:t>hare</w:t>
      </w:r>
      <w:r w:rsidRPr="00AB3233">
        <w:rPr>
          <w:sz w:val="20"/>
        </w:rPr>
        <w:t xml:space="preserve"> from</w:t>
      </w:r>
      <w:r w:rsidR="00AB3233" w:rsidRPr="00AB3233">
        <w:rPr>
          <w:sz w:val="20"/>
        </w:rPr>
        <w:t xml:space="preserve"> 5% to around 9-10% in the period.</w:t>
      </w:r>
      <w:r w:rsidR="00AB3233">
        <w:rPr>
          <w:sz w:val="20"/>
        </w:rPr>
        <w:t xml:space="preserve"> </w:t>
      </w:r>
      <w:smartTag w:uri="urn:schemas-microsoft-com:office:smarttags" w:element="country-region">
        <w:smartTag w:uri="urn:schemas-microsoft-com:office:smarttags" w:element="place">
          <w:r w:rsidR="00AB3233">
            <w:rPr>
              <w:sz w:val="20"/>
            </w:rPr>
            <w:t>Ireland</w:t>
          </w:r>
        </w:smartTag>
      </w:smartTag>
      <w:r w:rsidR="00AB3233">
        <w:rPr>
          <w:sz w:val="20"/>
        </w:rPr>
        <w:t xml:space="preserve"> also has a U-shaped curve.</w:t>
      </w:r>
    </w:p>
    <w:p w:rsidR="00AB3233" w:rsidRDefault="00AB3233" w:rsidP="00AB3233">
      <w:pPr>
        <w:jc w:val="both"/>
        <w:rPr>
          <w:sz w:val="20"/>
        </w:rPr>
      </w:pPr>
    </w:p>
    <w:p w:rsidR="00AB3233" w:rsidRPr="00AB3233" w:rsidRDefault="00AB3233" w:rsidP="00AB3233">
      <w:pPr>
        <w:jc w:val="both"/>
        <w:rPr>
          <w:sz w:val="20"/>
        </w:rPr>
      </w:pPr>
      <w:r>
        <w:rPr>
          <w:sz w:val="20"/>
        </w:rPr>
        <w:t xml:space="preserve">Not all OECD countries show the U-shaped curve. For example, </w:t>
      </w:r>
      <w:smartTag w:uri="urn:schemas-microsoft-com:office:smarttags" w:element="country-region">
        <w:r>
          <w:rPr>
            <w:sz w:val="20"/>
          </w:rPr>
          <w:t>France</w:t>
        </w:r>
      </w:smartTag>
      <w:r>
        <w:rPr>
          <w:sz w:val="20"/>
        </w:rPr>
        <w:t xml:space="preserve">, the </w:t>
      </w:r>
      <w:smartTag w:uri="urn:schemas-microsoft-com:office:smarttags" w:element="country-region">
        <w:r>
          <w:rPr>
            <w:sz w:val="20"/>
          </w:rPr>
          <w:t>Netherlands</w:t>
        </w:r>
      </w:smartTag>
      <w:r>
        <w:rPr>
          <w:sz w:val="20"/>
        </w:rPr>
        <w:t xml:space="preserve">, </w:t>
      </w:r>
      <w:smartTag w:uri="urn:schemas-microsoft-com:office:smarttags" w:element="country-region">
        <w:r>
          <w:rPr>
            <w:sz w:val="20"/>
          </w:rPr>
          <w:t>Germany</w:t>
        </w:r>
      </w:smartTag>
      <w:r>
        <w:rPr>
          <w:sz w:val="20"/>
        </w:rPr>
        <w:t xml:space="preserve"> and </w:t>
      </w:r>
      <w:smartTag w:uri="urn:schemas-microsoft-com:office:smarttags" w:element="country-region">
        <w:r>
          <w:rPr>
            <w:sz w:val="20"/>
          </w:rPr>
          <w:t>Japan</w:t>
        </w:r>
      </w:smartTag>
      <w:r>
        <w:rPr>
          <w:sz w:val="20"/>
        </w:rPr>
        <w:t xml:space="preserve"> show more of an L-shaped curve: they do not show the rapid rise from the mid-1980s that the English-speaking countries do, remaining steady in the 5-10% range (which is where </w:t>
      </w:r>
      <w:smartTag w:uri="urn:schemas-microsoft-com:office:smarttags" w:element="country-region">
        <w:r>
          <w:rPr>
            <w:sz w:val="20"/>
          </w:rPr>
          <w:t>New Zealand</w:t>
        </w:r>
      </w:smartTag>
      <w:r>
        <w:rPr>
          <w:sz w:val="20"/>
        </w:rPr>
        <w:t xml:space="preserve"> and </w:t>
      </w:r>
      <w:smartTag w:uri="urn:schemas-microsoft-com:office:smarttags" w:element="country-region">
        <w:smartTag w:uri="urn:schemas-microsoft-com:office:smarttags" w:element="place">
          <w:r>
            <w:rPr>
              <w:sz w:val="20"/>
            </w:rPr>
            <w:t>Australia</w:t>
          </w:r>
        </w:smartTag>
      </w:smartTag>
      <w:r>
        <w:rPr>
          <w:sz w:val="20"/>
        </w:rPr>
        <w:t xml:space="preserve"> have ended up in 2009).</w:t>
      </w:r>
    </w:p>
    <w:p w:rsidR="00F318E0" w:rsidRDefault="00F318E0" w:rsidP="00E46063">
      <w:pPr>
        <w:pStyle w:val="Heading2"/>
        <w:jc w:val="both"/>
        <w:rPr>
          <w:sz w:val="22"/>
          <w:szCs w:val="22"/>
        </w:rPr>
      </w:pPr>
    </w:p>
    <w:p w:rsidR="00F318E0" w:rsidRPr="006E41BF" w:rsidRDefault="00F318E0" w:rsidP="00F318E0">
      <w:pPr>
        <w:pStyle w:val="Heading3"/>
        <w:jc w:val="center"/>
        <w:rPr>
          <w:sz w:val="18"/>
          <w:szCs w:val="20"/>
        </w:rPr>
      </w:pPr>
      <w:r w:rsidRPr="006E41BF">
        <w:rPr>
          <w:sz w:val="18"/>
          <w:szCs w:val="20"/>
        </w:rPr>
        <w:t>Figure D.1</w:t>
      </w:r>
      <w:r>
        <w:rPr>
          <w:sz w:val="18"/>
          <w:szCs w:val="20"/>
        </w:rPr>
        <w:t>8</w:t>
      </w:r>
    </w:p>
    <w:p w:rsidR="00F318E0" w:rsidRDefault="00F318E0" w:rsidP="00F318E0">
      <w:pPr>
        <w:jc w:val="center"/>
        <w:rPr>
          <w:sz w:val="20"/>
        </w:rPr>
      </w:pPr>
      <w:r>
        <w:rPr>
          <w:b/>
          <w:sz w:val="18"/>
        </w:rPr>
        <w:t>Very high income: share of income received by top 1%</w:t>
      </w:r>
      <w:r w:rsidR="009317FB">
        <w:rPr>
          <w:b/>
          <w:sz w:val="18"/>
        </w:rPr>
        <w:t>, 1920 to 20</w:t>
      </w:r>
      <w:r w:rsidR="00CB4921">
        <w:rPr>
          <w:b/>
          <w:sz w:val="18"/>
        </w:rPr>
        <w:t>10</w:t>
      </w:r>
    </w:p>
    <w:p w:rsidR="00D71C18" w:rsidRPr="001D5006" w:rsidRDefault="00EC0BE0" w:rsidP="00F318E0">
      <w:pPr>
        <w:pStyle w:val="Heading2"/>
        <w:jc w:val="center"/>
      </w:pPr>
      <w:r>
        <w:rPr>
          <w:noProof/>
          <w:lang w:val="en-US"/>
        </w:rPr>
        <w:drawing>
          <wp:inline distT="0" distB="0" distL="0" distR="0">
            <wp:extent cx="5362575" cy="3514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5362575" cy="3514725"/>
                    </a:xfrm>
                    <a:prstGeom prst="rect">
                      <a:avLst/>
                    </a:prstGeom>
                    <a:noFill/>
                    <a:ln w="9525">
                      <a:noFill/>
                      <a:miter lim="800000"/>
                      <a:headEnd/>
                      <a:tailEnd/>
                    </a:ln>
                  </pic:spPr>
                </pic:pic>
              </a:graphicData>
            </a:graphic>
          </wp:inline>
        </w:drawing>
      </w:r>
    </w:p>
    <w:p w:rsidR="00D71C18" w:rsidRPr="00CB4921" w:rsidRDefault="00CB4921" w:rsidP="00CB4921">
      <w:pPr>
        <w:pStyle w:val="Heading2"/>
        <w:tabs>
          <w:tab w:val="left" w:pos="567"/>
        </w:tabs>
        <w:jc w:val="both"/>
        <w:rPr>
          <w:b w:val="0"/>
          <w:sz w:val="18"/>
          <w:szCs w:val="18"/>
        </w:rPr>
      </w:pPr>
      <w:r>
        <w:rPr>
          <w:b w:val="0"/>
          <w:sz w:val="18"/>
          <w:szCs w:val="18"/>
        </w:rPr>
        <w:tab/>
      </w:r>
      <w:r w:rsidRPr="00CB4921">
        <w:rPr>
          <w:b w:val="0"/>
          <w:sz w:val="18"/>
          <w:szCs w:val="18"/>
        </w:rPr>
        <w:t>Source: Alvaredo et al (2012)</w:t>
      </w:r>
    </w:p>
    <w:p w:rsidR="00CB4921" w:rsidRDefault="00CB4921" w:rsidP="00D71C18">
      <w:pPr>
        <w:pStyle w:val="Heading2"/>
        <w:jc w:val="both"/>
        <w:rPr>
          <w:b w:val="0"/>
          <w:sz w:val="20"/>
          <w:szCs w:val="20"/>
        </w:rPr>
      </w:pPr>
    </w:p>
    <w:p w:rsidR="00CB4921" w:rsidRDefault="00CB4921" w:rsidP="00D71C18">
      <w:pPr>
        <w:pStyle w:val="Heading2"/>
        <w:jc w:val="both"/>
        <w:rPr>
          <w:b w:val="0"/>
          <w:sz w:val="20"/>
          <w:szCs w:val="20"/>
        </w:rPr>
      </w:pPr>
    </w:p>
    <w:p w:rsidR="00AB3233" w:rsidRDefault="00AB3233" w:rsidP="00D71C18">
      <w:pPr>
        <w:pStyle w:val="Heading2"/>
        <w:jc w:val="both"/>
        <w:rPr>
          <w:b w:val="0"/>
          <w:sz w:val="20"/>
          <w:szCs w:val="20"/>
        </w:rPr>
      </w:pPr>
      <w:r>
        <w:rPr>
          <w:b w:val="0"/>
          <w:sz w:val="20"/>
          <w:szCs w:val="20"/>
        </w:rPr>
        <w:t>The increasing share of income received by the 1% (and therefore the reducing share by the 99%) is another aspect of the inequality picture.  The usual percentile ratios are not directly influenced by what income share the top 1% receive.  The Gini is influenced by these very high incomes if they are ever captured in the usual sample surveys, which is unlikely.</w:t>
      </w:r>
    </w:p>
    <w:p w:rsidR="00E46063" w:rsidRPr="00B212F2" w:rsidRDefault="00AB3233" w:rsidP="00D71C18">
      <w:pPr>
        <w:pStyle w:val="Heading2"/>
        <w:jc w:val="both"/>
        <w:rPr>
          <w:sz w:val="24"/>
        </w:rPr>
      </w:pPr>
      <w:r>
        <w:rPr>
          <w:b w:val="0"/>
          <w:sz w:val="20"/>
          <w:szCs w:val="20"/>
        </w:rPr>
        <w:t xml:space="preserve"> </w:t>
      </w:r>
      <w:r w:rsidR="00CC17AF" w:rsidRPr="00CC17AF">
        <w:rPr>
          <w:sz w:val="22"/>
          <w:szCs w:val="22"/>
        </w:rPr>
        <w:br w:type="page"/>
      </w:r>
      <w:r w:rsidR="00E46063">
        <w:rPr>
          <w:sz w:val="24"/>
        </w:rPr>
        <w:lastRenderedPageBreak/>
        <w:t>Wealth</w:t>
      </w:r>
      <w:r w:rsidR="00E46063" w:rsidRPr="00B212F2">
        <w:rPr>
          <w:sz w:val="24"/>
        </w:rPr>
        <w:t xml:space="preserve"> inequality</w:t>
      </w:r>
    </w:p>
    <w:p w:rsidR="00E46063" w:rsidRPr="00B212F2" w:rsidRDefault="00E46063" w:rsidP="00E46063">
      <w:pPr>
        <w:jc w:val="both"/>
        <w:rPr>
          <w:rFonts w:cs="Arial"/>
          <w:sz w:val="20"/>
          <w:szCs w:val="22"/>
        </w:rPr>
      </w:pPr>
    </w:p>
    <w:p w:rsidR="00E46063" w:rsidRDefault="00E46063" w:rsidP="00E46063">
      <w:pPr>
        <w:jc w:val="both"/>
        <w:rPr>
          <w:rFonts w:cs="Arial"/>
          <w:sz w:val="20"/>
          <w:szCs w:val="22"/>
        </w:rPr>
      </w:pPr>
      <w:r>
        <w:rPr>
          <w:rFonts w:cs="Arial"/>
          <w:sz w:val="20"/>
          <w:szCs w:val="22"/>
        </w:rPr>
        <w:t>Wealth is a key component of a household’s economic resources.</w:t>
      </w:r>
      <w:r>
        <w:rPr>
          <w:rStyle w:val="FootnoteReference"/>
          <w:rFonts w:cs="Arial"/>
          <w:sz w:val="20"/>
          <w:szCs w:val="22"/>
        </w:rPr>
        <w:footnoteReference w:id="54"/>
      </w:r>
      <w:r>
        <w:rPr>
          <w:rFonts w:cs="Arial"/>
          <w:sz w:val="20"/>
          <w:szCs w:val="22"/>
        </w:rPr>
        <w:t xml:space="preserve">  For example, households with low incomes but relatively high wealth levels are able to achieve higher actual living standards than low-income households with low wealth levels.  In practice, especially for working-age households, income and wealth are highly (but far from perfectly) correlated.  Most who are counted as income poor also have negligible financial assets and very low net worth (see </w:t>
      </w:r>
      <w:r w:rsidRPr="0003470D">
        <w:rPr>
          <w:rFonts w:cs="Arial"/>
          <w:b/>
          <w:sz w:val="20"/>
          <w:szCs w:val="22"/>
        </w:rPr>
        <w:t>Figure D.1</w:t>
      </w:r>
      <w:r w:rsidR="009317FB">
        <w:rPr>
          <w:rFonts w:cs="Arial"/>
          <w:b/>
          <w:sz w:val="20"/>
          <w:szCs w:val="22"/>
        </w:rPr>
        <w:t>9</w:t>
      </w:r>
      <w:r>
        <w:rPr>
          <w:rFonts w:cs="Arial"/>
          <w:sz w:val="20"/>
          <w:szCs w:val="22"/>
        </w:rPr>
        <w:t xml:space="preserve"> below).</w:t>
      </w:r>
      <w:r>
        <w:rPr>
          <w:rStyle w:val="FootnoteReference"/>
          <w:rFonts w:cs="Arial"/>
          <w:sz w:val="20"/>
          <w:szCs w:val="22"/>
        </w:rPr>
        <w:footnoteReference w:id="55"/>
      </w:r>
      <w:r>
        <w:rPr>
          <w:rFonts w:cs="Arial"/>
          <w:sz w:val="20"/>
          <w:szCs w:val="22"/>
        </w:rPr>
        <w:t xml:space="preserve">  </w:t>
      </w:r>
    </w:p>
    <w:p w:rsidR="00E46063" w:rsidRDefault="00E46063" w:rsidP="00E46063">
      <w:pPr>
        <w:ind w:left="4"/>
        <w:jc w:val="both"/>
        <w:rPr>
          <w:rFonts w:cs="Arial"/>
          <w:sz w:val="20"/>
          <w:szCs w:val="22"/>
        </w:rPr>
      </w:pPr>
    </w:p>
    <w:p w:rsidR="00E46063" w:rsidRDefault="00E46063" w:rsidP="00E46063">
      <w:pPr>
        <w:ind w:left="4"/>
        <w:jc w:val="both"/>
        <w:rPr>
          <w:rFonts w:cs="Arial"/>
          <w:sz w:val="20"/>
          <w:szCs w:val="22"/>
        </w:rPr>
      </w:pPr>
      <w:r>
        <w:rPr>
          <w:rFonts w:cs="Arial"/>
          <w:sz w:val="20"/>
          <w:szCs w:val="22"/>
        </w:rPr>
        <w:t xml:space="preserve">Wealth is distributed much more unequally than income (especially disposable income after tax and transfers). </w:t>
      </w:r>
    </w:p>
    <w:p w:rsidR="00E46063" w:rsidRDefault="00E46063" w:rsidP="00E46063">
      <w:pPr>
        <w:ind w:left="4"/>
        <w:jc w:val="both"/>
        <w:rPr>
          <w:rFonts w:cs="Arial"/>
          <w:sz w:val="20"/>
          <w:szCs w:val="22"/>
        </w:rPr>
      </w:pPr>
    </w:p>
    <w:p w:rsidR="00E46063" w:rsidRDefault="00E46063" w:rsidP="00E46063">
      <w:pPr>
        <w:ind w:left="4"/>
        <w:jc w:val="both"/>
        <w:rPr>
          <w:rFonts w:cs="Arial"/>
          <w:sz w:val="20"/>
          <w:szCs w:val="22"/>
        </w:rPr>
      </w:pPr>
      <w:r>
        <w:rPr>
          <w:rFonts w:cs="Arial"/>
          <w:sz w:val="20"/>
          <w:szCs w:val="22"/>
        </w:rPr>
        <w:t xml:space="preserve">As shown in </w:t>
      </w:r>
      <w:r w:rsidRPr="0003470D">
        <w:rPr>
          <w:rFonts w:cs="Arial"/>
          <w:b/>
          <w:sz w:val="20"/>
          <w:szCs w:val="22"/>
        </w:rPr>
        <w:t>Figure D.1</w:t>
      </w:r>
      <w:r w:rsidR="009317FB">
        <w:rPr>
          <w:rFonts w:cs="Arial"/>
          <w:b/>
          <w:sz w:val="20"/>
          <w:szCs w:val="22"/>
        </w:rPr>
        <w:t>9</w:t>
      </w:r>
      <w:r>
        <w:rPr>
          <w:rFonts w:cs="Arial"/>
          <w:sz w:val="20"/>
          <w:szCs w:val="22"/>
        </w:rPr>
        <w:t xml:space="preserve">, in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in 2003-2004 the top wealth decile accounted for around 50% of the total wealth, whereas the top income decile accounted for 25% of the total income (see Figure B.4).  The Gini for income in 2003-04 was 32, and the wealth Gini was 69.  This degree of wealth inequality appears to be not greatly different to what prevails in many other OECD countries (see Section I for details).</w:t>
      </w:r>
    </w:p>
    <w:p w:rsidR="00E46063" w:rsidRDefault="00E46063" w:rsidP="00E46063">
      <w:pPr>
        <w:jc w:val="both"/>
        <w:rPr>
          <w:rFonts w:cs="Arial"/>
          <w:sz w:val="20"/>
          <w:szCs w:val="22"/>
        </w:rPr>
      </w:pPr>
    </w:p>
    <w:p w:rsidR="00E46063" w:rsidRPr="006E41BF" w:rsidRDefault="00E46063" w:rsidP="00E46063">
      <w:pPr>
        <w:pStyle w:val="Heading3"/>
        <w:jc w:val="center"/>
        <w:rPr>
          <w:sz w:val="18"/>
          <w:szCs w:val="20"/>
        </w:rPr>
      </w:pPr>
      <w:r w:rsidRPr="006E41BF">
        <w:rPr>
          <w:sz w:val="18"/>
          <w:szCs w:val="20"/>
        </w:rPr>
        <w:t>Figure D.1</w:t>
      </w:r>
      <w:r w:rsidR="009317FB">
        <w:rPr>
          <w:sz w:val="18"/>
          <w:szCs w:val="20"/>
        </w:rPr>
        <w:t>9</w:t>
      </w:r>
    </w:p>
    <w:p w:rsidR="00E46063" w:rsidRDefault="00E46063" w:rsidP="00E46063">
      <w:pPr>
        <w:jc w:val="center"/>
        <w:rPr>
          <w:rFonts w:cs="Arial"/>
          <w:sz w:val="20"/>
          <w:szCs w:val="22"/>
        </w:rPr>
      </w:pPr>
      <w:r>
        <w:rPr>
          <w:b/>
          <w:sz w:val="18"/>
        </w:rPr>
        <w:t>Wealth and income distribution in New Zealand, 2003-2004: cumulative frequency (%)</w:t>
      </w:r>
    </w:p>
    <w:p w:rsidR="00E46063" w:rsidRPr="00A11AB8" w:rsidRDefault="00EC0BE0" w:rsidP="00E46063">
      <w:pPr>
        <w:jc w:val="center"/>
        <w:rPr>
          <w:rFonts w:cs="Arial"/>
          <w:sz w:val="20"/>
          <w:szCs w:val="22"/>
        </w:rPr>
      </w:pPr>
      <w:r>
        <w:rPr>
          <w:noProof/>
          <w:lang w:val="en-US"/>
        </w:rPr>
        <w:drawing>
          <wp:inline distT="0" distB="0" distL="0" distR="0">
            <wp:extent cx="3609975" cy="22383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3609975" cy="2238375"/>
                    </a:xfrm>
                    <a:prstGeom prst="rect">
                      <a:avLst/>
                    </a:prstGeom>
                    <a:noFill/>
                    <a:ln w="9525">
                      <a:noFill/>
                      <a:miter lim="800000"/>
                      <a:headEnd/>
                      <a:tailEnd/>
                    </a:ln>
                  </pic:spPr>
                </pic:pic>
              </a:graphicData>
            </a:graphic>
          </wp:inline>
        </w:drawing>
      </w:r>
    </w:p>
    <w:p w:rsidR="00E46063" w:rsidRPr="0003470D" w:rsidRDefault="00E46063" w:rsidP="00E46063">
      <w:pPr>
        <w:spacing w:before="60"/>
        <w:ind w:left="1350" w:right="641" w:hanging="630"/>
        <w:jc w:val="both"/>
        <w:rPr>
          <w:rFonts w:cs="Arial"/>
          <w:sz w:val="16"/>
          <w:szCs w:val="16"/>
        </w:rPr>
      </w:pPr>
      <w:r w:rsidRPr="0003470D">
        <w:rPr>
          <w:rFonts w:cs="Arial"/>
          <w:sz w:val="16"/>
          <w:szCs w:val="16"/>
          <w:u w:val="single"/>
        </w:rPr>
        <w:t>Source</w:t>
      </w:r>
      <w:r w:rsidRPr="0003470D">
        <w:rPr>
          <w:rFonts w:cs="Arial"/>
          <w:sz w:val="16"/>
          <w:szCs w:val="16"/>
        </w:rPr>
        <w:t xml:space="preserve">: </w:t>
      </w:r>
      <w:r>
        <w:rPr>
          <w:rFonts w:cs="Arial"/>
          <w:sz w:val="16"/>
          <w:szCs w:val="16"/>
        </w:rPr>
        <w:tab/>
        <w:t>Wealth data is from u</w:t>
      </w:r>
      <w:r w:rsidRPr="0003470D">
        <w:rPr>
          <w:rFonts w:cs="Arial"/>
          <w:sz w:val="16"/>
          <w:szCs w:val="16"/>
        </w:rPr>
        <w:t>npublished New Zealand Treasury analysis of wave 2 (2003-2004) of Statistics New Zealand’s Survey of Family, Income and Empl</w:t>
      </w:r>
      <w:r>
        <w:rPr>
          <w:rFonts w:cs="Arial"/>
          <w:sz w:val="16"/>
          <w:szCs w:val="16"/>
        </w:rPr>
        <w:t>o</w:t>
      </w:r>
      <w:r w:rsidRPr="0003470D">
        <w:rPr>
          <w:rFonts w:cs="Arial"/>
          <w:sz w:val="16"/>
          <w:szCs w:val="16"/>
        </w:rPr>
        <w:t>yment</w:t>
      </w:r>
      <w:r>
        <w:rPr>
          <w:rFonts w:cs="Arial"/>
          <w:sz w:val="16"/>
          <w:szCs w:val="16"/>
        </w:rPr>
        <w:t>.  Income data is from the 2004 HES.</w:t>
      </w:r>
    </w:p>
    <w:p w:rsidR="00E46063" w:rsidRPr="0003470D" w:rsidRDefault="00E46063" w:rsidP="00E46063">
      <w:pPr>
        <w:spacing w:before="60"/>
        <w:ind w:left="1350" w:right="641" w:hanging="630"/>
        <w:jc w:val="both"/>
        <w:rPr>
          <w:rFonts w:cs="Arial"/>
          <w:sz w:val="16"/>
          <w:szCs w:val="16"/>
        </w:rPr>
      </w:pPr>
      <w:r>
        <w:rPr>
          <w:rFonts w:cs="Arial"/>
          <w:sz w:val="16"/>
          <w:szCs w:val="16"/>
          <w:u w:val="single"/>
        </w:rPr>
        <w:t>Note</w:t>
      </w:r>
      <w:r w:rsidRPr="0003470D">
        <w:rPr>
          <w:rFonts w:cs="Arial"/>
          <w:sz w:val="16"/>
          <w:szCs w:val="16"/>
        </w:rPr>
        <w:t xml:space="preserve">: </w:t>
      </w:r>
      <w:r>
        <w:rPr>
          <w:rFonts w:cs="Arial"/>
          <w:sz w:val="16"/>
          <w:szCs w:val="16"/>
        </w:rPr>
        <w:tab/>
        <w:t xml:space="preserve">The income sharing unit for the incomes analysis is the household.  The distribution is of individuals according to their household’s income  For the wealth analysis the sharing unit is the </w:t>
      </w:r>
      <w:smartTag w:uri="urn:schemas-microsoft-com:office:smarttags" w:element="stockticker">
        <w:r>
          <w:rPr>
            <w:rFonts w:cs="Arial"/>
            <w:sz w:val="16"/>
            <w:szCs w:val="16"/>
          </w:rPr>
          <w:t>EFU</w:t>
        </w:r>
      </w:smartTag>
      <w:r>
        <w:rPr>
          <w:rFonts w:cs="Arial"/>
          <w:sz w:val="16"/>
          <w:szCs w:val="16"/>
        </w:rPr>
        <w:t xml:space="preserve"> (‘family’).  The wealth graph would be slightly differently shaped using the household as the sharing unit, but the finding that wealth inequality is much higher than income inequality is robust.</w:t>
      </w:r>
    </w:p>
    <w:p w:rsidR="00E46063" w:rsidRDefault="00E46063" w:rsidP="00E46063">
      <w:pPr>
        <w:jc w:val="both"/>
        <w:rPr>
          <w:rFonts w:cs="Arial"/>
          <w:sz w:val="20"/>
          <w:szCs w:val="22"/>
        </w:rPr>
      </w:pPr>
    </w:p>
    <w:p w:rsidR="00E46063" w:rsidRPr="00B212F2" w:rsidRDefault="00E46063" w:rsidP="00E46063">
      <w:pPr>
        <w:jc w:val="both"/>
        <w:rPr>
          <w:rFonts w:cs="Arial"/>
          <w:sz w:val="20"/>
          <w:szCs w:val="22"/>
        </w:rPr>
      </w:pPr>
    </w:p>
    <w:p w:rsidR="00E46063" w:rsidRPr="00143D17" w:rsidRDefault="00E46063" w:rsidP="00E46063">
      <w:pPr>
        <w:jc w:val="both"/>
        <w:sectPr w:rsidR="00E46063" w:rsidRPr="00143D17" w:rsidSect="00625052">
          <w:headerReference w:type="default" r:id="rId67"/>
          <w:footerReference w:type="even" r:id="rId68"/>
          <w:footerReference w:type="default" r:id="rId69"/>
          <w:pgSz w:w="11909" w:h="16834" w:code="9"/>
          <w:pgMar w:top="1440" w:right="1584" w:bottom="1440" w:left="1584" w:header="706" w:footer="706" w:gutter="0"/>
          <w:cols w:space="720"/>
        </w:sectPr>
      </w:pPr>
    </w:p>
    <w:p w:rsidR="00E46063" w:rsidRPr="0063138A" w:rsidRDefault="00E46063" w:rsidP="00E46063">
      <w:pPr>
        <w:pStyle w:val="Heading1"/>
        <w:jc w:val="center"/>
        <w:rPr>
          <w:sz w:val="32"/>
          <w:szCs w:val="36"/>
        </w:rPr>
      </w:pPr>
      <w:bookmarkStart w:id="90" w:name="_Toc115142514"/>
      <w:r w:rsidRPr="0063138A">
        <w:rPr>
          <w:sz w:val="32"/>
          <w:szCs w:val="36"/>
        </w:rPr>
        <w:lastRenderedPageBreak/>
        <w:t xml:space="preserve">Section </w:t>
      </w:r>
      <w:r>
        <w:rPr>
          <w:sz w:val="32"/>
          <w:szCs w:val="36"/>
        </w:rPr>
        <w:t>E</w:t>
      </w:r>
    </w:p>
    <w:p w:rsidR="00E46063" w:rsidRPr="00D07F34" w:rsidRDefault="00E46063" w:rsidP="00E46063">
      <w:pPr>
        <w:pStyle w:val="Heading1"/>
        <w:jc w:val="center"/>
      </w:pPr>
      <w:r w:rsidRPr="0063138A">
        <w:rPr>
          <w:sz w:val="32"/>
          <w:szCs w:val="36"/>
        </w:rPr>
        <w:t>Low incomes, poverty and material hardshi</w:t>
      </w:r>
      <w:bookmarkEnd w:id="90"/>
      <w:r w:rsidRPr="0063138A">
        <w:rPr>
          <w:sz w:val="32"/>
          <w:szCs w:val="36"/>
        </w:rPr>
        <w:t>p: conceptualisation and measurement issues</w:t>
      </w:r>
    </w:p>
    <w:p w:rsidR="00E46063" w:rsidRDefault="00E46063" w:rsidP="00E46063">
      <w:pPr>
        <w:jc w:val="both"/>
        <w:rPr>
          <w:rFonts w:cs="Arial"/>
          <w:szCs w:val="22"/>
        </w:rPr>
      </w:pPr>
      <w:bookmarkStart w:id="91" w:name="_Toc105985445"/>
      <w:bookmarkStart w:id="92" w:name="_Toc106002520"/>
      <w:bookmarkStart w:id="93" w:name="_Toc106071861"/>
      <w:bookmarkStart w:id="94" w:name="_Toc115142515"/>
    </w:p>
    <w:p w:rsidR="00E46063" w:rsidRPr="006E41BF" w:rsidRDefault="00E46063" w:rsidP="00E46063">
      <w:pPr>
        <w:jc w:val="both"/>
        <w:rPr>
          <w:rFonts w:cs="Arial"/>
          <w:sz w:val="20"/>
          <w:szCs w:val="22"/>
        </w:rPr>
      </w:pPr>
      <w:r w:rsidRPr="006E41BF">
        <w:rPr>
          <w:rFonts w:cs="Arial"/>
          <w:sz w:val="20"/>
          <w:szCs w:val="22"/>
        </w:rPr>
        <w:t xml:space="preserve">For the analysis of trends in poverty and material hardship, this report uses low-income thresholds set at 50% and 60% of median household income.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Individuals and groups below such lines can be described in a bland analytical way as ‘low-income populations’, but it is now very common practice in New Zealand and internationally for the 50% and 60% thresholds, and others in that general part of the distribution, to be referred to as ‘poverty lines’ and those below them as ‘poor’ or ‘in poverty’ or ‘at risk of poverty’.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The growing acceptability of ‘poverty’ language in more official contexts in the richer nations is reflected in recent OECD and UNICEF publications of international comparisons of poverty rates, and in decisions by the European Union (EU) to regularly publish income-based poverty indicators as part of a wider social reporting by Eurostat.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On the other hand, the positions taken by governments </w:t>
      </w:r>
      <w:r>
        <w:rPr>
          <w:rFonts w:cs="Arial"/>
          <w:sz w:val="20"/>
          <w:szCs w:val="22"/>
        </w:rPr>
        <w:t>of non-European</w:t>
      </w:r>
      <w:r w:rsidRPr="006E41BF">
        <w:rPr>
          <w:rFonts w:cs="Arial"/>
          <w:sz w:val="20"/>
          <w:szCs w:val="22"/>
        </w:rPr>
        <w:t xml:space="preserve"> OECD </w:t>
      </w:r>
      <w:r>
        <w:rPr>
          <w:rFonts w:cs="Arial"/>
          <w:sz w:val="20"/>
          <w:szCs w:val="22"/>
        </w:rPr>
        <w:t xml:space="preserve">countries </w:t>
      </w:r>
      <w:r w:rsidRPr="006E41BF">
        <w:rPr>
          <w:rFonts w:cs="Arial"/>
          <w:sz w:val="20"/>
          <w:szCs w:val="22"/>
        </w:rPr>
        <w:t xml:space="preserve">have been and are more mixed with respect to a poverty discourse and whether or not to adopt any official measure or measures of poverty.   In the </w:t>
      </w:r>
      <w:smartTag w:uri="urn:schemas-microsoft-com:office:smarttags" w:element="country-region">
        <w:r w:rsidRPr="006E41BF">
          <w:rPr>
            <w:rFonts w:cs="Arial"/>
            <w:sz w:val="20"/>
            <w:szCs w:val="22"/>
          </w:rPr>
          <w:t>United States</w:t>
        </w:r>
      </w:smartTag>
      <w:r w:rsidRPr="006E41BF">
        <w:rPr>
          <w:rFonts w:cs="Arial"/>
          <w:sz w:val="20"/>
          <w:szCs w:val="22"/>
        </w:rPr>
        <w:t xml:space="preserve">, the War on Poverty announced in 1964 and the associated establishment of an official poverty line in 1969 have done much to ensure that poverty language has been and still is an accepted part of economic and social policy discourse in the </w:t>
      </w:r>
      <w:smartTag w:uri="urn:schemas-microsoft-com:office:smarttags" w:element="place">
        <w:smartTag w:uri="urn:schemas-microsoft-com:office:smarttags" w:element="country-region">
          <w:r w:rsidRPr="006E41BF">
            <w:rPr>
              <w:rFonts w:cs="Arial"/>
              <w:sz w:val="20"/>
              <w:szCs w:val="22"/>
            </w:rPr>
            <w:t>United States</w:t>
          </w:r>
        </w:smartTag>
      </w:smartTag>
      <w:r w:rsidRPr="006E41BF">
        <w:rPr>
          <w:rFonts w:cs="Arial"/>
          <w:sz w:val="20"/>
          <w:szCs w:val="22"/>
        </w:rPr>
        <w:t xml:space="preserve">.   By contrast, in the </w:t>
      </w:r>
      <w:smartTag w:uri="urn:schemas-microsoft-com:office:smarttags" w:element="place">
        <w:smartTag w:uri="urn:schemas-microsoft-com:office:smarttags" w:element="country-region">
          <w:r w:rsidRPr="006E41BF">
            <w:rPr>
              <w:rFonts w:cs="Arial"/>
              <w:sz w:val="20"/>
              <w:szCs w:val="22"/>
            </w:rPr>
            <w:t>United Kingdom</w:t>
          </w:r>
        </w:smartTag>
      </w:smartTag>
      <w:r w:rsidRPr="006E41BF">
        <w:rPr>
          <w:rFonts w:cs="Arial"/>
          <w:sz w:val="20"/>
          <w:szCs w:val="22"/>
        </w:rPr>
        <w:t>, a Conservative government in the 1980s and the first half of the 1990s did not approve of poverty language and did not adopt an official measure.</w:t>
      </w:r>
      <w:r w:rsidR="00DC7AEC">
        <w:rPr>
          <w:rFonts w:cs="Arial"/>
          <w:sz w:val="20"/>
          <w:szCs w:val="22"/>
        </w:rPr>
        <w:t xml:space="preserve"> ‘Margaret Thatcher, supported by Helmut Kohl in </w:t>
      </w:r>
      <w:smartTag w:uri="urn:schemas-microsoft-com:office:smarttags" w:element="place">
        <w:smartTag w:uri="urn:schemas-microsoft-com:office:smarttags" w:element="country-region">
          <w:r w:rsidR="00DC7AEC">
            <w:rPr>
              <w:rFonts w:cs="Arial"/>
              <w:sz w:val="20"/>
              <w:szCs w:val="22"/>
            </w:rPr>
            <w:t>Germany</w:t>
          </w:r>
        </w:smartTag>
      </w:smartTag>
      <w:r w:rsidR="00DC7AEC">
        <w:rPr>
          <w:rFonts w:cs="Arial"/>
          <w:sz w:val="20"/>
          <w:szCs w:val="22"/>
        </w:rPr>
        <w:t>, … successfully banished the word ‘poverty’ from the political lexicon for a generation.  Tony Blair rehabilitated its use in a keynote speech in 1999 [where he] committed the government to eradicating child poverty</w:t>
      </w:r>
      <w:r w:rsidR="00FD79C2">
        <w:rPr>
          <w:rFonts w:cs="Arial"/>
          <w:sz w:val="20"/>
          <w:szCs w:val="22"/>
        </w:rPr>
        <w:t xml:space="preserve"> [within a generation]’</w:t>
      </w:r>
      <w:r w:rsidR="00DC7AEC">
        <w:rPr>
          <w:rFonts w:cs="Arial"/>
          <w:sz w:val="20"/>
          <w:szCs w:val="22"/>
        </w:rPr>
        <w:t xml:space="preserve"> (Tomlinson and </w:t>
      </w:r>
      <w:smartTag w:uri="urn:schemas-microsoft-com:office:smarttags" w:element="place">
        <w:smartTag w:uri="urn:schemas-microsoft-com:office:smarttags" w:element="City">
          <w:r w:rsidR="00DC7AEC">
            <w:rPr>
              <w:rFonts w:cs="Arial"/>
              <w:sz w:val="20"/>
              <w:szCs w:val="22"/>
            </w:rPr>
            <w:t>Walker</w:t>
          </w:r>
        </w:smartTag>
      </w:smartTag>
      <w:r w:rsidR="00DC7AEC">
        <w:rPr>
          <w:rFonts w:cs="Arial"/>
          <w:sz w:val="20"/>
          <w:szCs w:val="22"/>
        </w:rPr>
        <w:t xml:space="preserve"> (2009:8)</w:t>
      </w:r>
      <w:r w:rsidR="00FD79C2">
        <w:rPr>
          <w:rFonts w:cs="Arial"/>
          <w:sz w:val="20"/>
          <w:szCs w:val="22"/>
        </w:rPr>
        <w:t xml:space="preserve">). </w:t>
      </w:r>
      <w:r w:rsidRPr="006E41BF">
        <w:rPr>
          <w:rFonts w:cs="Arial"/>
          <w:sz w:val="20"/>
          <w:szCs w:val="22"/>
        </w:rPr>
        <w:t xml:space="preserve">The </w:t>
      </w:r>
      <w:smartTag w:uri="urn:schemas-microsoft-com:office:smarttags" w:element="place">
        <w:smartTag w:uri="urn:schemas-microsoft-com:office:smarttags" w:element="country-region">
          <w:r w:rsidRPr="006E41BF">
            <w:rPr>
              <w:rFonts w:cs="Arial"/>
              <w:sz w:val="20"/>
              <w:szCs w:val="22"/>
            </w:rPr>
            <w:t>UK</w:t>
          </w:r>
        </w:smartTag>
      </w:smartTag>
      <w:r w:rsidRPr="006E41BF">
        <w:rPr>
          <w:rFonts w:cs="Arial"/>
          <w:sz w:val="20"/>
          <w:szCs w:val="22"/>
        </w:rPr>
        <w:t xml:space="preserve"> now has official measures of child poverty, </w:t>
      </w:r>
      <w:r>
        <w:rPr>
          <w:rFonts w:cs="Arial"/>
          <w:sz w:val="20"/>
          <w:szCs w:val="22"/>
        </w:rPr>
        <w:t xml:space="preserve">enshrined in the Child Poverty Act 2010 and supported by the </w:t>
      </w:r>
      <w:r w:rsidR="00FD79C2">
        <w:rPr>
          <w:rFonts w:cs="Arial"/>
          <w:sz w:val="20"/>
          <w:szCs w:val="22"/>
        </w:rPr>
        <w:t>Cameron-Clegg</w:t>
      </w:r>
      <w:r>
        <w:rPr>
          <w:rFonts w:cs="Arial"/>
          <w:sz w:val="20"/>
          <w:szCs w:val="22"/>
        </w:rPr>
        <w:t xml:space="preserve"> coalition government, albeit the chances of achieving the targets now seem remote.</w:t>
      </w:r>
      <w:r w:rsidRPr="006E41BF">
        <w:rPr>
          <w:rFonts w:cs="Arial"/>
          <w:sz w:val="20"/>
          <w:szCs w:val="22"/>
        </w:rPr>
        <w:t xml:space="preserve">  Canada has an elaborate low income measurement regime using low income cut-offs (LICOs), low income measures (LIMs) and a Market Basket Measure (MBM), but Statistics Canada has consistently noted that these are not poverty lines.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As recently as 1996, the government of the time in </w:t>
      </w:r>
      <w:smartTag w:uri="urn:schemas-microsoft-com:office:smarttags" w:element="place">
        <w:smartTag w:uri="urn:schemas-microsoft-com:office:smarttags" w:element="country-region">
          <w:r w:rsidRPr="006E41BF">
            <w:rPr>
              <w:rFonts w:cs="Arial"/>
              <w:sz w:val="20"/>
              <w:szCs w:val="22"/>
            </w:rPr>
            <w:t>New Zealand</w:t>
          </w:r>
        </w:smartTag>
      </w:smartTag>
      <w:r w:rsidRPr="006E41BF">
        <w:rPr>
          <w:rFonts w:cs="Arial"/>
          <w:sz w:val="20"/>
          <w:szCs w:val="22"/>
        </w:rPr>
        <w:t xml:space="preserve"> was openly disapproving of any poverty discourse.</w:t>
      </w:r>
      <w:r w:rsidRPr="006E41BF">
        <w:rPr>
          <w:rStyle w:val="FootnoteReference"/>
          <w:rFonts w:cs="Arial"/>
          <w:sz w:val="20"/>
          <w:szCs w:val="22"/>
        </w:rPr>
        <w:footnoteReference w:id="56"/>
      </w:r>
      <w:r w:rsidRPr="006E41BF">
        <w:rPr>
          <w:rFonts w:cs="Arial"/>
          <w:sz w:val="20"/>
          <w:szCs w:val="22"/>
        </w:rPr>
        <w:t xml:space="preserve">  However, in 2002, in the context of the Agenda for Children, the government made a commitment to eliminate child poverty, and in the Speech from the Throne in November 2005, the Governor-General described the Working for Families package as “</w:t>
      </w:r>
      <w:r w:rsidRPr="006E41BF">
        <w:rPr>
          <w:sz w:val="20"/>
        </w:rPr>
        <w:t xml:space="preserve">the biggest offensive on child poverty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 has seen for decades”</w:t>
      </w:r>
      <w:r w:rsidRPr="006E41BF">
        <w:rPr>
          <w:rFonts w:cs="Arial"/>
          <w:sz w:val="20"/>
          <w:szCs w:val="22"/>
        </w:rPr>
        <w:t>.</w:t>
      </w:r>
      <w:r w:rsidRPr="006E41BF">
        <w:rPr>
          <w:rStyle w:val="FootnoteReference"/>
          <w:rFonts w:cs="Arial"/>
          <w:sz w:val="20"/>
          <w:szCs w:val="22"/>
        </w:rPr>
        <w:t xml:space="preserve"> </w:t>
      </w:r>
      <w:r w:rsidRPr="006E41BF">
        <w:rPr>
          <w:sz w:val="20"/>
        </w:rPr>
        <w:t xml:space="preserve">  The current National-led government, like the previous Labour-led government, espouses the principle that ‘paid work is the best way to reduce child poverty’.</w:t>
      </w:r>
      <w:r>
        <w:rPr>
          <w:sz w:val="20"/>
        </w:rPr>
        <w:t xml:space="preserve">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 does not however have an official poverty measure.</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Researchers, advocacy groups and others in all the richer nations have used ‘poverty’ language and a range of poverty measures for a long time.  The growing acceptance of the discourse by governments and their agencies can be seen as helpful to the extent that it represents official recognition that some citizens are experiencing unacceptable material hardship.  It can serve to remind us all that behind the statistics are real people who are to varying degrees experiencing the stressful and demoralising exclusion from ordinary life that financial strictures and material hardship bring.  Properly understood, “use of the term ‘poverty’ carries with it an implication and moral imperative that something should be done about it” (Piachaud, 1987:161).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It is however very easy for such language to be used in a way that ignores the fact that the conceptualisation and measurement of poverty is problematic and contested.   For example it used to be said that ‘one in three children in </w:t>
      </w:r>
      <w:smartTag w:uri="urn:schemas-microsoft-com:office:smarttags" w:element="place">
        <w:smartTag w:uri="urn:schemas-microsoft-com:office:smarttags" w:element="country-region">
          <w:r w:rsidRPr="006E41BF">
            <w:rPr>
              <w:rFonts w:cs="Arial"/>
              <w:sz w:val="20"/>
              <w:szCs w:val="22"/>
            </w:rPr>
            <w:t>New Zealand</w:t>
          </w:r>
        </w:smartTag>
      </w:smartTag>
      <w:r w:rsidRPr="006E41BF">
        <w:rPr>
          <w:rFonts w:cs="Arial"/>
          <w:sz w:val="20"/>
          <w:szCs w:val="22"/>
        </w:rPr>
        <w:t xml:space="preserve"> are below the poverty line’.</w:t>
      </w:r>
      <w:r w:rsidRPr="006E41BF">
        <w:rPr>
          <w:rStyle w:val="FootnoteReference"/>
          <w:rFonts w:cs="Arial"/>
          <w:sz w:val="20"/>
          <w:szCs w:val="22"/>
        </w:rPr>
        <w:footnoteReference w:id="57"/>
      </w:r>
      <w:r w:rsidRPr="006E41BF">
        <w:rPr>
          <w:rFonts w:cs="Arial"/>
          <w:sz w:val="20"/>
          <w:szCs w:val="22"/>
        </w:rPr>
        <w:t xml:space="preserve">   This claim is really short-hand for ‘using an income measure after housing costs have been deducted, around </w:t>
      </w:r>
      <w:r w:rsidRPr="006E41BF">
        <w:rPr>
          <w:rFonts w:cs="Arial"/>
          <w:sz w:val="20"/>
          <w:szCs w:val="22"/>
        </w:rPr>
        <w:lastRenderedPageBreak/>
        <w:t>one in three children are below a threshold set at 60% of the median’.   If another measure were used, the summary sound bite would be different.  For example, on the most common measure used by the OECD, using income without deducting housing costs and a lower threshold of 50% of the median, around one in seven children were ‘below the line’</w:t>
      </w:r>
      <w:r>
        <w:rPr>
          <w:rFonts w:cs="Arial"/>
          <w:sz w:val="20"/>
          <w:szCs w:val="22"/>
        </w:rPr>
        <w:t xml:space="preserve"> at that time</w:t>
      </w:r>
      <w:r w:rsidRPr="006E41BF">
        <w:rPr>
          <w:rFonts w:cs="Arial"/>
          <w:sz w:val="20"/>
          <w:szCs w:val="22"/>
        </w:rPr>
        <w:t xml:space="preserve">, less than half the one in three rate that was commonly referred to.  These observations underline the importance of always being clear as to what measure is being used when reporting poverty rates.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All income poverty measures, even official ones, are constructs requiring judgement calls.  These calls have to be made on a range of matters which can at first sight appear to be just technical decisions but which in fact reflect or imply underlying assumptions.   There is no clear delineation between the poor and the non-poor that science can identify independent of judgment.  This is not to say that any measure will do nor that all measures are equally suspect – some are clearly more defensible and reasonable than others.  What is crucial in discussing poverty rates and trends is to identify what measure is being used, and to be aware of the different rationales for and pictures presented by the different measures.  One of the goals of this report is to encourage and contribute to that sort of </w:t>
      </w:r>
      <w:r>
        <w:rPr>
          <w:rFonts w:cs="Arial"/>
          <w:sz w:val="20"/>
          <w:szCs w:val="22"/>
        </w:rPr>
        <w:t xml:space="preserve">discussion and awareness in measuring, monitoring and better understanding ‘poverty and hardship’ in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w:t>
      </w:r>
    </w:p>
    <w:p w:rsidR="00E46063" w:rsidRPr="006E41BF" w:rsidRDefault="00E46063" w:rsidP="00E46063">
      <w:pPr>
        <w:jc w:val="both"/>
        <w:rPr>
          <w:rFonts w:cs="Arial"/>
          <w:sz w:val="20"/>
          <w:szCs w:val="22"/>
        </w:rPr>
      </w:pPr>
      <w:r w:rsidRPr="006E41BF">
        <w:rPr>
          <w:sz w:val="20"/>
        </w:rPr>
        <w:t xml:space="preserve"> </w:t>
      </w:r>
    </w:p>
    <w:p w:rsidR="00E46063" w:rsidRPr="006E41BF" w:rsidRDefault="00E46063" w:rsidP="00E46063">
      <w:pPr>
        <w:pStyle w:val="Heading2"/>
        <w:rPr>
          <w:b w:val="0"/>
          <w:sz w:val="20"/>
          <w:szCs w:val="22"/>
        </w:rPr>
      </w:pPr>
      <w:r w:rsidRPr="006E41BF">
        <w:rPr>
          <w:b w:val="0"/>
          <w:sz w:val="20"/>
          <w:szCs w:val="22"/>
        </w:rPr>
        <w:t xml:space="preserve">This section and the ones that follow:  </w:t>
      </w:r>
    </w:p>
    <w:p w:rsidR="00E46063" w:rsidRPr="006E41BF" w:rsidRDefault="00E46063" w:rsidP="00E46063">
      <w:pPr>
        <w:numPr>
          <w:ilvl w:val="0"/>
          <w:numId w:val="35"/>
        </w:numPr>
        <w:rPr>
          <w:sz w:val="20"/>
        </w:rPr>
      </w:pPr>
      <w:r w:rsidRPr="006E41BF">
        <w:rPr>
          <w:sz w:val="20"/>
        </w:rPr>
        <w:t>outline key issues involved in conceptualising and measuring poverty and hardship using household incomes</w:t>
      </w:r>
    </w:p>
    <w:p w:rsidR="00E46063" w:rsidRPr="006E41BF" w:rsidRDefault="00E46063" w:rsidP="00E46063">
      <w:pPr>
        <w:numPr>
          <w:ilvl w:val="0"/>
          <w:numId w:val="35"/>
        </w:numPr>
        <w:rPr>
          <w:sz w:val="20"/>
        </w:rPr>
      </w:pPr>
      <w:r w:rsidRPr="006E41BF">
        <w:rPr>
          <w:sz w:val="20"/>
        </w:rPr>
        <w:t>report on trends in proportions of people below various low-income thresholds, by</w:t>
      </w:r>
      <w:r>
        <w:rPr>
          <w:sz w:val="20"/>
        </w:rPr>
        <w:t>:</w:t>
      </w:r>
      <w:r w:rsidRPr="006E41BF">
        <w:rPr>
          <w:sz w:val="20"/>
        </w:rPr>
        <w:t xml:space="preserve"> </w:t>
      </w:r>
    </w:p>
    <w:p w:rsidR="00E46063" w:rsidRPr="006E41BF" w:rsidRDefault="00E46063" w:rsidP="00614C04">
      <w:pPr>
        <w:numPr>
          <w:ilvl w:val="0"/>
          <w:numId w:val="36"/>
        </w:numPr>
        <w:tabs>
          <w:tab w:val="clear" w:pos="720"/>
          <w:tab w:val="num" w:pos="1080"/>
        </w:tabs>
        <w:ind w:left="1080" w:hanging="180"/>
        <w:rPr>
          <w:sz w:val="20"/>
        </w:rPr>
      </w:pPr>
      <w:r w:rsidRPr="006E41BF">
        <w:rPr>
          <w:sz w:val="20"/>
        </w:rPr>
        <w:t>age group</w:t>
      </w:r>
    </w:p>
    <w:p w:rsidR="00E46063" w:rsidRDefault="00E46063" w:rsidP="00614C04">
      <w:pPr>
        <w:numPr>
          <w:ilvl w:val="0"/>
          <w:numId w:val="36"/>
        </w:numPr>
        <w:tabs>
          <w:tab w:val="clear" w:pos="720"/>
          <w:tab w:val="num" w:pos="1080"/>
        </w:tabs>
        <w:ind w:left="1080" w:hanging="180"/>
        <w:rPr>
          <w:sz w:val="20"/>
        </w:rPr>
      </w:pPr>
      <w:r>
        <w:rPr>
          <w:sz w:val="20"/>
        </w:rPr>
        <w:t>ethnicity (to a limited extent)</w:t>
      </w:r>
    </w:p>
    <w:p w:rsidR="00E46063" w:rsidRPr="006E41BF" w:rsidRDefault="00E46063" w:rsidP="00614C04">
      <w:pPr>
        <w:numPr>
          <w:ilvl w:val="0"/>
          <w:numId w:val="36"/>
        </w:numPr>
        <w:tabs>
          <w:tab w:val="clear" w:pos="720"/>
          <w:tab w:val="num" w:pos="1080"/>
        </w:tabs>
        <w:ind w:left="1080" w:hanging="180"/>
        <w:rPr>
          <w:sz w:val="20"/>
        </w:rPr>
      </w:pPr>
      <w:r w:rsidRPr="006E41BF">
        <w:rPr>
          <w:sz w:val="20"/>
        </w:rPr>
        <w:t>household and family type</w:t>
      </w:r>
    </w:p>
    <w:p w:rsidR="00E46063" w:rsidRDefault="00E46063" w:rsidP="00614C04">
      <w:pPr>
        <w:numPr>
          <w:ilvl w:val="0"/>
          <w:numId w:val="36"/>
        </w:numPr>
        <w:tabs>
          <w:tab w:val="clear" w:pos="720"/>
          <w:tab w:val="num" w:pos="1080"/>
        </w:tabs>
        <w:ind w:left="1080" w:hanging="180"/>
        <w:rPr>
          <w:sz w:val="20"/>
        </w:rPr>
      </w:pPr>
      <w:r w:rsidRPr="006E41BF">
        <w:rPr>
          <w:sz w:val="20"/>
        </w:rPr>
        <w:t>labour market status</w:t>
      </w:r>
    </w:p>
    <w:p w:rsidR="00E46063" w:rsidRDefault="00E46063" w:rsidP="00614C04">
      <w:pPr>
        <w:numPr>
          <w:ilvl w:val="0"/>
          <w:numId w:val="36"/>
        </w:numPr>
        <w:tabs>
          <w:tab w:val="clear" w:pos="720"/>
          <w:tab w:val="num" w:pos="1080"/>
        </w:tabs>
        <w:ind w:left="1080" w:hanging="180"/>
        <w:rPr>
          <w:sz w:val="20"/>
        </w:rPr>
      </w:pPr>
      <w:r>
        <w:rPr>
          <w:sz w:val="20"/>
        </w:rPr>
        <w:t>tenure</w:t>
      </w:r>
    </w:p>
    <w:p w:rsidR="00E46063" w:rsidRDefault="00E46063" w:rsidP="00E46063">
      <w:pPr>
        <w:numPr>
          <w:ilvl w:val="0"/>
          <w:numId w:val="35"/>
        </w:numPr>
        <w:rPr>
          <w:sz w:val="20"/>
        </w:rPr>
      </w:pPr>
      <w:r>
        <w:rPr>
          <w:sz w:val="20"/>
        </w:rPr>
        <w:t xml:space="preserve">summarise findings on income mobility and poverty persistence from recent research using longitudinal income data from the Survey of Families, Income and Employment </w:t>
      </w:r>
    </w:p>
    <w:p w:rsidR="00E46063" w:rsidRPr="006E41BF" w:rsidRDefault="00E46063" w:rsidP="00E46063">
      <w:pPr>
        <w:numPr>
          <w:ilvl w:val="0"/>
          <w:numId w:val="35"/>
        </w:numPr>
        <w:rPr>
          <w:sz w:val="20"/>
        </w:rPr>
      </w:pPr>
      <w:r w:rsidRPr="006E41BF">
        <w:rPr>
          <w:sz w:val="20"/>
        </w:rPr>
        <w:t>report international comparisons on income poverty</w:t>
      </w:r>
    </w:p>
    <w:p w:rsidR="00E46063" w:rsidRPr="006E41BF" w:rsidRDefault="00E46063" w:rsidP="00E46063">
      <w:pPr>
        <w:numPr>
          <w:ilvl w:val="0"/>
          <w:numId w:val="35"/>
        </w:numPr>
        <w:rPr>
          <w:sz w:val="20"/>
        </w:rPr>
      </w:pPr>
      <w:r w:rsidRPr="006E41BF">
        <w:rPr>
          <w:sz w:val="20"/>
        </w:rPr>
        <w:t>provide an integrated account of the findin</w:t>
      </w:r>
      <w:r>
        <w:rPr>
          <w:sz w:val="20"/>
        </w:rPr>
        <w:t>gs on poverty and hardship using both household incomes and non-income measures.</w:t>
      </w:r>
    </w:p>
    <w:p w:rsidR="00E46063" w:rsidRPr="00522ED3" w:rsidRDefault="00E46063" w:rsidP="00E46063">
      <w:pPr>
        <w:rPr>
          <w:sz w:val="18"/>
          <w:szCs w:val="18"/>
        </w:rPr>
      </w:pPr>
    </w:p>
    <w:bookmarkEnd w:id="94"/>
    <w:p w:rsidR="00E46063" w:rsidRPr="00522ED3" w:rsidRDefault="00E46063" w:rsidP="00E46063">
      <w:pPr>
        <w:pStyle w:val="Heading2"/>
        <w:rPr>
          <w:b w:val="0"/>
          <w:sz w:val="18"/>
          <w:szCs w:val="18"/>
        </w:rPr>
      </w:pPr>
    </w:p>
    <w:p w:rsidR="00E46063" w:rsidRPr="006E41BF" w:rsidRDefault="00E46063" w:rsidP="00E46063">
      <w:pPr>
        <w:pStyle w:val="Heading2"/>
        <w:rPr>
          <w:sz w:val="24"/>
        </w:rPr>
      </w:pPr>
      <w:r w:rsidRPr="006E41BF">
        <w:rPr>
          <w:sz w:val="24"/>
        </w:rPr>
        <w:t>What is meant by ‘poverty’ in richer nations</w:t>
      </w:r>
    </w:p>
    <w:p w:rsidR="00E46063" w:rsidRPr="006E41BF" w:rsidRDefault="00E46063" w:rsidP="00E46063">
      <w:pPr>
        <w:pStyle w:val="Heading3"/>
        <w:rPr>
          <w:sz w:val="20"/>
        </w:rPr>
      </w:pPr>
    </w:p>
    <w:p w:rsidR="00E46063" w:rsidRPr="006E41BF" w:rsidRDefault="00E46063" w:rsidP="00E46063">
      <w:pPr>
        <w:jc w:val="both"/>
        <w:rPr>
          <w:sz w:val="20"/>
        </w:rPr>
      </w:pPr>
      <w:r w:rsidRPr="006E41BF">
        <w:rPr>
          <w:sz w:val="20"/>
        </w:rPr>
        <w:t>The understanding of poverty and the associated measurement approach used in this report is narrowly focused.  It is about ‘unacceptable material hardship’ arising from limited financial resources, and the insights about this that can be gleaned from a large-scale national survey.</w:t>
      </w:r>
    </w:p>
    <w:p w:rsidR="00E46063" w:rsidRPr="006E41BF" w:rsidRDefault="00E46063" w:rsidP="00E46063">
      <w:pPr>
        <w:rPr>
          <w:sz w:val="20"/>
        </w:rPr>
      </w:pPr>
    </w:p>
    <w:p w:rsidR="00E46063" w:rsidRPr="006E41BF" w:rsidRDefault="00E46063" w:rsidP="00E46063">
      <w:pPr>
        <w:jc w:val="both"/>
        <w:rPr>
          <w:sz w:val="20"/>
        </w:rPr>
      </w:pPr>
      <w:r w:rsidRPr="006E41BF">
        <w:rPr>
          <w:sz w:val="20"/>
        </w:rPr>
        <w:t xml:space="preserve">This is a legitimate focus, but in pursuing it it is important to be aware that there is much more to ‘poverty’ than what can be measured (albeit imperfectly) through analysis of data from income or deprivation surveys.  These can tell us about the material core (‘unacceptable material hardship’), but a different type of research is needed to give insight into how this unacceptable hardship is experienced and understood.  </w:t>
      </w:r>
    </w:p>
    <w:p w:rsidR="00E46063" w:rsidRPr="006E41BF" w:rsidRDefault="00E46063" w:rsidP="00E46063">
      <w:pPr>
        <w:tabs>
          <w:tab w:val="right" w:pos="8010"/>
        </w:tabs>
        <w:ind w:left="720" w:right="648"/>
        <w:jc w:val="both"/>
        <w:rPr>
          <w:sz w:val="18"/>
        </w:rPr>
      </w:pPr>
    </w:p>
    <w:p w:rsidR="00E46063" w:rsidRDefault="00E46063" w:rsidP="00DC7AEC">
      <w:pPr>
        <w:tabs>
          <w:tab w:val="right" w:pos="8100"/>
        </w:tabs>
        <w:spacing w:line="220" w:lineRule="exact"/>
        <w:ind w:left="720" w:right="646"/>
        <w:jc w:val="both"/>
        <w:rPr>
          <w:sz w:val="18"/>
        </w:rPr>
      </w:pPr>
      <w:r w:rsidRPr="006E41BF">
        <w:rPr>
          <w:sz w:val="18"/>
        </w:rPr>
        <w:t xml:space="preserve">What is at issue here is the non-material as well as the material manifestations of poverty.  Poverty has to be understood not just as a disadvantaged and insecure economic </w:t>
      </w:r>
      <w:r w:rsidRPr="006E41BF">
        <w:rPr>
          <w:i/>
          <w:sz w:val="18"/>
        </w:rPr>
        <w:t>condition</w:t>
      </w:r>
      <w:r w:rsidRPr="006E41BF">
        <w:rPr>
          <w:sz w:val="18"/>
        </w:rPr>
        <w:t xml:space="preserve"> but also as a shameful and corrosive social </w:t>
      </w:r>
      <w:r w:rsidRPr="006E41BF">
        <w:rPr>
          <w:i/>
          <w:sz w:val="18"/>
        </w:rPr>
        <w:t>relation</w:t>
      </w:r>
      <w:r w:rsidRPr="006E41BF">
        <w:rPr>
          <w:sz w:val="18"/>
        </w:rPr>
        <w:t xml:space="preserve"> …  [The non-material aspects include] … lack of voice; disrespect, humiliation and assault on dignity and self-esteem; shame and stigma; powerlessness; denial of rights and diminished citizenship … They stem from people in poverty’s everyday interactions with the wider society and from the way they are talked about and treated by politicians, officials, the media and other influential bodies.</w:t>
      </w:r>
      <w:r w:rsidRPr="006E41BF">
        <w:rPr>
          <w:sz w:val="18"/>
        </w:rPr>
        <w:tab/>
      </w:r>
    </w:p>
    <w:p w:rsidR="00E46063" w:rsidRPr="006E41BF" w:rsidRDefault="00E46063" w:rsidP="00E46063">
      <w:pPr>
        <w:tabs>
          <w:tab w:val="right" w:pos="8100"/>
        </w:tabs>
        <w:spacing w:before="60"/>
        <w:ind w:left="720" w:right="648"/>
        <w:jc w:val="right"/>
        <w:rPr>
          <w:sz w:val="18"/>
        </w:rPr>
      </w:pPr>
      <w:r w:rsidRPr="006E41BF">
        <w:rPr>
          <w:sz w:val="18"/>
        </w:rPr>
        <w:t>Lister (2004:7)</w:t>
      </w:r>
    </w:p>
    <w:p w:rsidR="00E46063" w:rsidRDefault="00E46063" w:rsidP="00E46063">
      <w:pPr>
        <w:pStyle w:val="Heading3"/>
        <w:rPr>
          <w:sz w:val="20"/>
        </w:rPr>
      </w:pPr>
      <w:bookmarkStart w:id="95" w:name="_Toc115142516"/>
    </w:p>
    <w:p w:rsidR="00522ED3" w:rsidRDefault="00522ED3" w:rsidP="00DC7AEC">
      <w:pPr>
        <w:spacing w:line="220" w:lineRule="exact"/>
        <w:ind w:left="709" w:right="663"/>
        <w:jc w:val="both"/>
        <w:rPr>
          <w:sz w:val="18"/>
          <w:szCs w:val="18"/>
        </w:rPr>
      </w:pPr>
      <w:r w:rsidRPr="00522ED3">
        <w:rPr>
          <w:sz w:val="18"/>
          <w:szCs w:val="18"/>
        </w:rPr>
        <w:t>What people on low incomes report is a situation of great complexity in which the pressures they face are cumulative</w:t>
      </w:r>
      <w:r>
        <w:rPr>
          <w:sz w:val="18"/>
          <w:szCs w:val="18"/>
        </w:rPr>
        <w:t xml:space="preserve">.  Basics become luxuries that have to be prioritised and saved for.  Solutions to one problem create problems of their own, as when saving on heating exacerbates illness and borrowing from the rent money generates arrears and threats of eviction.  Poverty feels like entrapment when options are always lacking, the future is </w:t>
      </w:r>
      <w:r>
        <w:rPr>
          <w:sz w:val="18"/>
          <w:szCs w:val="18"/>
        </w:rPr>
        <w:lastRenderedPageBreak/>
        <w:t>looming and unpredictable, and guilt seems ever present, arising from an inability to meet one’s children’s needs, one’s own expectations and society’s demands</w:t>
      </w:r>
      <w:r w:rsidR="00DC7AEC">
        <w:rPr>
          <w:sz w:val="18"/>
          <w:szCs w:val="18"/>
        </w:rPr>
        <w:t>.</w:t>
      </w:r>
    </w:p>
    <w:p w:rsidR="00DC7AEC" w:rsidRPr="00522ED3" w:rsidRDefault="00DC7AEC" w:rsidP="00DC7AEC">
      <w:pPr>
        <w:tabs>
          <w:tab w:val="right" w:pos="8080"/>
        </w:tabs>
        <w:spacing w:line="220" w:lineRule="exact"/>
        <w:ind w:left="709" w:right="663"/>
        <w:jc w:val="both"/>
        <w:rPr>
          <w:sz w:val="18"/>
          <w:szCs w:val="18"/>
        </w:rPr>
      </w:pPr>
      <w:r>
        <w:rPr>
          <w:sz w:val="18"/>
          <w:szCs w:val="18"/>
        </w:rPr>
        <w:tab/>
        <w:t>Tomlinson and Walker (2009:16)</w:t>
      </w:r>
    </w:p>
    <w:p w:rsidR="00522ED3" w:rsidRDefault="00522ED3" w:rsidP="00522ED3"/>
    <w:p w:rsidR="00522ED3" w:rsidRPr="00522ED3" w:rsidRDefault="00522ED3" w:rsidP="00522ED3"/>
    <w:p w:rsidR="00E46063" w:rsidRPr="006E41BF" w:rsidRDefault="00E46063" w:rsidP="00E46063">
      <w:pPr>
        <w:pStyle w:val="Heading3"/>
        <w:rPr>
          <w:sz w:val="20"/>
        </w:rPr>
      </w:pPr>
      <w:r w:rsidRPr="006E41BF">
        <w:rPr>
          <w:sz w:val="20"/>
        </w:rPr>
        <w:t>Relative disadvantage</w:t>
      </w:r>
      <w:bookmarkEnd w:id="91"/>
      <w:bookmarkEnd w:id="92"/>
      <w:bookmarkEnd w:id="93"/>
      <w:bookmarkEnd w:id="95"/>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When talking about poverty or material hardship in the context of the richer nations, people are usually referring to relative disadvantage. Relative disadvantage means that, in comparison to others in the population, a person has a day-to</w:t>
      </w:r>
      <w:r w:rsidRPr="006E41BF">
        <w:rPr>
          <w:rFonts w:cs="Arial"/>
          <w:sz w:val="20"/>
          <w:szCs w:val="22"/>
        </w:rPr>
        <w:softHyphen/>
        <w:t>-day standard of living or access to resources that falls below a minimum acceptable community standard.  In contrast, ‘absolute’ poverty refers to very basic minimal needs, such as food</w:t>
      </w:r>
      <w:r>
        <w:rPr>
          <w:rFonts w:cs="Arial"/>
          <w:sz w:val="20"/>
          <w:szCs w:val="22"/>
        </w:rPr>
        <w:t>, clean water</w:t>
      </w:r>
      <w:r w:rsidRPr="006E41BF">
        <w:rPr>
          <w:rFonts w:cs="Arial"/>
          <w:sz w:val="20"/>
          <w:szCs w:val="22"/>
        </w:rPr>
        <w:t xml:space="preserve"> and shelter, which a person requires just to</w:t>
      </w:r>
      <w:r>
        <w:rPr>
          <w:rFonts w:cs="Arial"/>
          <w:sz w:val="20"/>
          <w:szCs w:val="22"/>
        </w:rPr>
        <w:t xml:space="preserve"> (physically)</w:t>
      </w:r>
      <w:r w:rsidRPr="006E41BF">
        <w:rPr>
          <w:rFonts w:cs="Arial"/>
          <w:sz w:val="20"/>
          <w:szCs w:val="22"/>
        </w:rPr>
        <w:t xml:space="preserve"> survive. </w:t>
      </w:r>
    </w:p>
    <w:p w:rsidR="00E46063" w:rsidRPr="006E41BF" w:rsidRDefault="00E46063" w:rsidP="00E46063">
      <w:pPr>
        <w:jc w:val="both"/>
        <w:rPr>
          <w:rFonts w:cs="Arial"/>
          <w:sz w:val="20"/>
          <w:szCs w:val="22"/>
        </w:rPr>
      </w:pPr>
    </w:p>
    <w:p w:rsidR="00E46063" w:rsidRPr="006E41BF" w:rsidRDefault="00E46063" w:rsidP="00E46063">
      <w:pPr>
        <w:tabs>
          <w:tab w:val="right" w:pos="8100"/>
        </w:tabs>
        <w:spacing w:line="220" w:lineRule="exact"/>
        <w:ind w:left="720" w:right="648"/>
        <w:jc w:val="both"/>
        <w:rPr>
          <w:rFonts w:cs="Arial"/>
          <w:i/>
          <w:sz w:val="20"/>
        </w:rPr>
      </w:pPr>
      <w:r w:rsidRPr="006E41BF">
        <w:rPr>
          <w:rFonts w:cs="Arial"/>
          <w:sz w:val="18"/>
        </w:rPr>
        <w:t>Most of the poor in OECD countries today … would be judged rich by the ‘dollar-a-day’ definition widely used to measure poverty in the developing world.  Similarly, the poor of the OECD today – judged by standards of nutrition, sanitation, water supply, health care, housing, heating, clothing, education and transport – are richer than the wealthiest lord or merchant of the Middle Age</w:t>
      </w:r>
      <w:r w:rsidRPr="006E41BF">
        <w:rPr>
          <w:rFonts w:cs="Arial"/>
          <w:i/>
          <w:sz w:val="18"/>
        </w:rPr>
        <w:t>s.</w:t>
      </w:r>
      <w:r w:rsidRPr="006E41BF">
        <w:rPr>
          <w:rFonts w:cs="Arial"/>
          <w:i/>
          <w:sz w:val="20"/>
        </w:rPr>
        <w:t xml:space="preserve">   </w:t>
      </w:r>
      <w:r w:rsidRPr="006E41BF">
        <w:rPr>
          <w:rFonts w:cs="Arial"/>
          <w:i/>
          <w:sz w:val="20"/>
        </w:rPr>
        <w:tab/>
      </w:r>
      <w:r w:rsidRPr="006E41BF">
        <w:rPr>
          <w:rFonts w:cs="Arial"/>
          <w:sz w:val="18"/>
        </w:rPr>
        <w:t>UNICEF (2005: 6)</w:t>
      </w:r>
    </w:p>
    <w:p w:rsidR="00E46063" w:rsidRPr="006E41BF" w:rsidRDefault="00E46063" w:rsidP="00E46063">
      <w:pPr>
        <w:jc w:val="both"/>
        <w:rPr>
          <w:rFonts w:cs="Arial"/>
          <w:sz w:val="20"/>
          <w:szCs w:val="22"/>
        </w:rPr>
      </w:pPr>
    </w:p>
    <w:p w:rsidR="00E46063" w:rsidRPr="006E41BF" w:rsidRDefault="00E46063" w:rsidP="00E46063">
      <w:pPr>
        <w:ind w:right="29"/>
        <w:jc w:val="both"/>
        <w:rPr>
          <w:i/>
          <w:sz w:val="18"/>
        </w:rPr>
      </w:pPr>
      <w:r w:rsidRPr="006E41BF">
        <w:rPr>
          <w:sz w:val="20"/>
          <w:szCs w:val="22"/>
        </w:rPr>
        <w:t xml:space="preserve">In this report poverty is understood as </w:t>
      </w:r>
      <w:r w:rsidRPr="006E41BF">
        <w:rPr>
          <w:i/>
          <w:sz w:val="20"/>
          <w:szCs w:val="22"/>
        </w:rPr>
        <w:t>exclusion from the minimum acceptable way of life in one’s own society because of inadequate resources</w:t>
      </w:r>
      <w:r w:rsidRPr="006E41BF">
        <w:rPr>
          <w:sz w:val="20"/>
          <w:szCs w:val="22"/>
        </w:rPr>
        <w:t>.  The definition is explicitly relative, and includes both resources and outcome elements.</w:t>
      </w:r>
      <w:r w:rsidRPr="006E41BF">
        <w:rPr>
          <w:rStyle w:val="FootnoteReference"/>
          <w:sz w:val="20"/>
          <w:szCs w:val="22"/>
        </w:rPr>
        <w:footnoteReference w:id="58"/>
      </w:r>
    </w:p>
    <w:p w:rsidR="00E46063" w:rsidRPr="006E41BF" w:rsidRDefault="00E46063" w:rsidP="00E46063">
      <w:pPr>
        <w:jc w:val="both"/>
        <w:rPr>
          <w:rFonts w:cs="Arial"/>
          <w:b/>
          <w:sz w:val="20"/>
          <w:szCs w:val="22"/>
        </w:rPr>
      </w:pPr>
    </w:p>
    <w:p w:rsidR="00E46063" w:rsidRPr="006E41BF" w:rsidRDefault="00E46063" w:rsidP="00E46063">
      <w:pPr>
        <w:jc w:val="both"/>
        <w:rPr>
          <w:rFonts w:cs="Arial"/>
          <w:b/>
          <w:sz w:val="20"/>
          <w:szCs w:val="22"/>
        </w:rPr>
      </w:pPr>
      <w:r w:rsidRPr="006E41BF">
        <w:rPr>
          <w:rFonts w:cs="Arial"/>
          <w:b/>
          <w:sz w:val="20"/>
          <w:szCs w:val="22"/>
        </w:rPr>
        <w:t>Resources or outcomes?</w:t>
      </w:r>
    </w:p>
    <w:p w:rsidR="00E46063" w:rsidRPr="006E41BF" w:rsidRDefault="00E46063" w:rsidP="00E46063">
      <w:pPr>
        <w:jc w:val="both"/>
        <w:rPr>
          <w:sz w:val="20"/>
          <w:szCs w:val="22"/>
        </w:rPr>
      </w:pPr>
    </w:p>
    <w:p w:rsidR="00E46063" w:rsidRPr="006E41BF" w:rsidRDefault="00E46063" w:rsidP="00E46063">
      <w:pPr>
        <w:jc w:val="both"/>
        <w:rPr>
          <w:rFonts w:cs="Arial"/>
          <w:sz w:val="20"/>
          <w:szCs w:val="22"/>
        </w:rPr>
      </w:pPr>
      <w:r w:rsidRPr="006E41BF">
        <w:rPr>
          <w:sz w:val="20"/>
          <w:szCs w:val="22"/>
        </w:rPr>
        <w:t>While this definition (or something similar) is “the most commonly used definition in the industrialised world” (UNICEF 2000:6), it</w:t>
      </w:r>
      <w:r w:rsidRPr="006E41BF">
        <w:rPr>
          <w:rFonts w:cs="Arial"/>
          <w:sz w:val="20"/>
          <w:szCs w:val="22"/>
        </w:rPr>
        <w:t xml:space="preserve"> leaves open the question as to which aspect is primary – the inadequate resources or the restricted day-to-day living standards?</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The general high-level observation that having inadequate resources leads to exclusion from a minimum acceptable way of life is not in dispute, but there are differing views as to which is the primary conceptualisation of poverty.  When the focus is on the outcome (ie low living standards), income measures of limited resources are seen as only indirect measures of poverty.  It is on this basis that those in households below conventional income thresholds are referred to not as ‘in poverty’ but rather ‘at risk of poverty’ (as in the EU).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On the other hand when the focus is on income and equality of opportunity, low living standards can be seen to be a consequence of income poverty, although other factors may play a part too (recall Figure A.1 in the Introduction). </w:t>
      </w:r>
    </w:p>
    <w:p w:rsidR="00E46063" w:rsidRPr="006E41BF" w:rsidRDefault="00E46063" w:rsidP="00E46063">
      <w:pPr>
        <w:jc w:val="both"/>
        <w:rPr>
          <w:rFonts w:cs="Arial"/>
          <w:b/>
          <w:sz w:val="20"/>
          <w:szCs w:val="22"/>
        </w:rPr>
      </w:pPr>
    </w:p>
    <w:p w:rsidR="00E46063" w:rsidRDefault="00FD79C2" w:rsidP="00E46063">
      <w:pPr>
        <w:jc w:val="both"/>
        <w:rPr>
          <w:rFonts w:cs="Arial"/>
          <w:sz w:val="20"/>
          <w:szCs w:val="22"/>
        </w:rPr>
      </w:pPr>
      <w:r>
        <w:rPr>
          <w:rFonts w:cs="Arial"/>
          <w:b/>
          <w:sz w:val="20"/>
          <w:szCs w:val="22"/>
        </w:rPr>
        <w:br w:type="page"/>
      </w:r>
      <w:r w:rsidR="00E46063" w:rsidRPr="006E41BF">
        <w:rPr>
          <w:rFonts w:cs="Arial"/>
          <w:b/>
          <w:sz w:val="20"/>
          <w:szCs w:val="22"/>
        </w:rPr>
        <w:lastRenderedPageBreak/>
        <w:t>Table E.1</w:t>
      </w:r>
      <w:r w:rsidR="00E46063" w:rsidRPr="006E41BF">
        <w:rPr>
          <w:rFonts w:cs="Arial"/>
          <w:sz w:val="20"/>
          <w:szCs w:val="22"/>
        </w:rPr>
        <w:t xml:space="preserve"> summarises the difference of perspective that comes from emphasising one or the other.  </w:t>
      </w:r>
    </w:p>
    <w:p w:rsidR="00FD79C2" w:rsidRPr="006E41BF" w:rsidRDefault="00FD79C2" w:rsidP="00E46063">
      <w:pPr>
        <w:jc w:val="both"/>
        <w:rPr>
          <w:rFonts w:cs="Arial"/>
          <w:b/>
          <w:sz w:val="18"/>
        </w:rPr>
      </w:pPr>
    </w:p>
    <w:p w:rsidR="00E46063" w:rsidRPr="006E41BF" w:rsidRDefault="00E46063" w:rsidP="00E46063">
      <w:pPr>
        <w:jc w:val="center"/>
        <w:outlineLvl w:val="0"/>
        <w:rPr>
          <w:rFonts w:cs="Arial"/>
          <w:b/>
          <w:sz w:val="18"/>
        </w:rPr>
      </w:pPr>
      <w:r w:rsidRPr="006E41BF">
        <w:rPr>
          <w:rFonts w:cs="Arial"/>
          <w:b/>
          <w:sz w:val="18"/>
        </w:rPr>
        <w:t>Table E.1</w:t>
      </w:r>
    </w:p>
    <w:p w:rsidR="00E46063" w:rsidRPr="006E41BF" w:rsidRDefault="00E46063" w:rsidP="00E46063">
      <w:pPr>
        <w:jc w:val="center"/>
        <w:outlineLvl w:val="0"/>
        <w:rPr>
          <w:rFonts w:cs="Arial"/>
          <w:b/>
          <w:sz w:val="18"/>
        </w:rPr>
      </w:pPr>
      <w:r w:rsidRPr="006E41BF">
        <w:rPr>
          <w:rFonts w:cs="Arial"/>
          <w:b/>
          <w:sz w:val="18"/>
        </w:rPr>
        <w:t>Comparison of the two approaches to poverty conceptualisation and measurement</w:t>
      </w:r>
    </w:p>
    <w:p w:rsidR="00E46063" w:rsidRPr="00681EAB" w:rsidRDefault="00E46063" w:rsidP="00E46063">
      <w:pPr>
        <w:jc w:val="both"/>
        <w:rPr>
          <w:sz w:val="16"/>
          <w:szCs w:val="16"/>
        </w:rPr>
      </w:pP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
        <w:gridCol w:w="2278"/>
        <w:gridCol w:w="349"/>
        <w:gridCol w:w="2328"/>
        <w:gridCol w:w="349"/>
        <w:gridCol w:w="2621"/>
        <w:gridCol w:w="349"/>
      </w:tblGrid>
      <w:tr w:rsidR="00E46063" w:rsidRPr="00B22ADD">
        <w:tblPrEx>
          <w:tblCellMar>
            <w:top w:w="0" w:type="dxa"/>
            <w:bottom w:w="0" w:type="dxa"/>
          </w:tblCellMar>
        </w:tblPrEx>
        <w:trPr>
          <w:gridAfter w:val="1"/>
          <w:wAfter w:w="349" w:type="dxa"/>
          <w:trHeight w:hRule="exact" w:val="550"/>
          <w:jc w:val="center"/>
        </w:trPr>
        <w:tc>
          <w:tcPr>
            <w:tcW w:w="2627" w:type="dxa"/>
            <w:gridSpan w:val="2"/>
            <w:vAlign w:val="center"/>
          </w:tcPr>
          <w:p w:rsidR="00E46063" w:rsidRPr="00B22ADD" w:rsidRDefault="00E46063" w:rsidP="00614C04">
            <w:pPr>
              <w:spacing w:before="60" w:after="60"/>
              <w:jc w:val="both"/>
              <w:rPr>
                <w:sz w:val="16"/>
                <w:szCs w:val="16"/>
              </w:rPr>
            </w:pPr>
          </w:p>
        </w:tc>
        <w:tc>
          <w:tcPr>
            <w:tcW w:w="2677" w:type="dxa"/>
            <w:gridSpan w:val="2"/>
            <w:vAlign w:val="center"/>
          </w:tcPr>
          <w:p w:rsidR="00E46063" w:rsidRPr="00B22ADD" w:rsidRDefault="00E46063" w:rsidP="00614C04">
            <w:pPr>
              <w:spacing w:before="60" w:after="60"/>
              <w:jc w:val="center"/>
              <w:rPr>
                <w:b/>
                <w:sz w:val="16"/>
                <w:szCs w:val="16"/>
              </w:rPr>
            </w:pPr>
            <w:r w:rsidRPr="00B22ADD">
              <w:rPr>
                <w:b/>
                <w:sz w:val="16"/>
                <w:szCs w:val="16"/>
              </w:rPr>
              <w:t>Resources or input perspective</w:t>
            </w:r>
          </w:p>
        </w:tc>
        <w:tc>
          <w:tcPr>
            <w:tcW w:w="2970" w:type="dxa"/>
            <w:gridSpan w:val="2"/>
            <w:vAlign w:val="center"/>
          </w:tcPr>
          <w:p w:rsidR="00E46063" w:rsidRPr="00B22ADD" w:rsidRDefault="00E46063" w:rsidP="00614C04">
            <w:pPr>
              <w:spacing w:before="60" w:after="60"/>
              <w:jc w:val="center"/>
              <w:rPr>
                <w:b/>
                <w:sz w:val="16"/>
                <w:szCs w:val="16"/>
              </w:rPr>
            </w:pPr>
            <w:r w:rsidRPr="00B22ADD">
              <w:rPr>
                <w:b/>
                <w:sz w:val="16"/>
                <w:szCs w:val="16"/>
              </w:rPr>
              <w:t>Living standards or outcomes perspective</w:t>
            </w:r>
          </w:p>
        </w:tc>
      </w:tr>
      <w:tr w:rsidR="00E46063" w:rsidRPr="00B22ADD">
        <w:tblPrEx>
          <w:tblCellMar>
            <w:top w:w="0" w:type="dxa"/>
            <w:bottom w:w="0" w:type="dxa"/>
          </w:tblCellMar>
        </w:tblPrEx>
        <w:trPr>
          <w:gridAfter w:val="1"/>
          <w:wAfter w:w="349" w:type="dxa"/>
          <w:trHeight w:hRule="exact" w:val="442"/>
          <w:jc w:val="center"/>
        </w:trPr>
        <w:tc>
          <w:tcPr>
            <w:tcW w:w="2627" w:type="dxa"/>
            <w:gridSpan w:val="2"/>
            <w:vAlign w:val="center"/>
          </w:tcPr>
          <w:p w:rsidR="00E46063" w:rsidRPr="00B22ADD" w:rsidRDefault="00E46063" w:rsidP="00614C04">
            <w:pPr>
              <w:jc w:val="both"/>
              <w:rPr>
                <w:sz w:val="16"/>
                <w:szCs w:val="16"/>
              </w:rPr>
            </w:pPr>
            <w:r w:rsidRPr="00B22ADD">
              <w:rPr>
                <w:sz w:val="16"/>
                <w:szCs w:val="16"/>
              </w:rPr>
              <w:t>The agreed process is that …</w:t>
            </w:r>
          </w:p>
        </w:tc>
        <w:tc>
          <w:tcPr>
            <w:tcW w:w="2677" w:type="dxa"/>
            <w:gridSpan w:val="2"/>
            <w:vAlign w:val="center"/>
          </w:tcPr>
          <w:p w:rsidR="00E46063" w:rsidRPr="00B22ADD" w:rsidRDefault="00E46063" w:rsidP="00614C04">
            <w:pPr>
              <w:jc w:val="center"/>
              <w:rPr>
                <w:sz w:val="16"/>
                <w:szCs w:val="16"/>
              </w:rPr>
            </w:pPr>
            <w:r w:rsidRPr="00B22ADD">
              <w:rPr>
                <w:sz w:val="16"/>
                <w:szCs w:val="16"/>
              </w:rPr>
              <w:t>lack of resources leads to …</w:t>
            </w:r>
          </w:p>
        </w:tc>
        <w:tc>
          <w:tcPr>
            <w:tcW w:w="2970" w:type="dxa"/>
            <w:gridSpan w:val="2"/>
            <w:vAlign w:val="center"/>
          </w:tcPr>
          <w:p w:rsidR="00E46063" w:rsidRPr="00B22ADD" w:rsidRDefault="00E46063" w:rsidP="00614C04">
            <w:pPr>
              <w:jc w:val="center"/>
              <w:rPr>
                <w:sz w:val="16"/>
                <w:szCs w:val="16"/>
              </w:rPr>
            </w:pPr>
            <w:r w:rsidRPr="00B22ADD">
              <w:rPr>
                <w:sz w:val="16"/>
                <w:szCs w:val="16"/>
              </w:rPr>
              <w:t xml:space="preserve">exclusion from a minimum </w:t>
            </w:r>
          </w:p>
          <w:p w:rsidR="00E46063" w:rsidRPr="00B22ADD" w:rsidRDefault="00E46063" w:rsidP="00614C04">
            <w:pPr>
              <w:jc w:val="center"/>
              <w:rPr>
                <w:sz w:val="16"/>
                <w:szCs w:val="16"/>
              </w:rPr>
            </w:pPr>
            <w:r w:rsidRPr="00B22ADD">
              <w:rPr>
                <w:sz w:val="16"/>
                <w:szCs w:val="16"/>
              </w:rPr>
              <w:t>way of life</w:t>
            </w:r>
          </w:p>
        </w:tc>
      </w:tr>
      <w:tr w:rsidR="00E46063" w:rsidRPr="00B22ADD">
        <w:tblPrEx>
          <w:tblCellMar>
            <w:top w:w="0" w:type="dxa"/>
            <w:bottom w:w="0" w:type="dxa"/>
          </w:tblCellMar>
        </w:tblPrEx>
        <w:trPr>
          <w:gridAfter w:val="1"/>
          <w:wAfter w:w="349" w:type="dxa"/>
          <w:trHeight w:hRule="exact" w:val="370"/>
          <w:jc w:val="center"/>
        </w:trPr>
        <w:tc>
          <w:tcPr>
            <w:tcW w:w="2627" w:type="dxa"/>
            <w:gridSpan w:val="2"/>
            <w:vAlign w:val="center"/>
          </w:tcPr>
          <w:p w:rsidR="00E46063" w:rsidRPr="00B22ADD" w:rsidRDefault="00E46063" w:rsidP="00614C04">
            <w:pPr>
              <w:jc w:val="both"/>
              <w:rPr>
                <w:sz w:val="16"/>
                <w:szCs w:val="16"/>
              </w:rPr>
            </w:pPr>
            <w:r w:rsidRPr="00B22ADD">
              <w:rPr>
                <w:sz w:val="16"/>
                <w:szCs w:val="16"/>
              </w:rPr>
              <w:t>Primary measure</w:t>
            </w:r>
          </w:p>
        </w:tc>
        <w:tc>
          <w:tcPr>
            <w:tcW w:w="2677" w:type="dxa"/>
            <w:gridSpan w:val="2"/>
            <w:vAlign w:val="center"/>
          </w:tcPr>
          <w:p w:rsidR="00E46063" w:rsidRPr="00B22ADD" w:rsidRDefault="00E46063" w:rsidP="00614C04">
            <w:pPr>
              <w:jc w:val="center"/>
              <w:rPr>
                <w:sz w:val="16"/>
                <w:szCs w:val="16"/>
              </w:rPr>
            </w:pPr>
            <w:r>
              <w:rPr>
                <w:sz w:val="16"/>
                <w:szCs w:val="16"/>
              </w:rPr>
              <w:t>c</w:t>
            </w:r>
            <w:r w:rsidRPr="00B22ADD">
              <w:rPr>
                <w:sz w:val="16"/>
                <w:szCs w:val="16"/>
              </w:rPr>
              <w:t>urrent income</w:t>
            </w:r>
          </w:p>
        </w:tc>
        <w:tc>
          <w:tcPr>
            <w:tcW w:w="2970" w:type="dxa"/>
            <w:gridSpan w:val="2"/>
            <w:vAlign w:val="center"/>
          </w:tcPr>
          <w:p w:rsidR="00E46063" w:rsidRPr="00B22ADD" w:rsidRDefault="00E46063" w:rsidP="00614C04">
            <w:pPr>
              <w:jc w:val="center"/>
              <w:rPr>
                <w:sz w:val="16"/>
                <w:szCs w:val="16"/>
              </w:rPr>
            </w:pPr>
            <w:r>
              <w:rPr>
                <w:sz w:val="16"/>
                <w:szCs w:val="16"/>
              </w:rPr>
              <w:t>d</w:t>
            </w:r>
            <w:r w:rsidRPr="00B22ADD">
              <w:rPr>
                <w:sz w:val="16"/>
                <w:szCs w:val="16"/>
              </w:rPr>
              <w:t>eprivation indicators</w:t>
            </w:r>
          </w:p>
        </w:tc>
      </w:tr>
      <w:tr w:rsidR="00E46063" w:rsidRPr="00681EAB">
        <w:tblPrEx>
          <w:tblCellMar>
            <w:top w:w="0" w:type="dxa"/>
            <w:bottom w:w="0" w:type="dxa"/>
          </w:tblCellMar>
        </w:tblPrEx>
        <w:trPr>
          <w:gridBefore w:val="1"/>
          <w:wBefore w:w="349" w:type="dxa"/>
          <w:trHeight w:hRule="exact" w:val="532"/>
          <w:jc w:val="center"/>
        </w:trPr>
        <w:tc>
          <w:tcPr>
            <w:tcW w:w="2627" w:type="dxa"/>
            <w:gridSpan w:val="2"/>
            <w:shd w:val="clear" w:color="auto" w:fill="auto"/>
            <w:vAlign w:val="center"/>
          </w:tcPr>
          <w:p w:rsidR="00E46063" w:rsidRPr="00B22ADD" w:rsidRDefault="00E46063" w:rsidP="00614C04">
            <w:pPr>
              <w:jc w:val="both"/>
              <w:rPr>
                <w:sz w:val="16"/>
                <w:szCs w:val="16"/>
              </w:rPr>
            </w:pPr>
            <w:r w:rsidRPr="00B22ADD">
              <w:rPr>
                <w:sz w:val="16"/>
                <w:szCs w:val="16"/>
              </w:rPr>
              <w:t>If the resource perspective is the focus, then …</w:t>
            </w:r>
          </w:p>
        </w:tc>
        <w:tc>
          <w:tcPr>
            <w:tcW w:w="2677" w:type="dxa"/>
            <w:gridSpan w:val="2"/>
            <w:vAlign w:val="center"/>
          </w:tcPr>
          <w:p w:rsidR="00E46063" w:rsidRPr="00B22ADD" w:rsidRDefault="00E46063" w:rsidP="00614C04">
            <w:pPr>
              <w:jc w:val="center"/>
              <w:rPr>
                <w:sz w:val="16"/>
                <w:szCs w:val="16"/>
              </w:rPr>
            </w:pPr>
            <w:r w:rsidRPr="00B22ADD">
              <w:rPr>
                <w:sz w:val="16"/>
                <w:szCs w:val="16"/>
              </w:rPr>
              <w:t>‘poverty’ is about unacceptably low income</w:t>
            </w:r>
          </w:p>
        </w:tc>
        <w:tc>
          <w:tcPr>
            <w:tcW w:w="2970" w:type="dxa"/>
            <w:gridSpan w:val="2"/>
            <w:vAlign w:val="center"/>
          </w:tcPr>
          <w:p w:rsidR="00E46063" w:rsidRPr="00B22ADD" w:rsidRDefault="00E46063" w:rsidP="00614C04">
            <w:pPr>
              <w:jc w:val="center"/>
              <w:rPr>
                <w:sz w:val="16"/>
                <w:szCs w:val="16"/>
              </w:rPr>
            </w:pPr>
            <w:r w:rsidRPr="00B22ADD">
              <w:rPr>
                <w:sz w:val="16"/>
                <w:szCs w:val="16"/>
              </w:rPr>
              <w:t>and low living standards is seen as the outcome of poverty</w:t>
            </w:r>
          </w:p>
        </w:tc>
      </w:tr>
      <w:tr w:rsidR="00E46063" w:rsidRPr="00681EAB">
        <w:tblPrEx>
          <w:tblCellMar>
            <w:top w:w="0" w:type="dxa"/>
            <w:bottom w:w="0" w:type="dxa"/>
          </w:tblCellMar>
        </w:tblPrEx>
        <w:trPr>
          <w:gridBefore w:val="1"/>
          <w:wBefore w:w="349" w:type="dxa"/>
          <w:trHeight w:hRule="exact" w:val="622"/>
          <w:jc w:val="center"/>
        </w:trPr>
        <w:tc>
          <w:tcPr>
            <w:tcW w:w="2627" w:type="dxa"/>
            <w:gridSpan w:val="2"/>
            <w:shd w:val="clear" w:color="auto" w:fill="auto"/>
            <w:vAlign w:val="center"/>
          </w:tcPr>
          <w:p w:rsidR="00E46063" w:rsidRPr="00B22ADD" w:rsidRDefault="00E46063" w:rsidP="00614C04">
            <w:pPr>
              <w:jc w:val="both"/>
              <w:rPr>
                <w:sz w:val="16"/>
                <w:szCs w:val="16"/>
              </w:rPr>
            </w:pPr>
            <w:r w:rsidRPr="00B22ADD">
              <w:rPr>
                <w:sz w:val="16"/>
                <w:szCs w:val="16"/>
              </w:rPr>
              <w:t>If the outcomes perspective is the focus, then …</w:t>
            </w:r>
          </w:p>
        </w:tc>
        <w:tc>
          <w:tcPr>
            <w:tcW w:w="2677" w:type="dxa"/>
            <w:gridSpan w:val="2"/>
            <w:vAlign w:val="center"/>
          </w:tcPr>
          <w:p w:rsidR="00E46063" w:rsidRPr="00B22ADD" w:rsidRDefault="00E46063" w:rsidP="00614C04">
            <w:pPr>
              <w:jc w:val="center"/>
              <w:rPr>
                <w:sz w:val="16"/>
                <w:szCs w:val="16"/>
              </w:rPr>
            </w:pPr>
            <w:r w:rsidRPr="00B22ADD">
              <w:rPr>
                <w:sz w:val="16"/>
                <w:szCs w:val="16"/>
              </w:rPr>
              <w:t>unacceptably low income is seen as a prime cause of poverty</w:t>
            </w:r>
          </w:p>
        </w:tc>
        <w:tc>
          <w:tcPr>
            <w:tcW w:w="2970" w:type="dxa"/>
            <w:gridSpan w:val="2"/>
            <w:vAlign w:val="center"/>
          </w:tcPr>
          <w:p w:rsidR="00E46063" w:rsidRPr="00B22ADD" w:rsidRDefault="00E46063" w:rsidP="00614C04">
            <w:pPr>
              <w:jc w:val="center"/>
              <w:rPr>
                <w:sz w:val="16"/>
                <w:szCs w:val="16"/>
              </w:rPr>
            </w:pPr>
            <w:r w:rsidRPr="00B22ADD">
              <w:rPr>
                <w:sz w:val="16"/>
                <w:szCs w:val="16"/>
              </w:rPr>
              <w:t>but ‘poverty’ is essentially about unacceptably low day-to-day living standards</w:t>
            </w:r>
          </w:p>
        </w:tc>
      </w:tr>
      <w:tr w:rsidR="00E46063" w:rsidRPr="00681EAB">
        <w:tblPrEx>
          <w:tblCellMar>
            <w:top w:w="0" w:type="dxa"/>
            <w:bottom w:w="0" w:type="dxa"/>
          </w:tblCellMar>
        </w:tblPrEx>
        <w:trPr>
          <w:gridBefore w:val="1"/>
          <w:wBefore w:w="349" w:type="dxa"/>
          <w:trHeight w:hRule="exact" w:val="370"/>
          <w:jc w:val="center"/>
        </w:trPr>
        <w:tc>
          <w:tcPr>
            <w:tcW w:w="2627" w:type="dxa"/>
            <w:gridSpan w:val="2"/>
            <w:vAlign w:val="center"/>
          </w:tcPr>
          <w:p w:rsidR="00E46063" w:rsidRPr="00B22ADD" w:rsidRDefault="00E46063" w:rsidP="00614C04">
            <w:pPr>
              <w:jc w:val="both"/>
              <w:rPr>
                <w:sz w:val="16"/>
                <w:szCs w:val="16"/>
              </w:rPr>
            </w:pPr>
            <w:r w:rsidRPr="00B22ADD">
              <w:rPr>
                <w:sz w:val="16"/>
                <w:szCs w:val="16"/>
              </w:rPr>
              <w:t>Policy perspective</w:t>
            </w:r>
          </w:p>
        </w:tc>
        <w:tc>
          <w:tcPr>
            <w:tcW w:w="2677" w:type="dxa"/>
            <w:gridSpan w:val="2"/>
            <w:vAlign w:val="center"/>
          </w:tcPr>
          <w:p w:rsidR="00E46063" w:rsidRPr="00B22ADD" w:rsidRDefault="00E46063" w:rsidP="00614C04">
            <w:pPr>
              <w:jc w:val="center"/>
              <w:rPr>
                <w:sz w:val="16"/>
                <w:szCs w:val="16"/>
              </w:rPr>
            </w:pPr>
            <w:r w:rsidRPr="00B22ADD">
              <w:rPr>
                <w:sz w:val="16"/>
                <w:szCs w:val="16"/>
              </w:rPr>
              <w:t>(In)equality of opportunity</w:t>
            </w:r>
          </w:p>
        </w:tc>
        <w:tc>
          <w:tcPr>
            <w:tcW w:w="2970" w:type="dxa"/>
            <w:gridSpan w:val="2"/>
            <w:vAlign w:val="center"/>
          </w:tcPr>
          <w:p w:rsidR="00E46063" w:rsidRPr="00B22ADD" w:rsidRDefault="00E46063" w:rsidP="00614C04">
            <w:pPr>
              <w:jc w:val="center"/>
              <w:rPr>
                <w:sz w:val="16"/>
                <w:szCs w:val="16"/>
              </w:rPr>
            </w:pPr>
            <w:r w:rsidRPr="00B22ADD">
              <w:rPr>
                <w:sz w:val="16"/>
                <w:szCs w:val="16"/>
              </w:rPr>
              <w:t>(In)equality of outcome</w:t>
            </w:r>
          </w:p>
        </w:tc>
      </w:tr>
    </w:tbl>
    <w:p w:rsidR="00E46063" w:rsidRPr="0009419D" w:rsidRDefault="00E46063" w:rsidP="00E46063">
      <w:pPr>
        <w:spacing w:before="120"/>
        <w:ind w:left="360"/>
        <w:jc w:val="both"/>
        <w:rPr>
          <w:sz w:val="18"/>
          <w:szCs w:val="18"/>
        </w:rPr>
      </w:pPr>
      <w:r w:rsidRPr="0009419D">
        <w:rPr>
          <w:sz w:val="18"/>
          <w:szCs w:val="18"/>
        </w:rPr>
        <w:t>Adapted from Perry (2002</w:t>
      </w:r>
      <w:r>
        <w:rPr>
          <w:sz w:val="18"/>
          <w:szCs w:val="18"/>
        </w:rPr>
        <w:t>) Table 4,</w:t>
      </w:r>
      <w:r w:rsidRPr="0009419D">
        <w:rPr>
          <w:sz w:val="18"/>
          <w:szCs w:val="18"/>
        </w:rPr>
        <w:t xml:space="preserve"> and Berthoud et al (2006)</w:t>
      </w:r>
      <w:r>
        <w:rPr>
          <w:sz w:val="18"/>
          <w:szCs w:val="18"/>
        </w:rPr>
        <w:t xml:space="preserve"> Figure 1.2.</w:t>
      </w:r>
    </w:p>
    <w:p w:rsidR="00E46063" w:rsidRDefault="00E46063" w:rsidP="00E46063">
      <w:pPr>
        <w:jc w:val="both"/>
        <w:rPr>
          <w:rFonts w:cs="Arial"/>
          <w:szCs w:val="22"/>
        </w:rPr>
      </w:pPr>
    </w:p>
    <w:p w:rsidR="00E46063" w:rsidRPr="006E41BF" w:rsidRDefault="00E46063" w:rsidP="00E46063">
      <w:pPr>
        <w:ind w:right="29"/>
        <w:jc w:val="both"/>
        <w:rPr>
          <w:rFonts w:cs="Arial"/>
          <w:sz w:val="20"/>
          <w:szCs w:val="22"/>
        </w:rPr>
      </w:pPr>
      <w:r w:rsidRPr="006E41BF">
        <w:rPr>
          <w:rFonts w:cs="Arial"/>
          <w:sz w:val="20"/>
          <w:szCs w:val="22"/>
        </w:rPr>
        <w:t xml:space="preserve">This </w:t>
      </w:r>
      <w:r>
        <w:rPr>
          <w:rFonts w:cs="Arial"/>
          <w:sz w:val="20"/>
          <w:szCs w:val="22"/>
        </w:rPr>
        <w:t>report</w:t>
      </w:r>
      <w:r w:rsidRPr="006E41BF">
        <w:rPr>
          <w:rFonts w:cs="Arial"/>
          <w:sz w:val="20"/>
          <w:szCs w:val="22"/>
        </w:rPr>
        <w:t xml:space="preserve"> takes the view that both approaches have their place and that debate about primacy is not helpful as poverty and hardship (even understood more narrowly as being about the ‘material core’) are multi-dimensional and require a range of indicators to better describe their many aspects, and to help understand their causes and longer-term impacts.   Each approach has its limitations.  This is not an indecisive dollar-each-way position but one that is deliberately taken both on conceptual grounds and also on empirical grounds.  </w:t>
      </w:r>
    </w:p>
    <w:p w:rsidR="00E46063" w:rsidRPr="006E41BF" w:rsidRDefault="00E46063" w:rsidP="00E46063">
      <w:pPr>
        <w:ind w:right="29"/>
        <w:jc w:val="both"/>
        <w:rPr>
          <w:rFonts w:cs="Arial"/>
          <w:sz w:val="20"/>
          <w:szCs w:val="22"/>
        </w:rPr>
      </w:pPr>
    </w:p>
    <w:p w:rsidR="00E46063" w:rsidRPr="006E41BF" w:rsidRDefault="00E46063" w:rsidP="00E46063">
      <w:pPr>
        <w:ind w:right="29"/>
        <w:jc w:val="both"/>
        <w:rPr>
          <w:rFonts w:cs="Arial"/>
          <w:sz w:val="20"/>
          <w:szCs w:val="22"/>
        </w:rPr>
      </w:pPr>
      <w:r w:rsidRPr="006E41BF">
        <w:rPr>
          <w:rFonts w:cs="Arial"/>
          <w:sz w:val="20"/>
          <w:szCs w:val="22"/>
        </w:rPr>
        <w:t xml:space="preserve">For example, it is well-established that there is a significant mismatch between poverty measured using a current income approach and poverty measured using deprivation indices or other measures of unacceptably low living standards.  The overlap is only of the order of </w:t>
      </w:r>
      <w:r>
        <w:rPr>
          <w:rFonts w:cs="Arial"/>
          <w:sz w:val="20"/>
          <w:szCs w:val="22"/>
        </w:rPr>
        <w:t>4</w:t>
      </w:r>
      <w:r w:rsidR="00522ED3">
        <w:rPr>
          <w:rFonts w:cs="Arial"/>
          <w:sz w:val="20"/>
          <w:szCs w:val="22"/>
        </w:rPr>
        <w:t>0-50%</w:t>
      </w:r>
      <w:r>
        <w:rPr>
          <w:rFonts w:cs="Arial"/>
          <w:sz w:val="20"/>
          <w:szCs w:val="22"/>
        </w:rPr>
        <w:t xml:space="preserve"> for the population as a whole</w:t>
      </w:r>
      <w:r w:rsidRPr="006E41BF">
        <w:rPr>
          <w:rFonts w:cs="Arial"/>
          <w:sz w:val="20"/>
          <w:szCs w:val="22"/>
        </w:rPr>
        <w:t>.</w:t>
      </w:r>
      <w:r w:rsidRPr="006E41BF">
        <w:rPr>
          <w:rStyle w:val="FootnoteReference"/>
          <w:rFonts w:cs="Arial"/>
          <w:sz w:val="20"/>
          <w:szCs w:val="22"/>
        </w:rPr>
        <w:footnoteReference w:id="59"/>
      </w:r>
      <w:r w:rsidRPr="006E41BF">
        <w:rPr>
          <w:rFonts w:cs="Arial"/>
          <w:sz w:val="20"/>
          <w:szCs w:val="22"/>
        </w:rPr>
        <w:t xml:space="preserve">  This is hardly surprising given that day-to-day living standards are determined by much more than current income (see Figure A.1 in the Introduction).</w:t>
      </w:r>
    </w:p>
    <w:p w:rsidR="00E46063" w:rsidRPr="006E41BF" w:rsidRDefault="00E46063" w:rsidP="00E46063">
      <w:pPr>
        <w:rPr>
          <w:sz w:val="20"/>
        </w:rPr>
      </w:pPr>
    </w:p>
    <w:p w:rsidR="00E46063" w:rsidRPr="006E41BF" w:rsidRDefault="00E46063" w:rsidP="00E46063">
      <w:pPr>
        <w:ind w:right="-25"/>
        <w:jc w:val="both"/>
        <w:rPr>
          <w:rFonts w:cs="Arial"/>
          <w:sz w:val="20"/>
          <w:szCs w:val="22"/>
        </w:rPr>
      </w:pPr>
      <w:r w:rsidRPr="006E41BF">
        <w:rPr>
          <w:rFonts w:cs="Arial"/>
          <w:sz w:val="20"/>
          <w:szCs w:val="22"/>
        </w:rPr>
        <w:t xml:space="preserve">The Ministry of Social Development has developed an Economic Living Standards Index (ELSI) to more directly monitor the living standards of New Zealanders in their day-to-day lives.  </w:t>
      </w:r>
      <w:smartTag w:uri="urn:schemas-microsoft-com:office:smarttags" w:element="stockticker">
        <w:r w:rsidRPr="006E41BF">
          <w:rPr>
            <w:rFonts w:cs="Arial"/>
            <w:sz w:val="20"/>
            <w:szCs w:val="22"/>
          </w:rPr>
          <w:t>ELSI</w:t>
        </w:r>
      </w:smartTag>
      <w:r w:rsidRPr="006E41BF">
        <w:rPr>
          <w:rFonts w:cs="Arial"/>
          <w:sz w:val="20"/>
          <w:szCs w:val="22"/>
        </w:rPr>
        <w:t xml:space="preserve">-based findings sit alongside the findings from income-based analyses such as in this report and together they give a more textured and comprehensive assessment of the material wellbeing of </w:t>
      </w:r>
      <w:smartTag w:uri="urn:schemas-microsoft-com:office:smarttags" w:element="place">
        <w:smartTag w:uri="urn:schemas-microsoft-com:office:smarttags" w:element="country-region">
          <w:r w:rsidRPr="006E41BF">
            <w:rPr>
              <w:rFonts w:cs="Arial"/>
              <w:sz w:val="20"/>
              <w:szCs w:val="22"/>
            </w:rPr>
            <w:t>New Zealand</w:t>
          </w:r>
        </w:smartTag>
      </w:smartTag>
      <w:r w:rsidRPr="006E41BF">
        <w:rPr>
          <w:rFonts w:cs="Arial"/>
          <w:sz w:val="20"/>
          <w:szCs w:val="22"/>
        </w:rPr>
        <w:t xml:space="preserve"> citizens.</w:t>
      </w:r>
      <w:r w:rsidRPr="006E41BF">
        <w:rPr>
          <w:rStyle w:val="FootnoteReference"/>
          <w:rFonts w:cs="Arial"/>
          <w:sz w:val="20"/>
          <w:szCs w:val="22"/>
        </w:rPr>
        <w:t xml:space="preserve"> </w:t>
      </w:r>
      <w:r w:rsidRPr="006E41BF">
        <w:rPr>
          <w:rStyle w:val="FootnoteReference"/>
          <w:rFonts w:cs="Arial"/>
          <w:sz w:val="20"/>
          <w:szCs w:val="22"/>
        </w:rPr>
        <w:footnoteReference w:id="60"/>
      </w:r>
    </w:p>
    <w:p w:rsidR="00E46063" w:rsidRPr="006E41BF" w:rsidRDefault="00E46063" w:rsidP="00E46063">
      <w:pPr>
        <w:pStyle w:val="Heading3"/>
        <w:rPr>
          <w:sz w:val="24"/>
          <w:szCs w:val="28"/>
        </w:rPr>
      </w:pPr>
      <w:r>
        <w:rPr>
          <w:sz w:val="28"/>
          <w:szCs w:val="28"/>
        </w:rPr>
        <w:br w:type="page"/>
      </w:r>
      <w:r w:rsidRPr="006E41BF">
        <w:rPr>
          <w:sz w:val="24"/>
          <w:szCs w:val="28"/>
        </w:rPr>
        <w:lastRenderedPageBreak/>
        <w:t>Constructing measures of income poverty</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Reported levels of income poverty and the direction of trends over time depend not only on changes in the economic circumstances of families and households but also on the specific measure used to produce the poverty numbers.</w:t>
      </w:r>
    </w:p>
    <w:p w:rsidR="00E46063" w:rsidRPr="006E41BF" w:rsidRDefault="00E46063" w:rsidP="00E46063">
      <w:pPr>
        <w:jc w:val="both"/>
        <w:rPr>
          <w:rFonts w:cs="Arial"/>
          <w:sz w:val="20"/>
          <w:szCs w:val="22"/>
        </w:rPr>
      </w:pPr>
    </w:p>
    <w:p w:rsidR="00E46063" w:rsidRPr="006E41BF" w:rsidRDefault="00E46063" w:rsidP="00E46063">
      <w:pPr>
        <w:jc w:val="both"/>
        <w:rPr>
          <w:rFonts w:cs="Arial"/>
          <w:b/>
          <w:sz w:val="20"/>
          <w:szCs w:val="22"/>
        </w:rPr>
      </w:pPr>
      <w:r w:rsidRPr="006E41BF">
        <w:rPr>
          <w:rFonts w:cs="Arial"/>
          <w:b/>
          <w:sz w:val="20"/>
          <w:szCs w:val="22"/>
        </w:rPr>
        <w:t>Key decisions in constructing a measure</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The general approach to using household incomes to give headcount measures of poverty and hardship is well-established.   Each household member is assigned the equivalised disposable income of their household as an indicator of their (potential) living standards and individuals in the population are ranked accordingly.  One or more poverty thresholds are decided on, the numbers below these cut-offs are counted and the numbers or proportions ‘in poverty’ are reported.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Within this general approach there are however a range of decisions on key issues that can make a significant difference to what is reported for levels or trends in poverty numbers, and in the composition of the group identified as poor.  Different measures reflect the different decisions at key points on such matters as:</w:t>
      </w:r>
    </w:p>
    <w:p w:rsidR="00E46063" w:rsidRPr="006E41BF" w:rsidRDefault="00E46063" w:rsidP="00614C04">
      <w:pPr>
        <w:numPr>
          <w:ilvl w:val="0"/>
          <w:numId w:val="37"/>
        </w:numPr>
        <w:tabs>
          <w:tab w:val="clear" w:pos="720"/>
          <w:tab w:val="num" w:pos="630"/>
        </w:tabs>
        <w:spacing w:before="120"/>
        <w:ind w:left="634" w:hanging="274"/>
        <w:jc w:val="both"/>
        <w:rPr>
          <w:rFonts w:cs="Arial"/>
          <w:sz w:val="20"/>
          <w:szCs w:val="22"/>
        </w:rPr>
      </w:pPr>
      <w:r w:rsidRPr="006E41BF">
        <w:rPr>
          <w:rFonts w:cs="Arial"/>
          <w:sz w:val="20"/>
          <w:szCs w:val="22"/>
        </w:rPr>
        <w:t xml:space="preserve">whether to use incomes before or after </w:t>
      </w:r>
      <w:r>
        <w:rPr>
          <w:rFonts w:cs="Arial"/>
          <w:sz w:val="20"/>
          <w:szCs w:val="22"/>
        </w:rPr>
        <w:t>deducting</w:t>
      </w:r>
      <w:r w:rsidRPr="006E41BF">
        <w:rPr>
          <w:rFonts w:cs="Arial"/>
          <w:sz w:val="20"/>
          <w:szCs w:val="22"/>
        </w:rPr>
        <w:t xml:space="preserve"> housing costs (</w:t>
      </w:r>
      <w:smartTag w:uri="urn:schemas-microsoft-com:office:smarttags" w:element="stockticker">
        <w:r w:rsidRPr="006E41BF">
          <w:rPr>
            <w:rFonts w:cs="Arial"/>
            <w:sz w:val="20"/>
            <w:szCs w:val="22"/>
          </w:rPr>
          <w:t>BHC</w:t>
        </w:r>
      </w:smartTag>
      <w:r w:rsidRPr="006E41BF">
        <w:rPr>
          <w:rFonts w:cs="Arial"/>
          <w:sz w:val="20"/>
          <w:szCs w:val="22"/>
        </w:rPr>
        <w:t xml:space="preserve"> or </w:t>
      </w:r>
      <w:smartTag w:uri="urn:schemas-microsoft-com:office:smarttags" w:element="stockticker">
        <w:r w:rsidRPr="006E41BF">
          <w:rPr>
            <w:rFonts w:cs="Arial"/>
            <w:sz w:val="20"/>
            <w:szCs w:val="22"/>
          </w:rPr>
          <w:t>AHC</w:t>
        </w:r>
      </w:smartTag>
      <w:r w:rsidRPr="006E41BF">
        <w:rPr>
          <w:rFonts w:cs="Arial"/>
          <w:sz w:val="20"/>
          <w:szCs w:val="22"/>
        </w:rPr>
        <w:t>)</w:t>
      </w:r>
    </w:p>
    <w:p w:rsidR="00E46063" w:rsidRPr="006E41BF" w:rsidRDefault="00E46063" w:rsidP="00614C04">
      <w:pPr>
        <w:numPr>
          <w:ilvl w:val="0"/>
          <w:numId w:val="37"/>
        </w:numPr>
        <w:tabs>
          <w:tab w:val="clear" w:pos="720"/>
          <w:tab w:val="num" w:pos="630"/>
        </w:tabs>
        <w:spacing w:before="120"/>
        <w:ind w:left="634" w:hanging="274"/>
        <w:jc w:val="both"/>
        <w:rPr>
          <w:rFonts w:cs="Arial"/>
          <w:sz w:val="20"/>
          <w:szCs w:val="22"/>
        </w:rPr>
      </w:pPr>
      <w:r w:rsidRPr="006E41BF">
        <w:rPr>
          <w:rFonts w:cs="Arial"/>
          <w:sz w:val="20"/>
          <w:szCs w:val="22"/>
        </w:rPr>
        <w:t xml:space="preserve">which equivalence scale to use, reflecting different judgments about factors such as the strength of the economies of scale as household size increases, and the relative weight to be given to children compared with adults </w:t>
      </w:r>
    </w:p>
    <w:p w:rsidR="00E46063" w:rsidRPr="006E41BF" w:rsidRDefault="00E46063" w:rsidP="00614C04">
      <w:pPr>
        <w:numPr>
          <w:ilvl w:val="0"/>
          <w:numId w:val="37"/>
        </w:numPr>
        <w:tabs>
          <w:tab w:val="clear" w:pos="720"/>
          <w:tab w:val="num" w:pos="630"/>
        </w:tabs>
        <w:spacing w:before="120"/>
        <w:ind w:left="634" w:hanging="274"/>
        <w:jc w:val="both"/>
        <w:rPr>
          <w:rFonts w:cs="Arial"/>
          <w:sz w:val="20"/>
          <w:szCs w:val="22"/>
        </w:rPr>
      </w:pPr>
      <w:r w:rsidRPr="006E41BF">
        <w:rPr>
          <w:rFonts w:cs="Arial"/>
          <w:sz w:val="20"/>
          <w:szCs w:val="22"/>
        </w:rPr>
        <w:t>where to draw thresholds (poverty lines) that are consistent with a minimum acceptable standard of living, all else equal</w:t>
      </w:r>
    </w:p>
    <w:p w:rsidR="00E46063" w:rsidRPr="006E41BF" w:rsidRDefault="00E46063" w:rsidP="00614C04">
      <w:pPr>
        <w:numPr>
          <w:ilvl w:val="0"/>
          <w:numId w:val="37"/>
        </w:numPr>
        <w:tabs>
          <w:tab w:val="clear" w:pos="720"/>
          <w:tab w:val="num" w:pos="630"/>
        </w:tabs>
        <w:spacing w:before="120"/>
        <w:ind w:left="634" w:hanging="274"/>
        <w:jc w:val="both"/>
        <w:rPr>
          <w:rFonts w:cs="Arial"/>
          <w:sz w:val="20"/>
          <w:szCs w:val="22"/>
        </w:rPr>
      </w:pPr>
      <w:r w:rsidRPr="006E41BF">
        <w:rPr>
          <w:rFonts w:cs="Arial"/>
          <w:sz w:val="20"/>
          <w:szCs w:val="22"/>
        </w:rPr>
        <w:t>how to update the thresholds from one survey to the next.</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Different decisions on the first three matters generally lead to different poverty </w:t>
      </w:r>
      <w:r w:rsidRPr="006E41BF">
        <w:rPr>
          <w:rFonts w:cs="Arial"/>
          <w:sz w:val="20"/>
          <w:szCs w:val="22"/>
          <w:u w:val="single"/>
        </w:rPr>
        <w:t>levels</w:t>
      </w:r>
      <w:r w:rsidRPr="006E41BF">
        <w:rPr>
          <w:rFonts w:cs="Arial"/>
          <w:sz w:val="20"/>
          <w:szCs w:val="22"/>
        </w:rPr>
        <w:t xml:space="preserve"> being reported at a given time and some difference in the reported </w:t>
      </w:r>
      <w:r w:rsidRPr="006E41BF">
        <w:rPr>
          <w:rFonts w:cs="Arial"/>
          <w:sz w:val="20"/>
          <w:szCs w:val="22"/>
          <w:u w:val="single"/>
        </w:rPr>
        <w:t>composition</w:t>
      </w:r>
      <w:r w:rsidRPr="006E41BF">
        <w:rPr>
          <w:rFonts w:cs="Arial"/>
          <w:sz w:val="20"/>
          <w:szCs w:val="22"/>
        </w:rPr>
        <w:t xml:space="preserve"> of those identified as poor.  However the general </w:t>
      </w:r>
      <w:r w:rsidRPr="006E41BF">
        <w:rPr>
          <w:rFonts w:cs="Arial"/>
          <w:sz w:val="20"/>
          <w:szCs w:val="22"/>
          <w:u w:val="single"/>
        </w:rPr>
        <w:t>trends</w:t>
      </w:r>
      <w:r w:rsidRPr="006E41BF">
        <w:rPr>
          <w:rFonts w:cs="Arial"/>
          <w:sz w:val="20"/>
          <w:szCs w:val="22"/>
        </w:rPr>
        <w:t xml:space="preserve"> over time tend to be not greatly affected by the choices made for these three factors.  This paper reports sensitivity analysis for the different choices made on these issues.</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One factor that does have a significant effect on reported trends in income poverty (and the level at a given time) is the decision about how to adjust the low-income threshold(s) over time. There are two common ways in which this adjustment is made and they differ in how they assess whether an improvement has occurred in a household’s income circumstances:  </w:t>
      </w:r>
    </w:p>
    <w:p w:rsidR="00E46063" w:rsidRPr="006E41BF" w:rsidRDefault="00E46063" w:rsidP="00614C04">
      <w:pPr>
        <w:numPr>
          <w:ilvl w:val="0"/>
          <w:numId w:val="39"/>
        </w:numPr>
        <w:tabs>
          <w:tab w:val="clear" w:pos="1440"/>
          <w:tab w:val="num" w:pos="630"/>
        </w:tabs>
        <w:spacing w:before="120"/>
        <w:ind w:left="634" w:hanging="274"/>
        <w:jc w:val="both"/>
        <w:rPr>
          <w:rFonts w:cs="Arial"/>
          <w:sz w:val="20"/>
          <w:szCs w:val="22"/>
        </w:rPr>
      </w:pPr>
      <w:r w:rsidRPr="006E41BF">
        <w:rPr>
          <w:rFonts w:cs="Arial"/>
          <w:sz w:val="20"/>
          <w:szCs w:val="22"/>
        </w:rPr>
        <w:t>one approach considers that a low-income household has improved its situation when its income rises in real terms, irrespective of what is happening to the incomes of othe</w:t>
      </w:r>
      <w:r>
        <w:rPr>
          <w:rFonts w:cs="Arial"/>
          <w:sz w:val="20"/>
          <w:szCs w:val="22"/>
        </w:rPr>
        <w:t xml:space="preserve">r households - the ‘fixed line’, ‘anchored’, </w:t>
      </w:r>
      <w:r w:rsidRPr="006E41BF">
        <w:rPr>
          <w:rFonts w:cs="Arial"/>
          <w:sz w:val="20"/>
          <w:szCs w:val="22"/>
        </w:rPr>
        <w:t xml:space="preserve">or ‘constant-value (CV)’ approach;  </w:t>
      </w:r>
    </w:p>
    <w:p w:rsidR="00E46063" w:rsidRPr="006E41BF" w:rsidRDefault="00E46063" w:rsidP="00614C04">
      <w:pPr>
        <w:numPr>
          <w:ilvl w:val="0"/>
          <w:numId w:val="39"/>
        </w:numPr>
        <w:tabs>
          <w:tab w:val="clear" w:pos="1440"/>
          <w:tab w:val="num" w:pos="630"/>
        </w:tabs>
        <w:spacing w:before="120"/>
        <w:ind w:left="634" w:hanging="274"/>
        <w:jc w:val="both"/>
        <w:rPr>
          <w:rFonts w:cs="Arial"/>
          <w:sz w:val="20"/>
          <w:szCs w:val="22"/>
        </w:rPr>
      </w:pPr>
      <w:r w:rsidRPr="006E41BF">
        <w:rPr>
          <w:rFonts w:cs="Arial"/>
          <w:sz w:val="20"/>
          <w:szCs w:val="22"/>
        </w:rPr>
        <w:t>the other uses the median household as the reference and an improvement is considered to have occurred when a poor household moves closer to the median – the ‘moving line’ or ‘relative (</w:t>
      </w:r>
      <w:smartTag w:uri="urn:schemas-microsoft-com:office:smarttags" w:element="stockticker">
        <w:r w:rsidRPr="006E41BF">
          <w:rPr>
            <w:rFonts w:cs="Arial"/>
            <w:sz w:val="20"/>
            <w:szCs w:val="22"/>
          </w:rPr>
          <w:t>REL</w:t>
        </w:r>
      </w:smartTag>
      <w:r w:rsidRPr="006E41BF">
        <w:rPr>
          <w:rFonts w:cs="Arial"/>
          <w:sz w:val="20"/>
          <w:szCs w:val="22"/>
        </w:rPr>
        <w:t>)’ approach.</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These two approaches are discussed below.</w:t>
      </w:r>
      <w:bookmarkStart w:id="96" w:name="_Toc105985448"/>
      <w:bookmarkStart w:id="97" w:name="_Toc106002523"/>
      <w:bookmarkStart w:id="98" w:name="_Toc106071864"/>
      <w:bookmarkStart w:id="99" w:name="_Toc115142519"/>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p>
    <w:p w:rsidR="00E46063" w:rsidRPr="006E41BF" w:rsidRDefault="00E46063" w:rsidP="00E46063">
      <w:pPr>
        <w:jc w:val="center"/>
        <w:rPr>
          <w:rFonts w:cs="Arial"/>
          <w:b/>
          <w:sz w:val="18"/>
        </w:rPr>
      </w:pPr>
    </w:p>
    <w:p w:rsidR="00E46063" w:rsidRPr="006E41BF" w:rsidRDefault="00E46063" w:rsidP="00E46063">
      <w:pPr>
        <w:jc w:val="both"/>
        <w:rPr>
          <w:b/>
          <w:sz w:val="20"/>
        </w:rPr>
      </w:pPr>
      <w:r w:rsidRPr="006E41BF">
        <w:rPr>
          <w:rFonts w:cs="Arial"/>
          <w:b/>
          <w:sz w:val="18"/>
        </w:rPr>
        <w:br w:type="page"/>
      </w:r>
      <w:r w:rsidRPr="006E41BF">
        <w:rPr>
          <w:b/>
          <w:sz w:val="20"/>
        </w:rPr>
        <w:lastRenderedPageBreak/>
        <w:t xml:space="preserve">Using fixed line and moving line thresholds to adjust thresholds over time </w:t>
      </w:r>
      <w:bookmarkEnd w:id="96"/>
      <w:bookmarkEnd w:id="97"/>
      <w:bookmarkEnd w:id="98"/>
      <w:bookmarkEnd w:id="99"/>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The constant-value (CV)</w:t>
      </w:r>
      <w:r>
        <w:rPr>
          <w:rFonts w:cs="Arial"/>
          <w:sz w:val="20"/>
          <w:szCs w:val="22"/>
        </w:rPr>
        <w:t>,</w:t>
      </w:r>
      <w:r w:rsidRPr="006E41BF">
        <w:rPr>
          <w:rFonts w:cs="Arial"/>
          <w:sz w:val="20"/>
          <w:szCs w:val="22"/>
        </w:rPr>
        <w:t xml:space="preserve"> ‘fixed line’</w:t>
      </w:r>
      <w:r>
        <w:rPr>
          <w:rFonts w:cs="Arial"/>
          <w:sz w:val="20"/>
          <w:szCs w:val="22"/>
        </w:rPr>
        <w:t xml:space="preserve"> or ‘anchored’</w:t>
      </w:r>
      <w:r w:rsidRPr="006E41BF">
        <w:rPr>
          <w:rFonts w:cs="Arial"/>
          <w:sz w:val="20"/>
          <w:szCs w:val="22"/>
        </w:rPr>
        <w:t xml:space="preserve"> approach to adjusting thresholds over time maintains the real value of a chosen poverty line by adjusting it each year with the </w:t>
      </w:r>
      <w:smartTag w:uri="urn:schemas-microsoft-com:office:smarttags" w:element="stockticker">
        <w:r w:rsidRPr="006E41BF">
          <w:rPr>
            <w:rFonts w:cs="Arial"/>
            <w:sz w:val="20"/>
            <w:szCs w:val="22"/>
          </w:rPr>
          <w:t>CPI</w:t>
        </w:r>
      </w:smartTag>
      <w:r w:rsidRPr="006E41BF">
        <w:rPr>
          <w:rFonts w:cs="Arial"/>
          <w:sz w:val="20"/>
          <w:szCs w:val="22"/>
        </w:rPr>
        <w:t xml:space="preserve">.  On this approach a household’s situation is considered to have improved if its income rises in real terms, irrespective of whether its rising income makes it any closer or further away from the middle or average household.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The relative-to-contemporary-median (</w:t>
      </w:r>
      <w:smartTag w:uri="urn:schemas-microsoft-com:office:smarttags" w:element="stockticker">
        <w:r w:rsidRPr="006E41BF">
          <w:rPr>
            <w:rFonts w:cs="Arial"/>
            <w:sz w:val="20"/>
            <w:szCs w:val="22"/>
          </w:rPr>
          <w:t>REL</w:t>
        </w:r>
      </w:smartTag>
      <w:r w:rsidRPr="006E41BF">
        <w:rPr>
          <w:rFonts w:cs="Arial"/>
          <w:sz w:val="20"/>
          <w:szCs w:val="22"/>
        </w:rPr>
        <w:t>) or ‘moving line’ approach sets the poverty line as a proportion of the median income from each survey so that the threshold changes in lockstep with the incomes of those in the middle of the income distribution.  On this approach the situation of a low-income household is considered to have improved if its income gets closer to that of the median household, irrespective of whether it is better or worse off in real terms.</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Both approaches reflect the ‘relative disadvantage’ concept of poverty and hardship. The </w:t>
      </w:r>
      <w:smartTag w:uri="urn:schemas-microsoft-com:office:smarttags" w:element="stockticker">
        <w:r w:rsidRPr="006E41BF">
          <w:rPr>
            <w:rFonts w:cs="Arial"/>
            <w:sz w:val="20"/>
            <w:szCs w:val="22"/>
          </w:rPr>
          <w:t>REL</w:t>
        </w:r>
      </w:smartTag>
      <w:r w:rsidRPr="006E41BF">
        <w:rPr>
          <w:rFonts w:cs="Arial"/>
          <w:sz w:val="20"/>
          <w:szCs w:val="22"/>
        </w:rPr>
        <w:t xml:space="preserve"> approach is self-evidently a relative approach. The CV approach has to be benchmarked against community standards in some way to start with, then after some years of being kept at the same level in real terms it has to be re-based – again relative to some estimate of community standards.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Both approaches are used in income poverty analysis in OECD-type nations. They each have a valid story to tell about the situation of people in lower-income households.</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C75CF1">
        <w:rPr>
          <w:rFonts w:cs="Arial"/>
          <w:sz w:val="20"/>
          <w:szCs w:val="22"/>
          <w:u w:val="single"/>
        </w:rPr>
        <w:t>In the short to medium term</w:t>
      </w:r>
      <w:r w:rsidRPr="006E41BF">
        <w:rPr>
          <w:rFonts w:cs="Arial"/>
          <w:sz w:val="20"/>
          <w:szCs w:val="22"/>
        </w:rPr>
        <w:t xml:space="preserve">, </w:t>
      </w:r>
      <w:r w:rsidRPr="006E41BF">
        <w:rPr>
          <w:rFonts w:cs="Arial"/>
          <w:sz w:val="20"/>
          <w:szCs w:val="22"/>
          <w:u w:val="single"/>
        </w:rPr>
        <w:t xml:space="preserve">the </w:t>
      </w:r>
      <w:r>
        <w:rPr>
          <w:rFonts w:cs="Arial"/>
          <w:sz w:val="20"/>
          <w:szCs w:val="22"/>
          <w:u w:val="single"/>
        </w:rPr>
        <w:t>fixed line (</w:t>
      </w:r>
      <w:r w:rsidRPr="006E41BF">
        <w:rPr>
          <w:rFonts w:cs="Arial"/>
          <w:sz w:val="20"/>
          <w:szCs w:val="22"/>
          <w:u w:val="single"/>
        </w:rPr>
        <w:t>CV</w:t>
      </w:r>
      <w:r>
        <w:rPr>
          <w:rFonts w:cs="Arial"/>
          <w:sz w:val="20"/>
          <w:szCs w:val="22"/>
          <w:u w:val="single"/>
        </w:rPr>
        <w:t>)</w:t>
      </w:r>
      <w:r w:rsidRPr="006E41BF">
        <w:rPr>
          <w:rFonts w:cs="Arial"/>
          <w:sz w:val="20"/>
          <w:szCs w:val="22"/>
          <w:u w:val="single"/>
        </w:rPr>
        <w:t xml:space="preserve"> measure can be seen as the more fundamental measure</w:t>
      </w:r>
      <w:r w:rsidRPr="006E41BF">
        <w:rPr>
          <w:rFonts w:cs="Arial"/>
          <w:sz w:val="20"/>
          <w:szCs w:val="22"/>
        </w:rPr>
        <w:t xml:space="preserve"> in the sense that it reveals whether the incomes of low-income households are rising or falling in real terms.  Whatever is happening to the incomes of the ‘non-poor’, if more and more people end up falling below a CV threshold, as happened in </w:t>
      </w:r>
      <w:smartTag w:uri="urn:schemas-microsoft-com:office:smarttags" w:element="place">
        <w:smartTag w:uri="urn:schemas-microsoft-com:office:smarttags" w:element="country-region">
          <w:r w:rsidRPr="006E41BF">
            <w:rPr>
              <w:rFonts w:cs="Arial"/>
              <w:sz w:val="20"/>
              <w:szCs w:val="22"/>
            </w:rPr>
            <w:t>New Zealand</w:t>
          </w:r>
        </w:smartTag>
      </w:smartTag>
      <w:r w:rsidRPr="006E41BF">
        <w:rPr>
          <w:rFonts w:cs="Arial"/>
          <w:sz w:val="20"/>
          <w:szCs w:val="22"/>
        </w:rPr>
        <w:t xml:space="preserve"> from the late 1980s through to the mid 1990s, then in the population at large there is likely to be wide concern about increasing poverty.</w:t>
      </w:r>
    </w:p>
    <w:p w:rsidR="00E46063" w:rsidRPr="006E41BF" w:rsidRDefault="00E46063" w:rsidP="00E46063">
      <w:pPr>
        <w:pStyle w:val="ReportBody"/>
        <w:numPr>
          <w:ilvl w:val="0"/>
          <w:numId w:val="0"/>
        </w:numPr>
        <w:spacing w:after="0" w:line="240" w:lineRule="auto"/>
        <w:rPr>
          <w:sz w:val="20"/>
        </w:rPr>
      </w:pPr>
    </w:p>
    <w:p w:rsidR="00E46063" w:rsidRPr="006E41BF" w:rsidRDefault="00E46063" w:rsidP="00E46063">
      <w:pPr>
        <w:pStyle w:val="ReportBody"/>
        <w:numPr>
          <w:ilvl w:val="0"/>
          <w:numId w:val="0"/>
        </w:numPr>
        <w:spacing w:after="0" w:line="240" w:lineRule="auto"/>
        <w:rPr>
          <w:i/>
          <w:sz w:val="20"/>
          <w:u w:val="single"/>
        </w:rPr>
      </w:pPr>
      <w:r w:rsidRPr="006E41BF">
        <w:rPr>
          <w:sz w:val="20"/>
        </w:rPr>
        <w:t xml:space="preserve">In times of good economic growth with rising real wages, rising employment and declining unemployment, poverty rates measured on a CV approach can generally be expected to decline, as they have in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 since the mid 1990s.  There is however a limit to how low even CV rates can fall when there is a large beneficiary population on incomes that do not (often) rise in real terms.</w:t>
      </w:r>
    </w:p>
    <w:p w:rsidR="00E46063" w:rsidRPr="006E41BF" w:rsidRDefault="00E46063" w:rsidP="00E46063">
      <w:pPr>
        <w:jc w:val="both"/>
        <w:rPr>
          <w:sz w:val="20"/>
        </w:rPr>
      </w:pPr>
    </w:p>
    <w:p w:rsidR="00E46063" w:rsidRPr="006E41BF" w:rsidRDefault="00E46063" w:rsidP="00E46063">
      <w:pPr>
        <w:jc w:val="both"/>
        <w:rPr>
          <w:sz w:val="20"/>
        </w:rPr>
      </w:pPr>
      <w:r>
        <w:rPr>
          <w:sz w:val="20"/>
        </w:rPr>
        <w:t xml:space="preserve">The </w:t>
      </w:r>
      <w:smartTag w:uri="urn:schemas-microsoft-com:office:smarttags" w:element="stockticker">
        <w:r>
          <w:rPr>
            <w:sz w:val="20"/>
          </w:rPr>
          <w:t>REL</w:t>
        </w:r>
      </w:smartTag>
      <w:r>
        <w:rPr>
          <w:sz w:val="20"/>
        </w:rPr>
        <w:t xml:space="preserve"> or moving line</w:t>
      </w:r>
      <w:r w:rsidRPr="006E41BF">
        <w:rPr>
          <w:sz w:val="20"/>
        </w:rPr>
        <w:t xml:space="preserve"> approach can produce counter-intuitive results over time.  For example, in times of good economic growth with rising real wages, rising employment and reducing unemployment, median income (and therefore the poverty lines which are simply a proportion of the median) can rise more quickly than the incomes in the lower parts of the income distribution. In these circumstances a </w:t>
      </w:r>
      <w:smartTag w:uri="urn:schemas-microsoft-com:office:smarttags" w:element="stockticker">
        <w:r w:rsidRPr="006E41BF">
          <w:rPr>
            <w:sz w:val="20"/>
          </w:rPr>
          <w:t>REL</w:t>
        </w:r>
      </w:smartTag>
      <w:r w:rsidRPr="006E41BF">
        <w:rPr>
          <w:sz w:val="20"/>
        </w:rPr>
        <w:t xml:space="preserve"> measure would report increasing poverty even if those in low-income households were experiencing real income growth. </w:t>
      </w:r>
    </w:p>
    <w:p w:rsidR="00E46063" w:rsidRPr="006E41BF" w:rsidRDefault="00E46063" w:rsidP="00E46063">
      <w:pPr>
        <w:pStyle w:val="ReportBody"/>
        <w:numPr>
          <w:ilvl w:val="0"/>
          <w:numId w:val="0"/>
        </w:numPr>
        <w:spacing w:after="0" w:line="240" w:lineRule="auto"/>
        <w:rPr>
          <w:sz w:val="20"/>
        </w:rPr>
      </w:pPr>
    </w:p>
    <w:p w:rsidR="00E46063" w:rsidRPr="006E41BF" w:rsidRDefault="00E46063" w:rsidP="00E46063">
      <w:pPr>
        <w:pStyle w:val="ReportBody"/>
        <w:numPr>
          <w:ilvl w:val="0"/>
          <w:numId w:val="0"/>
        </w:numPr>
        <w:spacing w:after="0" w:line="240" w:lineRule="auto"/>
        <w:rPr>
          <w:sz w:val="20"/>
        </w:rPr>
      </w:pPr>
      <w:r w:rsidRPr="006E41BF">
        <w:rPr>
          <w:sz w:val="20"/>
        </w:rPr>
        <w:t xml:space="preserve">This counter-intuitive result was observed in Ireland in the 1990s: the poor became ‘richer’ in real terms, but because the income growth of the middle </w:t>
      </w:r>
      <w:r>
        <w:rPr>
          <w:sz w:val="20"/>
        </w:rPr>
        <w:t xml:space="preserve">income </w:t>
      </w:r>
      <w:r w:rsidRPr="006E41BF">
        <w:rPr>
          <w:sz w:val="20"/>
        </w:rPr>
        <w:t xml:space="preserve">households was even greater, poverty rates grew considerably as measured using a </w:t>
      </w:r>
      <w:smartTag w:uri="urn:schemas-microsoft-com:office:smarttags" w:element="stockticker">
        <w:r w:rsidRPr="006E41BF">
          <w:rPr>
            <w:sz w:val="20"/>
          </w:rPr>
          <w:t>REL</w:t>
        </w:r>
      </w:smartTag>
      <w:r w:rsidRPr="006E41BF">
        <w:rPr>
          <w:sz w:val="20"/>
        </w:rPr>
        <w:t xml:space="preserve"> threshold. This also happened for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 from 1998 to 2004, albeit on a more modest scale.</w:t>
      </w:r>
    </w:p>
    <w:p w:rsidR="00E46063" w:rsidRPr="006E41BF" w:rsidRDefault="00E46063" w:rsidP="00E46063">
      <w:pPr>
        <w:pStyle w:val="ReportBody"/>
        <w:numPr>
          <w:ilvl w:val="0"/>
          <w:numId w:val="0"/>
        </w:numPr>
        <w:spacing w:after="0" w:line="240" w:lineRule="auto"/>
        <w:rPr>
          <w:sz w:val="20"/>
        </w:rPr>
      </w:pPr>
    </w:p>
    <w:p w:rsidR="00E46063" w:rsidRPr="006E41BF" w:rsidRDefault="00E46063" w:rsidP="00E46063">
      <w:pPr>
        <w:pStyle w:val="ReportBody"/>
        <w:numPr>
          <w:ilvl w:val="0"/>
          <w:numId w:val="0"/>
        </w:numPr>
        <w:spacing w:after="0" w:line="240" w:lineRule="auto"/>
        <w:rPr>
          <w:sz w:val="20"/>
        </w:rPr>
      </w:pPr>
      <w:r w:rsidRPr="006E41BF">
        <w:rPr>
          <w:sz w:val="20"/>
        </w:rPr>
        <w:t xml:space="preserve">The reverse is also possible. It was observed in the </w:t>
      </w:r>
      <w:smartTag w:uri="urn:schemas-microsoft-com:office:smarttags" w:element="PlaceName">
        <w:r w:rsidRPr="006E41BF">
          <w:rPr>
            <w:sz w:val="20"/>
          </w:rPr>
          <w:t>Czech</w:t>
        </w:r>
      </w:smartTag>
      <w:r w:rsidRPr="006E41BF">
        <w:rPr>
          <w:sz w:val="20"/>
        </w:rPr>
        <w:t xml:space="preserve"> </w:t>
      </w:r>
      <w:smartTag w:uri="urn:schemas-microsoft-com:office:smarttags" w:element="PlaceType">
        <w:r w:rsidRPr="006E41BF">
          <w:rPr>
            <w:sz w:val="20"/>
          </w:rPr>
          <w:t>Republic</w:t>
        </w:r>
      </w:smartTag>
      <w:r w:rsidRPr="006E41BF">
        <w:rPr>
          <w:sz w:val="20"/>
        </w:rPr>
        <w:t xml:space="preserve">, </w:t>
      </w:r>
      <w:smartTag w:uri="urn:schemas-microsoft-com:office:smarttags" w:element="country-region">
        <w:r w:rsidRPr="006E41BF">
          <w:rPr>
            <w:sz w:val="20"/>
          </w:rPr>
          <w:t>Hungary</w:t>
        </w:r>
      </w:smartTag>
      <w:r w:rsidRPr="006E41BF">
        <w:rPr>
          <w:sz w:val="20"/>
        </w:rPr>
        <w:t xml:space="preserve"> and </w:t>
      </w:r>
      <w:smartTag w:uri="urn:schemas-microsoft-com:office:smarttags" w:element="place">
        <w:smartTag w:uri="urn:schemas-microsoft-com:office:smarttags" w:element="country-region">
          <w:r w:rsidRPr="006E41BF">
            <w:rPr>
              <w:sz w:val="20"/>
            </w:rPr>
            <w:t>Poland</w:t>
          </w:r>
        </w:smartTag>
      </w:smartTag>
      <w:r w:rsidRPr="006E41BF">
        <w:rPr>
          <w:sz w:val="20"/>
        </w:rPr>
        <w:t xml:space="preserve"> in the early 1990s when each of these nations experienced large falls in national income. Real incomes fell, but poverty was reported as declining as measured by a </w:t>
      </w:r>
      <w:smartTag w:uri="urn:schemas-microsoft-com:office:smarttags" w:element="stockticker">
        <w:r w:rsidRPr="006E41BF">
          <w:rPr>
            <w:sz w:val="20"/>
          </w:rPr>
          <w:t>REL</w:t>
        </w:r>
      </w:smartTag>
      <w:r w:rsidRPr="006E41BF">
        <w:rPr>
          <w:sz w:val="20"/>
        </w:rPr>
        <w:t xml:space="preserve"> approach as a result of the falling median and therefore the lowering poverty thresholds.  In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 real incomes for many fell in the period from 1988 to 1994.   Using a threshold held fixed in real terms, the CV approach clearly showed the worsening situation for many of the poor.  Using a </w:t>
      </w:r>
      <w:smartTag w:uri="urn:schemas-microsoft-com:office:smarttags" w:element="stockticker">
        <w:r w:rsidRPr="006E41BF">
          <w:rPr>
            <w:sz w:val="20"/>
          </w:rPr>
          <w:t>REL</w:t>
        </w:r>
      </w:smartTag>
      <w:r w:rsidRPr="006E41BF">
        <w:rPr>
          <w:sz w:val="20"/>
        </w:rPr>
        <w:t xml:space="preserve"> approach, poverty rates stayed reasonably constant in the period as both household incomes and the thresholds set as a proportion of the median were falling.  (See Section F.)</w:t>
      </w:r>
    </w:p>
    <w:p w:rsidR="00E46063" w:rsidRPr="006E41BF" w:rsidRDefault="00E46063" w:rsidP="00E46063">
      <w:pPr>
        <w:pStyle w:val="ReportBody"/>
        <w:numPr>
          <w:ilvl w:val="0"/>
          <w:numId w:val="0"/>
        </w:numPr>
        <w:spacing w:after="0" w:line="240" w:lineRule="auto"/>
        <w:rPr>
          <w:sz w:val="20"/>
        </w:rPr>
      </w:pPr>
    </w:p>
    <w:p w:rsidR="00E46063" w:rsidRPr="006E41BF" w:rsidRDefault="00E46063" w:rsidP="00E46063">
      <w:pPr>
        <w:pStyle w:val="ReportBody"/>
        <w:numPr>
          <w:ilvl w:val="0"/>
          <w:numId w:val="0"/>
        </w:numPr>
        <w:spacing w:after="0" w:line="240" w:lineRule="auto"/>
        <w:rPr>
          <w:sz w:val="20"/>
        </w:rPr>
      </w:pPr>
      <w:r w:rsidRPr="006E41BF">
        <w:rPr>
          <w:sz w:val="20"/>
        </w:rPr>
        <w:t xml:space="preserve">This report provides trend information using both the CV and </w:t>
      </w:r>
      <w:smartTag w:uri="urn:schemas-microsoft-com:office:smarttags" w:element="stockticker">
        <w:r w:rsidRPr="006E41BF">
          <w:rPr>
            <w:sz w:val="20"/>
          </w:rPr>
          <w:t>REL</w:t>
        </w:r>
      </w:smartTag>
      <w:r w:rsidRPr="006E41BF">
        <w:rPr>
          <w:sz w:val="20"/>
        </w:rPr>
        <w:t xml:space="preserve"> approaches, but considers the CV approach as the more fundamental measure for the purposes of tracking material wellbeing using household incomes in the short to medium term.</w:t>
      </w:r>
    </w:p>
    <w:p w:rsidR="00E46063" w:rsidRPr="006E41BF" w:rsidRDefault="00E46063" w:rsidP="00E46063">
      <w:pPr>
        <w:pStyle w:val="ReportBody"/>
        <w:numPr>
          <w:ilvl w:val="0"/>
          <w:numId w:val="0"/>
        </w:numPr>
        <w:spacing w:after="0" w:line="240" w:lineRule="auto"/>
        <w:rPr>
          <w:sz w:val="20"/>
        </w:rPr>
      </w:pPr>
      <w:r>
        <w:rPr>
          <w:sz w:val="20"/>
        </w:rPr>
        <w:br w:type="page"/>
      </w:r>
      <w:r w:rsidRPr="006E41BF">
        <w:rPr>
          <w:sz w:val="20"/>
        </w:rPr>
        <w:lastRenderedPageBreak/>
        <w:t xml:space="preserve">Two questions are sometimes raised in relation to updating thresholds over time. </w:t>
      </w:r>
    </w:p>
    <w:p w:rsidR="00E46063" w:rsidRPr="006E41BF" w:rsidRDefault="00E46063" w:rsidP="00614C04">
      <w:pPr>
        <w:pStyle w:val="ReportBody"/>
        <w:numPr>
          <w:ilvl w:val="0"/>
          <w:numId w:val="41"/>
        </w:numPr>
        <w:tabs>
          <w:tab w:val="clear" w:pos="720"/>
          <w:tab w:val="num" w:pos="630"/>
        </w:tabs>
        <w:spacing w:before="120" w:after="0" w:line="240" w:lineRule="auto"/>
        <w:ind w:left="630" w:hanging="270"/>
        <w:rPr>
          <w:sz w:val="20"/>
        </w:rPr>
      </w:pPr>
      <w:r w:rsidRPr="006E41BF">
        <w:rPr>
          <w:sz w:val="20"/>
        </w:rPr>
        <w:t xml:space="preserve">As median household incomes rise (or fall) in real terms, </w:t>
      </w:r>
      <w:r>
        <w:rPr>
          <w:sz w:val="20"/>
        </w:rPr>
        <w:t>CV or fixed thresholds</w:t>
      </w:r>
      <w:r w:rsidRPr="006E41BF">
        <w:rPr>
          <w:sz w:val="20"/>
        </w:rPr>
        <w:t xml:space="preserve"> fall (rise) as a proportion of the contemporary median.  How often should the </w:t>
      </w:r>
      <w:r>
        <w:rPr>
          <w:sz w:val="20"/>
        </w:rPr>
        <w:t>reference</w:t>
      </w:r>
      <w:r w:rsidRPr="006E41BF">
        <w:rPr>
          <w:sz w:val="20"/>
        </w:rPr>
        <w:t xml:space="preserve"> year be re-set so that the value of the CV thresholds do not move too far from the implied reference level relative to the population as a whole?</w:t>
      </w:r>
    </w:p>
    <w:p w:rsidR="00E46063" w:rsidRPr="006E41BF" w:rsidRDefault="00E46063" w:rsidP="00614C04">
      <w:pPr>
        <w:pStyle w:val="ReportBody"/>
        <w:numPr>
          <w:ilvl w:val="0"/>
          <w:numId w:val="41"/>
        </w:numPr>
        <w:tabs>
          <w:tab w:val="clear" w:pos="720"/>
          <w:tab w:val="num" w:pos="630"/>
        </w:tabs>
        <w:spacing w:before="120" w:after="0" w:line="240" w:lineRule="auto"/>
        <w:ind w:left="630" w:hanging="270"/>
        <w:rPr>
          <w:sz w:val="20"/>
        </w:rPr>
      </w:pPr>
      <w:r w:rsidRPr="006E41BF">
        <w:rPr>
          <w:sz w:val="20"/>
        </w:rPr>
        <w:t xml:space="preserve">In times of economic growth, can poverty rates ever fall when measured using a </w:t>
      </w:r>
      <w:r>
        <w:rPr>
          <w:sz w:val="20"/>
        </w:rPr>
        <w:t>moving line</w:t>
      </w:r>
      <w:r w:rsidRPr="006E41BF">
        <w:rPr>
          <w:sz w:val="20"/>
        </w:rPr>
        <w:t xml:space="preserve"> approach?</w:t>
      </w:r>
    </w:p>
    <w:p w:rsidR="00E46063" w:rsidRPr="006E41BF" w:rsidRDefault="00E46063" w:rsidP="00E46063">
      <w:pPr>
        <w:pStyle w:val="ReportBody"/>
        <w:numPr>
          <w:ilvl w:val="0"/>
          <w:numId w:val="0"/>
        </w:numPr>
        <w:spacing w:after="0" w:line="240" w:lineRule="auto"/>
        <w:ind w:left="490" w:hanging="490"/>
        <w:rPr>
          <w:sz w:val="20"/>
        </w:rPr>
      </w:pPr>
    </w:p>
    <w:p w:rsidR="00E46063" w:rsidRPr="006E41BF" w:rsidRDefault="00E46063" w:rsidP="00E46063">
      <w:pPr>
        <w:pStyle w:val="ReportBody"/>
        <w:numPr>
          <w:ilvl w:val="0"/>
          <w:numId w:val="0"/>
        </w:numPr>
        <w:spacing w:after="0" w:line="240" w:lineRule="auto"/>
        <w:rPr>
          <w:sz w:val="20"/>
        </w:rPr>
      </w:pPr>
      <w:r w:rsidRPr="006E41BF">
        <w:rPr>
          <w:sz w:val="20"/>
        </w:rPr>
        <w:t>These are discussed below.</w:t>
      </w:r>
    </w:p>
    <w:p w:rsidR="00E46063" w:rsidRDefault="00E46063" w:rsidP="00E46063">
      <w:pPr>
        <w:pStyle w:val="ReportBody"/>
        <w:numPr>
          <w:ilvl w:val="0"/>
          <w:numId w:val="0"/>
        </w:numPr>
        <w:spacing w:after="0"/>
        <w:rPr>
          <w:sz w:val="20"/>
          <w:u w:val="single"/>
        </w:rPr>
      </w:pPr>
    </w:p>
    <w:p w:rsidR="00E46063" w:rsidRPr="006E41BF" w:rsidRDefault="00E46063" w:rsidP="00E46063">
      <w:pPr>
        <w:pStyle w:val="ReportBody"/>
        <w:numPr>
          <w:ilvl w:val="0"/>
          <w:numId w:val="0"/>
        </w:numPr>
        <w:spacing w:before="120" w:after="0"/>
        <w:rPr>
          <w:sz w:val="20"/>
          <w:u w:val="single"/>
        </w:rPr>
      </w:pPr>
      <w:r w:rsidRPr="006E41BF">
        <w:rPr>
          <w:sz w:val="20"/>
          <w:u w:val="single"/>
        </w:rPr>
        <w:t xml:space="preserve">The </w:t>
      </w:r>
      <w:r>
        <w:rPr>
          <w:sz w:val="20"/>
          <w:u w:val="single"/>
        </w:rPr>
        <w:t>reference</w:t>
      </w:r>
      <w:r w:rsidRPr="006E41BF">
        <w:rPr>
          <w:sz w:val="20"/>
          <w:u w:val="single"/>
        </w:rPr>
        <w:t xml:space="preserve"> year for measures using </w:t>
      </w:r>
      <w:r>
        <w:rPr>
          <w:sz w:val="20"/>
          <w:u w:val="single"/>
        </w:rPr>
        <w:t>a fixed line approach</w:t>
      </w:r>
    </w:p>
    <w:p w:rsidR="00E46063" w:rsidRPr="006E41BF" w:rsidRDefault="00E46063" w:rsidP="00E46063">
      <w:pPr>
        <w:pStyle w:val="ReportBody"/>
        <w:numPr>
          <w:ilvl w:val="0"/>
          <w:numId w:val="0"/>
        </w:numPr>
        <w:spacing w:after="0"/>
        <w:rPr>
          <w:sz w:val="20"/>
        </w:rPr>
      </w:pPr>
    </w:p>
    <w:p w:rsidR="00E46063" w:rsidRPr="006E41BF" w:rsidRDefault="00E46063" w:rsidP="00E46063">
      <w:pPr>
        <w:jc w:val="both"/>
        <w:rPr>
          <w:rFonts w:cs="Arial"/>
          <w:sz w:val="20"/>
          <w:szCs w:val="22"/>
        </w:rPr>
      </w:pPr>
      <w:bookmarkStart w:id="100" w:name="_Toc105985449"/>
      <w:bookmarkStart w:id="101" w:name="_Toc106002524"/>
      <w:bookmarkStart w:id="102" w:name="_Toc106071865"/>
      <w:bookmarkStart w:id="103" w:name="_Toc115142520"/>
      <w:r>
        <w:rPr>
          <w:rFonts w:cs="Arial"/>
          <w:sz w:val="20"/>
          <w:szCs w:val="22"/>
        </w:rPr>
        <w:t>As</w:t>
      </w:r>
      <w:r w:rsidRPr="006E41BF">
        <w:rPr>
          <w:rFonts w:cs="Arial"/>
          <w:sz w:val="20"/>
          <w:szCs w:val="22"/>
        </w:rPr>
        <w:t xml:space="preserve"> </w:t>
      </w:r>
      <w:r>
        <w:rPr>
          <w:rFonts w:cs="Arial"/>
          <w:sz w:val="20"/>
          <w:szCs w:val="22"/>
        </w:rPr>
        <w:t>median</w:t>
      </w:r>
      <w:r w:rsidRPr="006E41BF">
        <w:rPr>
          <w:rFonts w:cs="Arial"/>
          <w:sz w:val="20"/>
          <w:szCs w:val="22"/>
        </w:rPr>
        <w:t xml:space="preserve"> household incomes rise (or fall) in real terms</w:t>
      </w:r>
      <w:r>
        <w:rPr>
          <w:rFonts w:cs="Arial"/>
          <w:sz w:val="20"/>
          <w:szCs w:val="22"/>
        </w:rPr>
        <w:t xml:space="preserve"> over time,</w:t>
      </w:r>
      <w:r w:rsidRPr="006E41BF">
        <w:rPr>
          <w:rFonts w:cs="Arial"/>
          <w:sz w:val="20"/>
          <w:szCs w:val="22"/>
        </w:rPr>
        <w:t xml:space="preserve"> the </w:t>
      </w:r>
      <w:r>
        <w:rPr>
          <w:rFonts w:cs="Arial"/>
          <w:sz w:val="20"/>
          <w:szCs w:val="22"/>
        </w:rPr>
        <w:t>fixed (CV) poverty lines</w:t>
      </w:r>
      <w:r w:rsidRPr="006E41BF">
        <w:rPr>
          <w:rFonts w:cs="Arial"/>
          <w:sz w:val="20"/>
          <w:szCs w:val="22"/>
        </w:rPr>
        <w:t xml:space="preserve"> can become unrealistically low (or high)</w:t>
      </w:r>
      <w:r>
        <w:rPr>
          <w:rFonts w:cs="Arial"/>
          <w:sz w:val="20"/>
          <w:szCs w:val="22"/>
        </w:rPr>
        <w:t xml:space="preserve"> relative to the contemporary median</w:t>
      </w:r>
      <w:r w:rsidRPr="006E41BF">
        <w:rPr>
          <w:rFonts w:cs="Arial"/>
          <w:sz w:val="20"/>
          <w:szCs w:val="22"/>
        </w:rPr>
        <w:t xml:space="preserve">.  The question arises as to how often to re-set the CV poverty lines.  The decision on this depends to a large degree on the rate of change in </w:t>
      </w:r>
      <w:r>
        <w:rPr>
          <w:rFonts w:cs="Arial"/>
          <w:sz w:val="20"/>
          <w:szCs w:val="22"/>
        </w:rPr>
        <w:t>median</w:t>
      </w:r>
      <w:r w:rsidRPr="006E41BF">
        <w:rPr>
          <w:rFonts w:cs="Arial"/>
          <w:sz w:val="20"/>
          <w:szCs w:val="22"/>
        </w:rPr>
        <w:t xml:space="preserve"> incomes: higher rates of change mean that the re-setting needs to occur sooner so that the thresholds do not move too far from (or get too close to) average incomes.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Pr>
          <w:rFonts w:cs="Arial"/>
          <w:sz w:val="20"/>
          <w:szCs w:val="22"/>
        </w:rPr>
        <w:t>Until last year’s report, the Household Incomes series (and their pre-cursors) used</w:t>
      </w:r>
      <w:r w:rsidRPr="006E41BF">
        <w:rPr>
          <w:rFonts w:cs="Arial"/>
          <w:sz w:val="20"/>
          <w:szCs w:val="22"/>
        </w:rPr>
        <w:t xml:space="preserve"> 1998 as the base or reference year for setting CV thresholds, adjusting back and forward using the </w:t>
      </w:r>
      <w:smartTag w:uri="urn:schemas-microsoft-com:office:smarttags" w:element="stockticker">
        <w:r w:rsidRPr="006E41BF">
          <w:rPr>
            <w:rFonts w:cs="Arial"/>
            <w:sz w:val="20"/>
            <w:szCs w:val="22"/>
          </w:rPr>
          <w:t>CPI</w:t>
        </w:r>
      </w:smartTag>
      <w:r w:rsidRPr="006E41BF">
        <w:rPr>
          <w:rFonts w:cs="Arial"/>
          <w:sz w:val="20"/>
          <w:szCs w:val="22"/>
        </w:rPr>
        <w:t xml:space="preserve">.   Because of the way </w:t>
      </w:r>
      <w:r>
        <w:rPr>
          <w:rFonts w:cs="Arial"/>
          <w:sz w:val="20"/>
          <w:szCs w:val="22"/>
        </w:rPr>
        <w:t>median</w:t>
      </w:r>
      <w:r w:rsidRPr="006E41BF">
        <w:rPr>
          <w:rFonts w:cs="Arial"/>
          <w:sz w:val="20"/>
          <w:szCs w:val="22"/>
        </w:rPr>
        <w:t xml:space="preserve"> incomes </w:t>
      </w:r>
      <w:r>
        <w:rPr>
          <w:rFonts w:cs="Arial"/>
          <w:sz w:val="20"/>
          <w:szCs w:val="22"/>
        </w:rPr>
        <w:t>fell</w:t>
      </w:r>
      <w:r w:rsidRPr="006E41BF">
        <w:rPr>
          <w:rFonts w:cs="Arial"/>
          <w:sz w:val="20"/>
          <w:szCs w:val="22"/>
        </w:rPr>
        <w:t xml:space="preserve"> then r</w:t>
      </w:r>
      <w:r>
        <w:rPr>
          <w:rFonts w:cs="Arial"/>
          <w:sz w:val="20"/>
          <w:szCs w:val="22"/>
        </w:rPr>
        <w:t>ose</w:t>
      </w:r>
      <w:r w:rsidRPr="006E41BF">
        <w:rPr>
          <w:rFonts w:cs="Arial"/>
          <w:sz w:val="20"/>
          <w:szCs w:val="22"/>
        </w:rPr>
        <w:t xml:space="preserve"> </w:t>
      </w:r>
      <w:r>
        <w:rPr>
          <w:rFonts w:cs="Arial"/>
          <w:sz w:val="20"/>
          <w:szCs w:val="22"/>
        </w:rPr>
        <w:t>from 1982 to 2008</w:t>
      </w:r>
      <w:r w:rsidRPr="006E41BF">
        <w:rPr>
          <w:rFonts w:cs="Arial"/>
          <w:sz w:val="20"/>
          <w:szCs w:val="22"/>
        </w:rPr>
        <w:t xml:space="preserve">, </w:t>
      </w:r>
      <w:r>
        <w:rPr>
          <w:rFonts w:cs="Arial"/>
          <w:sz w:val="20"/>
          <w:szCs w:val="22"/>
        </w:rPr>
        <w:t xml:space="preserve">1998 </w:t>
      </w:r>
      <w:r w:rsidRPr="006E41BF">
        <w:rPr>
          <w:rFonts w:cs="Arial"/>
          <w:sz w:val="20"/>
          <w:szCs w:val="22"/>
        </w:rPr>
        <w:t xml:space="preserve">CV measures </w:t>
      </w:r>
      <w:r>
        <w:rPr>
          <w:rFonts w:cs="Arial"/>
          <w:sz w:val="20"/>
          <w:szCs w:val="22"/>
        </w:rPr>
        <w:t>were convenient and appropriate to use for</w:t>
      </w:r>
      <w:r w:rsidRPr="006E41BF">
        <w:rPr>
          <w:rFonts w:cs="Arial"/>
          <w:sz w:val="20"/>
          <w:szCs w:val="22"/>
        </w:rPr>
        <w:t xml:space="preserve"> </w:t>
      </w:r>
      <w:r>
        <w:rPr>
          <w:rFonts w:cs="Arial"/>
          <w:sz w:val="20"/>
          <w:szCs w:val="22"/>
        </w:rPr>
        <w:t>the period</w:t>
      </w:r>
      <w:r w:rsidRPr="006E41BF">
        <w:rPr>
          <w:rFonts w:cs="Arial"/>
          <w:sz w:val="20"/>
          <w:szCs w:val="22"/>
        </w:rPr>
        <w:t>.</w:t>
      </w:r>
      <w:r>
        <w:rPr>
          <w:rFonts w:cs="Arial"/>
          <w:sz w:val="20"/>
          <w:szCs w:val="22"/>
        </w:rPr>
        <w:t xml:space="preserve">   </w:t>
      </w:r>
      <w:r w:rsidRPr="006E41BF">
        <w:rPr>
          <w:rFonts w:cs="Arial"/>
          <w:b/>
          <w:sz w:val="20"/>
          <w:szCs w:val="22"/>
        </w:rPr>
        <w:t>Table E.2</w:t>
      </w:r>
      <w:r w:rsidRPr="006E41BF">
        <w:rPr>
          <w:rFonts w:cs="Arial"/>
          <w:sz w:val="20"/>
          <w:szCs w:val="22"/>
        </w:rPr>
        <w:t xml:space="preserve"> and </w:t>
      </w:r>
      <w:r w:rsidRPr="006E41BF">
        <w:rPr>
          <w:rFonts w:cs="Arial"/>
          <w:b/>
          <w:sz w:val="20"/>
          <w:szCs w:val="22"/>
        </w:rPr>
        <w:t>Figure E.1</w:t>
      </w:r>
      <w:r w:rsidRPr="006E41BF">
        <w:rPr>
          <w:rFonts w:cs="Arial"/>
          <w:sz w:val="20"/>
          <w:szCs w:val="22"/>
        </w:rPr>
        <w:t xml:space="preserve"> show that the CV threshold set at 60% of the 1998 median stayed within a band of 50% to 70% of the </w:t>
      </w:r>
      <w:smartTag w:uri="urn:schemas-microsoft-com:office:smarttags" w:element="stockticker">
        <w:r w:rsidRPr="006E41BF">
          <w:rPr>
            <w:rFonts w:cs="Arial"/>
            <w:sz w:val="20"/>
            <w:szCs w:val="22"/>
          </w:rPr>
          <w:t>BHC</w:t>
        </w:r>
      </w:smartTag>
      <w:r w:rsidRPr="006E41BF">
        <w:rPr>
          <w:rFonts w:cs="Arial"/>
          <w:sz w:val="20"/>
          <w:szCs w:val="22"/>
        </w:rPr>
        <w:t xml:space="preserve"> median for </w:t>
      </w:r>
      <w:r>
        <w:rPr>
          <w:rFonts w:cs="Arial"/>
          <w:sz w:val="20"/>
          <w:szCs w:val="22"/>
        </w:rPr>
        <w:t>1982 to 2008</w:t>
      </w:r>
      <w:r w:rsidRPr="006E41BF">
        <w:rPr>
          <w:rFonts w:cs="Arial"/>
          <w:sz w:val="20"/>
          <w:szCs w:val="22"/>
        </w:rPr>
        <w:t xml:space="preserve">, and within five to six percentage points of 60% for the bulk of the period.  </w:t>
      </w:r>
    </w:p>
    <w:p w:rsidR="00E46063" w:rsidRPr="006E41BF" w:rsidRDefault="00E46063" w:rsidP="00E46063">
      <w:pPr>
        <w:jc w:val="both"/>
        <w:rPr>
          <w:rFonts w:cs="Arial"/>
          <w:sz w:val="20"/>
          <w:szCs w:val="22"/>
        </w:rPr>
      </w:pPr>
    </w:p>
    <w:p w:rsidR="00E46063" w:rsidRPr="006E41BF" w:rsidRDefault="00E46063" w:rsidP="00E46063">
      <w:pPr>
        <w:jc w:val="center"/>
        <w:rPr>
          <w:rFonts w:cs="Arial"/>
          <w:b/>
          <w:sz w:val="18"/>
        </w:rPr>
      </w:pPr>
      <w:r w:rsidRPr="006E41BF">
        <w:rPr>
          <w:rFonts w:cs="Arial"/>
          <w:b/>
          <w:sz w:val="18"/>
        </w:rPr>
        <w:t>Table E.2</w:t>
      </w:r>
    </w:p>
    <w:p w:rsidR="00E46063" w:rsidRPr="006E41BF" w:rsidRDefault="00E46063" w:rsidP="00E46063">
      <w:pPr>
        <w:jc w:val="center"/>
        <w:rPr>
          <w:b/>
          <w:sz w:val="18"/>
        </w:rPr>
      </w:pPr>
      <w:r w:rsidRPr="006E41BF">
        <w:rPr>
          <w:b/>
          <w:sz w:val="18"/>
        </w:rPr>
        <w:t xml:space="preserve">CV threshold set at 60% of the 1998 median </w:t>
      </w:r>
    </w:p>
    <w:p w:rsidR="00E46063" w:rsidRPr="006E41BF" w:rsidRDefault="00E46063" w:rsidP="00E46063">
      <w:pPr>
        <w:spacing w:after="120"/>
        <w:jc w:val="center"/>
        <w:rPr>
          <w:rFonts w:cs="Arial"/>
          <w:b/>
          <w:sz w:val="18"/>
        </w:rPr>
      </w:pPr>
      <w:r w:rsidRPr="006E41BF">
        <w:rPr>
          <w:b/>
          <w:sz w:val="18"/>
        </w:rPr>
        <w:t>expressed as a proportion of the contemporary median (</w:t>
      </w:r>
      <w:smartTag w:uri="urn:schemas-microsoft-com:office:smarttags" w:element="stockticker">
        <w:r w:rsidRPr="006E41BF">
          <w:rPr>
            <w:b/>
            <w:sz w:val="18"/>
          </w:rPr>
          <w:t>BHC</w:t>
        </w:r>
      </w:smartTag>
      <w:r w:rsidRPr="006E41BF">
        <w:rPr>
          <w:b/>
          <w:sz w:val="18"/>
        </w:rPr>
        <w:t>), 1982 to 200</w:t>
      </w:r>
      <w:r>
        <w:rPr>
          <w:b/>
          <w:sz w:val="18"/>
        </w:rPr>
        <w:t>9</w:t>
      </w:r>
    </w:p>
    <w:tbl>
      <w:tblPr>
        <w:tblStyle w:val="TableGrid"/>
        <w:tblW w:w="8528" w:type="dxa"/>
        <w:jc w:val="center"/>
        <w:tblLook w:val="01E0"/>
      </w:tblPr>
      <w:tblGrid>
        <w:gridCol w:w="628"/>
        <w:gridCol w:w="613"/>
        <w:gridCol w:w="613"/>
        <w:gridCol w:w="613"/>
        <w:gridCol w:w="613"/>
        <w:gridCol w:w="612"/>
        <w:gridCol w:w="612"/>
        <w:gridCol w:w="612"/>
        <w:gridCol w:w="612"/>
        <w:gridCol w:w="612"/>
        <w:gridCol w:w="612"/>
        <w:gridCol w:w="612"/>
        <w:gridCol w:w="592"/>
        <w:gridCol w:w="572"/>
      </w:tblGrid>
      <w:tr w:rsidR="00E46063">
        <w:trPr>
          <w:trHeight w:hRule="exact" w:val="346"/>
          <w:jc w:val="center"/>
        </w:trPr>
        <w:tc>
          <w:tcPr>
            <w:tcW w:w="628" w:type="dxa"/>
            <w:vAlign w:val="center"/>
          </w:tcPr>
          <w:p w:rsidR="00E46063" w:rsidRPr="002A065B" w:rsidRDefault="00E46063" w:rsidP="00614C04">
            <w:pPr>
              <w:jc w:val="center"/>
              <w:rPr>
                <w:rFonts w:cs="Arial"/>
                <w:b/>
                <w:sz w:val="16"/>
                <w:szCs w:val="16"/>
              </w:rPr>
            </w:pPr>
            <w:r w:rsidRPr="002A065B">
              <w:rPr>
                <w:rFonts w:cs="Arial"/>
                <w:b/>
                <w:sz w:val="16"/>
                <w:szCs w:val="16"/>
              </w:rPr>
              <w:t>1982</w:t>
            </w:r>
          </w:p>
        </w:tc>
        <w:tc>
          <w:tcPr>
            <w:tcW w:w="613" w:type="dxa"/>
            <w:vAlign w:val="center"/>
          </w:tcPr>
          <w:p w:rsidR="00E46063" w:rsidRPr="002A065B" w:rsidRDefault="00E46063" w:rsidP="00614C04">
            <w:pPr>
              <w:jc w:val="center"/>
              <w:rPr>
                <w:rFonts w:cs="Arial"/>
                <w:b/>
                <w:sz w:val="16"/>
                <w:szCs w:val="16"/>
              </w:rPr>
            </w:pPr>
            <w:r w:rsidRPr="002A065B">
              <w:rPr>
                <w:rFonts w:cs="Arial"/>
                <w:b/>
                <w:sz w:val="16"/>
                <w:szCs w:val="16"/>
              </w:rPr>
              <w:t>1984</w:t>
            </w:r>
          </w:p>
        </w:tc>
        <w:tc>
          <w:tcPr>
            <w:tcW w:w="613" w:type="dxa"/>
            <w:vAlign w:val="center"/>
          </w:tcPr>
          <w:p w:rsidR="00E46063" w:rsidRPr="002A065B" w:rsidRDefault="00E46063" w:rsidP="00614C04">
            <w:pPr>
              <w:jc w:val="center"/>
              <w:rPr>
                <w:rFonts w:cs="Arial"/>
                <w:b/>
                <w:sz w:val="16"/>
                <w:szCs w:val="16"/>
              </w:rPr>
            </w:pPr>
            <w:r w:rsidRPr="002A065B">
              <w:rPr>
                <w:rFonts w:cs="Arial"/>
                <w:b/>
                <w:sz w:val="16"/>
                <w:szCs w:val="16"/>
              </w:rPr>
              <w:t>1986</w:t>
            </w:r>
          </w:p>
        </w:tc>
        <w:tc>
          <w:tcPr>
            <w:tcW w:w="613" w:type="dxa"/>
            <w:vAlign w:val="center"/>
          </w:tcPr>
          <w:p w:rsidR="00E46063" w:rsidRPr="002A065B" w:rsidRDefault="00E46063" w:rsidP="00614C04">
            <w:pPr>
              <w:jc w:val="center"/>
              <w:rPr>
                <w:rFonts w:cs="Arial"/>
                <w:b/>
                <w:sz w:val="16"/>
                <w:szCs w:val="16"/>
              </w:rPr>
            </w:pPr>
            <w:r w:rsidRPr="002A065B">
              <w:rPr>
                <w:rFonts w:cs="Arial"/>
                <w:b/>
                <w:sz w:val="16"/>
                <w:szCs w:val="16"/>
              </w:rPr>
              <w:t>198</w:t>
            </w:r>
            <w:r>
              <w:rPr>
                <w:rFonts w:cs="Arial"/>
                <w:b/>
                <w:sz w:val="16"/>
                <w:szCs w:val="16"/>
              </w:rPr>
              <w:t>8</w:t>
            </w:r>
          </w:p>
        </w:tc>
        <w:tc>
          <w:tcPr>
            <w:tcW w:w="613" w:type="dxa"/>
            <w:vAlign w:val="center"/>
          </w:tcPr>
          <w:p w:rsidR="00E46063" w:rsidRPr="002A065B" w:rsidRDefault="00E46063" w:rsidP="00614C04">
            <w:pPr>
              <w:jc w:val="center"/>
              <w:rPr>
                <w:rFonts w:cs="Arial"/>
                <w:b/>
                <w:sz w:val="16"/>
                <w:szCs w:val="16"/>
              </w:rPr>
            </w:pPr>
            <w:r>
              <w:rPr>
                <w:rFonts w:cs="Arial"/>
                <w:b/>
                <w:sz w:val="16"/>
                <w:szCs w:val="16"/>
              </w:rPr>
              <w:t>1990</w:t>
            </w:r>
          </w:p>
        </w:tc>
        <w:tc>
          <w:tcPr>
            <w:tcW w:w="612" w:type="dxa"/>
            <w:vAlign w:val="center"/>
          </w:tcPr>
          <w:p w:rsidR="00E46063" w:rsidRPr="002A065B" w:rsidRDefault="00E46063" w:rsidP="00614C04">
            <w:pPr>
              <w:jc w:val="center"/>
              <w:rPr>
                <w:rFonts w:cs="Arial"/>
                <w:b/>
                <w:sz w:val="16"/>
                <w:szCs w:val="16"/>
              </w:rPr>
            </w:pPr>
            <w:r w:rsidRPr="002A065B">
              <w:rPr>
                <w:rFonts w:cs="Arial"/>
                <w:b/>
                <w:sz w:val="16"/>
                <w:szCs w:val="16"/>
              </w:rPr>
              <w:t>1992</w:t>
            </w:r>
          </w:p>
        </w:tc>
        <w:tc>
          <w:tcPr>
            <w:tcW w:w="612" w:type="dxa"/>
            <w:vAlign w:val="center"/>
          </w:tcPr>
          <w:p w:rsidR="00E46063" w:rsidRPr="002A065B" w:rsidRDefault="00E46063" w:rsidP="00614C04">
            <w:pPr>
              <w:jc w:val="center"/>
              <w:rPr>
                <w:rFonts w:cs="Arial"/>
                <w:b/>
                <w:sz w:val="16"/>
                <w:szCs w:val="16"/>
              </w:rPr>
            </w:pPr>
            <w:r>
              <w:rPr>
                <w:rFonts w:cs="Arial"/>
                <w:b/>
                <w:sz w:val="16"/>
                <w:szCs w:val="16"/>
              </w:rPr>
              <w:t>1994</w:t>
            </w:r>
          </w:p>
        </w:tc>
        <w:tc>
          <w:tcPr>
            <w:tcW w:w="612" w:type="dxa"/>
            <w:vAlign w:val="center"/>
          </w:tcPr>
          <w:p w:rsidR="00E46063" w:rsidRPr="002A065B" w:rsidRDefault="00E46063" w:rsidP="00614C04">
            <w:pPr>
              <w:jc w:val="center"/>
              <w:rPr>
                <w:rFonts w:cs="Arial"/>
                <w:b/>
                <w:sz w:val="16"/>
                <w:szCs w:val="16"/>
              </w:rPr>
            </w:pPr>
            <w:r w:rsidRPr="002A065B">
              <w:rPr>
                <w:rFonts w:cs="Arial"/>
                <w:b/>
                <w:sz w:val="16"/>
                <w:szCs w:val="16"/>
              </w:rPr>
              <w:t>199</w:t>
            </w:r>
            <w:r>
              <w:rPr>
                <w:rFonts w:cs="Arial"/>
                <w:b/>
                <w:sz w:val="16"/>
                <w:szCs w:val="16"/>
              </w:rPr>
              <w:t>6</w:t>
            </w:r>
          </w:p>
        </w:tc>
        <w:tc>
          <w:tcPr>
            <w:tcW w:w="612" w:type="dxa"/>
            <w:vAlign w:val="center"/>
          </w:tcPr>
          <w:p w:rsidR="00E46063" w:rsidRPr="002A065B" w:rsidRDefault="00E46063" w:rsidP="00614C04">
            <w:pPr>
              <w:jc w:val="center"/>
              <w:rPr>
                <w:rFonts w:cs="Arial"/>
                <w:b/>
                <w:sz w:val="16"/>
                <w:szCs w:val="16"/>
              </w:rPr>
            </w:pPr>
            <w:r w:rsidRPr="002A065B">
              <w:rPr>
                <w:rFonts w:cs="Arial"/>
                <w:b/>
                <w:sz w:val="16"/>
                <w:szCs w:val="16"/>
              </w:rPr>
              <w:t>1998</w:t>
            </w:r>
          </w:p>
        </w:tc>
        <w:tc>
          <w:tcPr>
            <w:tcW w:w="612" w:type="dxa"/>
            <w:vAlign w:val="center"/>
          </w:tcPr>
          <w:p w:rsidR="00E46063" w:rsidRPr="002A065B" w:rsidRDefault="00E46063" w:rsidP="00614C04">
            <w:pPr>
              <w:jc w:val="center"/>
              <w:rPr>
                <w:rFonts w:cs="Arial"/>
                <w:b/>
                <w:sz w:val="16"/>
                <w:szCs w:val="16"/>
              </w:rPr>
            </w:pPr>
            <w:r w:rsidRPr="002A065B">
              <w:rPr>
                <w:rFonts w:cs="Arial"/>
                <w:b/>
                <w:sz w:val="16"/>
                <w:szCs w:val="16"/>
              </w:rPr>
              <w:t>2001</w:t>
            </w:r>
          </w:p>
        </w:tc>
        <w:tc>
          <w:tcPr>
            <w:tcW w:w="612" w:type="dxa"/>
            <w:vAlign w:val="center"/>
          </w:tcPr>
          <w:p w:rsidR="00E46063" w:rsidRPr="002A065B" w:rsidRDefault="00E46063" w:rsidP="00614C04">
            <w:pPr>
              <w:jc w:val="center"/>
              <w:rPr>
                <w:rFonts w:cs="Arial"/>
                <w:b/>
                <w:sz w:val="16"/>
                <w:szCs w:val="16"/>
              </w:rPr>
            </w:pPr>
            <w:r w:rsidRPr="002A065B">
              <w:rPr>
                <w:rFonts w:cs="Arial"/>
                <w:b/>
                <w:sz w:val="16"/>
                <w:szCs w:val="16"/>
              </w:rPr>
              <w:t>2004</w:t>
            </w:r>
          </w:p>
        </w:tc>
        <w:tc>
          <w:tcPr>
            <w:tcW w:w="612" w:type="dxa"/>
            <w:vAlign w:val="center"/>
          </w:tcPr>
          <w:p w:rsidR="00E46063" w:rsidRPr="002A065B" w:rsidRDefault="00E46063" w:rsidP="00614C04">
            <w:pPr>
              <w:jc w:val="center"/>
              <w:rPr>
                <w:rFonts w:cs="Arial"/>
                <w:b/>
                <w:sz w:val="16"/>
                <w:szCs w:val="16"/>
              </w:rPr>
            </w:pPr>
            <w:r>
              <w:rPr>
                <w:rFonts w:cs="Arial"/>
                <w:b/>
                <w:sz w:val="16"/>
                <w:szCs w:val="16"/>
              </w:rPr>
              <w:t>2007</w:t>
            </w:r>
          </w:p>
        </w:tc>
        <w:tc>
          <w:tcPr>
            <w:tcW w:w="592" w:type="dxa"/>
            <w:vAlign w:val="center"/>
          </w:tcPr>
          <w:p w:rsidR="00E46063" w:rsidRPr="002A065B" w:rsidRDefault="00E46063" w:rsidP="00614C04">
            <w:pPr>
              <w:jc w:val="center"/>
              <w:rPr>
                <w:rFonts w:cs="Arial"/>
                <w:b/>
                <w:sz w:val="16"/>
                <w:szCs w:val="16"/>
              </w:rPr>
            </w:pPr>
            <w:r>
              <w:rPr>
                <w:rFonts w:cs="Arial"/>
                <w:b/>
                <w:sz w:val="16"/>
                <w:szCs w:val="16"/>
              </w:rPr>
              <w:t>2008</w:t>
            </w:r>
          </w:p>
        </w:tc>
        <w:tc>
          <w:tcPr>
            <w:tcW w:w="572" w:type="dxa"/>
            <w:vAlign w:val="center"/>
          </w:tcPr>
          <w:p w:rsidR="00E46063" w:rsidRDefault="00E46063" w:rsidP="00614C04">
            <w:pPr>
              <w:jc w:val="center"/>
              <w:rPr>
                <w:rFonts w:cs="Arial"/>
                <w:b/>
                <w:sz w:val="16"/>
                <w:szCs w:val="16"/>
              </w:rPr>
            </w:pPr>
            <w:r>
              <w:rPr>
                <w:rFonts w:cs="Arial"/>
                <w:b/>
                <w:sz w:val="16"/>
                <w:szCs w:val="16"/>
              </w:rPr>
              <w:t>2009</w:t>
            </w:r>
          </w:p>
        </w:tc>
      </w:tr>
      <w:tr w:rsidR="00E46063">
        <w:trPr>
          <w:trHeight w:hRule="exact" w:val="346"/>
          <w:jc w:val="center"/>
        </w:trPr>
        <w:tc>
          <w:tcPr>
            <w:tcW w:w="628" w:type="dxa"/>
            <w:vAlign w:val="center"/>
          </w:tcPr>
          <w:p w:rsidR="00E46063" w:rsidRPr="002A065B" w:rsidRDefault="00E46063" w:rsidP="00614C04">
            <w:pPr>
              <w:jc w:val="center"/>
              <w:rPr>
                <w:rFonts w:cs="Arial"/>
                <w:sz w:val="16"/>
                <w:szCs w:val="16"/>
              </w:rPr>
            </w:pPr>
            <w:r>
              <w:rPr>
                <w:rFonts w:cs="Arial"/>
                <w:sz w:val="16"/>
                <w:szCs w:val="16"/>
              </w:rPr>
              <w:t>58%</w:t>
            </w:r>
          </w:p>
        </w:tc>
        <w:tc>
          <w:tcPr>
            <w:tcW w:w="613" w:type="dxa"/>
            <w:vAlign w:val="center"/>
          </w:tcPr>
          <w:p w:rsidR="00E46063" w:rsidRPr="002A065B" w:rsidRDefault="00E46063" w:rsidP="00614C04">
            <w:pPr>
              <w:jc w:val="center"/>
              <w:rPr>
                <w:rFonts w:cs="Arial"/>
                <w:sz w:val="16"/>
                <w:szCs w:val="16"/>
              </w:rPr>
            </w:pPr>
            <w:r>
              <w:rPr>
                <w:rFonts w:cs="Arial"/>
                <w:sz w:val="16"/>
                <w:szCs w:val="16"/>
              </w:rPr>
              <w:t>59%</w:t>
            </w:r>
          </w:p>
        </w:tc>
        <w:tc>
          <w:tcPr>
            <w:tcW w:w="613" w:type="dxa"/>
            <w:vAlign w:val="center"/>
          </w:tcPr>
          <w:p w:rsidR="00E46063" w:rsidRPr="002A065B" w:rsidRDefault="00E46063" w:rsidP="00614C04">
            <w:pPr>
              <w:jc w:val="center"/>
              <w:rPr>
                <w:rFonts w:cs="Arial"/>
                <w:sz w:val="16"/>
                <w:szCs w:val="16"/>
              </w:rPr>
            </w:pPr>
            <w:r>
              <w:rPr>
                <w:rFonts w:cs="Arial"/>
                <w:sz w:val="16"/>
                <w:szCs w:val="16"/>
              </w:rPr>
              <w:t>61%</w:t>
            </w:r>
          </w:p>
        </w:tc>
        <w:tc>
          <w:tcPr>
            <w:tcW w:w="613" w:type="dxa"/>
            <w:vAlign w:val="center"/>
          </w:tcPr>
          <w:p w:rsidR="00E46063" w:rsidRPr="002A065B" w:rsidRDefault="00E46063" w:rsidP="00614C04">
            <w:pPr>
              <w:jc w:val="center"/>
              <w:rPr>
                <w:rFonts w:cs="Arial"/>
                <w:sz w:val="16"/>
                <w:szCs w:val="16"/>
              </w:rPr>
            </w:pPr>
            <w:r>
              <w:rPr>
                <w:rFonts w:cs="Arial"/>
                <w:sz w:val="16"/>
                <w:szCs w:val="16"/>
              </w:rPr>
              <w:t>59%</w:t>
            </w:r>
          </w:p>
        </w:tc>
        <w:tc>
          <w:tcPr>
            <w:tcW w:w="613" w:type="dxa"/>
            <w:vAlign w:val="center"/>
          </w:tcPr>
          <w:p w:rsidR="00E46063" w:rsidRDefault="00E46063" w:rsidP="00614C04">
            <w:pPr>
              <w:jc w:val="center"/>
              <w:rPr>
                <w:rFonts w:cs="Arial"/>
                <w:sz w:val="16"/>
                <w:szCs w:val="16"/>
              </w:rPr>
            </w:pPr>
            <w:r>
              <w:rPr>
                <w:rFonts w:cs="Arial"/>
                <w:sz w:val="16"/>
                <w:szCs w:val="16"/>
              </w:rPr>
              <w:t>60%</w:t>
            </w:r>
          </w:p>
        </w:tc>
        <w:tc>
          <w:tcPr>
            <w:tcW w:w="612" w:type="dxa"/>
            <w:vAlign w:val="center"/>
          </w:tcPr>
          <w:p w:rsidR="00E46063" w:rsidRPr="002A065B" w:rsidRDefault="00E46063" w:rsidP="00614C04">
            <w:pPr>
              <w:jc w:val="center"/>
              <w:rPr>
                <w:rFonts w:cs="Arial"/>
                <w:sz w:val="16"/>
                <w:szCs w:val="16"/>
              </w:rPr>
            </w:pPr>
            <w:r>
              <w:rPr>
                <w:rFonts w:cs="Arial"/>
                <w:sz w:val="16"/>
                <w:szCs w:val="16"/>
              </w:rPr>
              <w:t>67%</w:t>
            </w:r>
          </w:p>
        </w:tc>
        <w:tc>
          <w:tcPr>
            <w:tcW w:w="612" w:type="dxa"/>
            <w:vAlign w:val="center"/>
          </w:tcPr>
          <w:p w:rsidR="00E46063" w:rsidRPr="002A065B" w:rsidRDefault="00E46063" w:rsidP="00614C04">
            <w:pPr>
              <w:jc w:val="center"/>
              <w:rPr>
                <w:rFonts w:cs="Arial"/>
                <w:sz w:val="16"/>
                <w:szCs w:val="16"/>
              </w:rPr>
            </w:pPr>
            <w:r>
              <w:rPr>
                <w:rFonts w:cs="Arial"/>
                <w:sz w:val="16"/>
                <w:szCs w:val="16"/>
              </w:rPr>
              <w:t>69%</w:t>
            </w:r>
          </w:p>
        </w:tc>
        <w:tc>
          <w:tcPr>
            <w:tcW w:w="612" w:type="dxa"/>
            <w:vAlign w:val="center"/>
          </w:tcPr>
          <w:p w:rsidR="00E46063" w:rsidRPr="002A065B" w:rsidRDefault="00E46063" w:rsidP="00614C04">
            <w:pPr>
              <w:jc w:val="center"/>
              <w:rPr>
                <w:rFonts w:cs="Arial"/>
                <w:sz w:val="16"/>
                <w:szCs w:val="16"/>
              </w:rPr>
            </w:pPr>
            <w:r>
              <w:rPr>
                <w:rFonts w:cs="Arial"/>
                <w:sz w:val="16"/>
                <w:szCs w:val="16"/>
              </w:rPr>
              <w:t>65%</w:t>
            </w:r>
          </w:p>
        </w:tc>
        <w:tc>
          <w:tcPr>
            <w:tcW w:w="612" w:type="dxa"/>
            <w:vAlign w:val="center"/>
          </w:tcPr>
          <w:p w:rsidR="00E46063" w:rsidRPr="002A065B" w:rsidRDefault="00E46063" w:rsidP="00614C04">
            <w:pPr>
              <w:jc w:val="center"/>
              <w:rPr>
                <w:rFonts w:cs="Arial"/>
                <w:sz w:val="16"/>
                <w:szCs w:val="16"/>
              </w:rPr>
            </w:pPr>
            <w:r>
              <w:rPr>
                <w:rFonts w:cs="Arial"/>
                <w:sz w:val="16"/>
                <w:szCs w:val="16"/>
              </w:rPr>
              <w:t>60%</w:t>
            </w:r>
          </w:p>
        </w:tc>
        <w:tc>
          <w:tcPr>
            <w:tcW w:w="612" w:type="dxa"/>
            <w:vAlign w:val="center"/>
          </w:tcPr>
          <w:p w:rsidR="00E46063" w:rsidRPr="002A065B" w:rsidRDefault="00E46063" w:rsidP="00614C04">
            <w:pPr>
              <w:jc w:val="center"/>
              <w:rPr>
                <w:rFonts w:cs="Arial"/>
                <w:sz w:val="16"/>
                <w:szCs w:val="16"/>
              </w:rPr>
            </w:pPr>
            <w:r>
              <w:rPr>
                <w:rFonts w:cs="Arial"/>
                <w:sz w:val="16"/>
                <w:szCs w:val="16"/>
              </w:rPr>
              <w:t>58%</w:t>
            </w:r>
          </w:p>
        </w:tc>
        <w:tc>
          <w:tcPr>
            <w:tcW w:w="612" w:type="dxa"/>
            <w:vAlign w:val="center"/>
          </w:tcPr>
          <w:p w:rsidR="00E46063" w:rsidRPr="002A065B" w:rsidRDefault="00E46063" w:rsidP="00614C04">
            <w:pPr>
              <w:jc w:val="center"/>
              <w:rPr>
                <w:rFonts w:cs="Arial"/>
                <w:sz w:val="16"/>
                <w:szCs w:val="16"/>
              </w:rPr>
            </w:pPr>
            <w:r>
              <w:rPr>
                <w:rFonts w:cs="Arial"/>
                <w:sz w:val="16"/>
                <w:szCs w:val="16"/>
              </w:rPr>
              <w:t>54%</w:t>
            </w:r>
          </w:p>
        </w:tc>
        <w:tc>
          <w:tcPr>
            <w:tcW w:w="612" w:type="dxa"/>
            <w:vAlign w:val="center"/>
          </w:tcPr>
          <w:p w:rsidR="00E46063" w:rsidRDefault="00E46063" w:rsidP="00614C04">
            <w:pPr>
              <w:jc w:val="center"/>
              <w:rPr>
                <w:rFonts w:cs="Arial"/>
                <w:sz w:val="16"/>
                <w:szCs w:val="16"/>
              </w:rPr>
            </w:pPr>
            <w:r>
              <w:rPr>
                <w:rFonts w:cs="Arial"/>
                <w:sz w:val="16"/>
                <w:szCs w:val="16"/>
              </w:rPr>
              <w:t>51%</w:t>
            </w:r>
          </w:p>
        </w:tc>
        <w:tc>
          <w:tcPr>
            <w:tcW w:w="592" w:type="dxa"/>
            <w:vAlign w:val="center"/>
          </w:tcPr>
          <w:p w:rsidR="00E46063" w:rsidRDefault="00E46063" w:rsidP="00614C04">
            <w:pPr>
              <w:jc w:val="center"/>
              <w:rPr>
                <w:rFonts w:cs="Arial"/>
                <w:sz w:val="16"/>
                <w:szCs w:val="16"/>
              </w:rPr>
            </w:pPr>
            <w:r>
              <w:rPr>
                <w:rFonts w:cs="Arial"/>
                <w:sz w:val="16"/>
                <w:szCs w:val="16"/>
              </w:rPr>
              <w:t>50%</w:t>
            </w:r>
          </w:p>
        </w:tc>
        <w:tc>
          <w:tcPr>
            <w:tcW w:w="572" w:type="dxa"/>
            <w:vAlign w:val="center"/>
          </w:tcPr>
          <w:p w:rsidR="00E46063" w:rsidRDefault="00E46063" w:rsidP="00614C04">
            <w:pPr>
              <w:jc w:val="center"/>
              <w:rPr>
                <w:rFonts w:cs="Arial"/>
                <w:sz w:val="16"/>
                <w:szCs w:val="16"/>
              </w:rPr>
            </w:pPr>
            <w:r>
              <w:rPr>
                <w:rFonts w:cs="Arial"/>
                <w:sz w:val="16"/>
                <w:szCs w:val="16"/>
              </w:rPr>
              <w:t>47%</w:t>
            </w:r>
          </w:p>
        </w:tc>
      </w:tr>
    </w:tbl>
    <w:p w:rsidR="00E46063" w:rsidRDefault="00E46063" w:rsidP="00E46063">
      <w:pPr>
        <w:pStyle w:val="Heading3"/>
      </w:pPr>
    </w:p>
    <w:p w:rsidR="00E46063" w:rsidRPr="006E41BF" w:rsidRDefault="00E46063" w:rsidP="00E46063">
      <w:pPr>
        <w:ind w:left="360"/>
        <w:jc w:val="center"/>
        <w:rPr>
          <w:b/>
          <w:sz w:val="18"/>
        </w:rPr>
      </w:pPr>
      <w:r w:rsidRPr="006E41BF">
        <w:rPr>
          <w:b/>
          <w:sz w:val="18"/>
        </w:rPr>
        <w:t>Figure E.1</w:t>
      </w:r>
    </w:p>
    <w:p w:rsidR="00E46063" w:rsidRPr="006E41BF" w:rsidRDefault="00E46063" w:rsidP="00E46063">
      <w:pPr>
        <w:jc w:val="center"/>
        <w:rPr>
          <w:b/>
          <w:sz w:val="18"/>
        </w:rPr>
      </w:pPr>
      <w:r w:rsidRPr="006E41BF">
        <w:rPr>
          <w:b/>
          <w:sz w:val="18"/>
        </w:rPr>
        <w:t>CV threshold set at 60% of the 1998</w:t>
      </w:r>
      <w:r>
        <w:rPr>
          <w:b/>
          <w:sz w:val="18"/>
        </w:rPr>
        <w:t xml:space="preserve"> </w:t>
      </w:r>
      <w:r w:rsidRPr="006E41BF">
        <w:rPr>
          <w:b/>
          <w:sz w:val="18"/>
        </w:rPr>
        <w:t xml:space="preserve">median </w:t>
      </w:r>
    </w:p>
    <w:p w:rsidR="00E46063" w:rsidRPr="006E41BF" w:rsidRDefault="00E46063" w:rsidP="00E46063">
      <w:pPr>
        <w:jc w:val="center"/>
        <w:rPr>
          <w:b/>
          <w:sz w:val="18"/>
        </w:rPr>
      </w:pPr>
      <w:r w:rsidRPr="006E41BF">
        <w:rPr>
          <w:b/>
          <w:sz w:val="18"/>
        </w:rPr>
        <w:t>expressed as a proportion of the contemporary median (</w:t>
      </w:r>
      <w:smartTag w:uri="urn:schemas-microsoft-com:office:smarttags" w:element="stockticker">
        <w:r w:rsidRPr="006E41BF">
          <w:rPr>
            <w:b/>
            <w:sz w:val="18"/>
          </w:rPr>
          <w:t>BHC</w:t>
        </w:r>
      </w:smartTag>
      <w:r w:rsidRPr="006E41BF">
        <w:rPr>
          <w:b/>
          <w:sz w:val="18"/>
        </w:rPr>
        <w:t>), 1982 to 200</w:t>
      </w:r>
      <w:r>
        <w:rPr>
          <w:b/>
          <w:sz w:val="18"/>
        </w:rPr>
        <w:t>9</w:t>
      </w:r>
    </w:p>
    <w:p w:rsidR="00E46063" w:rsidRPr="00002BE3" w:rsidRDefault="00EC0BE0" w:rsidP="00E46063">
      <w:pPr>
        <w:jc w:val="center"/>
      </w:pPr>
      <w:r>
        <w:rPr>
          <w:noProof/>
          <w:lang w:val="en-US"/>
        </w:rPr>
        <w:drawing>
          <wp:inline distT="0" distB="0" distL="0" distR="0">
            <wp:extent cx="3600450" cy="2181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3600450" cy="2181225"/>
                    </a:xfrm>
                    <a:prstGeom prst="rect">
                      <a:avLst/>
                    </a:prstGeom>
                    <a:noFill/>
                    <a:ln w="9525">
                      <a:noFill/>
                      <a:miter lim="800000"/>
                      <a:headEnd/>
                      <a:tailEnd/>
                    </a:ln>
                  </pic:spPr>
                </pic:pic>
              </a:graphicData>
            </a:graphic>
          </wp:inline>
        </w:drawing>
      </w:r>
    </w:p>
    <w:p w:rsidR="00E46063" w:rsidRDefault="00E46063" w:rsidP="00E46063">
      <w:pPr>
        <w:jc w:val="both"/>
        <w:rPr>
          <w:rFonts w:cs="Arial"/>
          <w:sz w:val="20"/>
          <w:szCs w:val="22"/>
        </w:rPr>
      </w:pPr>
    </w:p>
    <w:p w:rsidR="00E46063" w:rsidRDefault="00E46063" w:rsidP="00E46063">
      <w:pPr>
        <w:jc w:val="both"/>
        <w:rPr>
          <w:rFonts w:cs="Arial"/>
          <w:b/>
          <w:sz w:val="20"/>
          <w:szCs w:val="22"/>
          <w:u w:val="single"/>
        </w:rPr>
      </w:pPr>
    </w:p>
    <w:p w:rsidR="00E46063" w:rsidRDefault="00E46063" w:rsidP="00E46063">
      <w:pPr>
        <w:jc w:val="both"/>
        <w:rPr>
          <w:rFonts w:cs="Arial"/>
          <w:sz w:val="20"/>
          <w:szCs w:val="22"/>
        </w:rPr>
      </w:pPr>
      <w:r w:rsidRPr="008B2970">
        <w:rPr>
          <w:rFonts w:cs="Arial"/>
          <w:sz w:val="20"/>
          <w:szCs w:val="22"/>
        </w:rPr>
        <w:t xml:space="preserve">Last year’s report shifted the reference year for ‘fixed line’ poverty measures from 1998 to 2007.  </w:t>
      </w:r>
      <w:r>
        <w:rPr>
          <w:rFonts w:cs="Arial"/>
          <w:sz w:val="20"/>
          <w:szCs w:val="22"/>
        </w:rPr>
        <w:t>Moving the reference year only to 2004 ran the risk of requiring another move of reference year in a relatively few years.  The decision to go to 2007 was made with a view to not having to change it again for some time.</w:t>
      </w:r>
    </w:p>
    <w:p w:rsidR="00E46063" w:rsidRDefault="00E46063" w:rsidP="00E46063">
      <w:pPr>
        <w:jc w:val="both"/>
        <w:rPr>
          <w:rFonts w:cs="Arial"/>
          <w:sz w:val="20"/>
          <w:szCs w:val="22"/>
        </w:rPr>
      </w:pPr>
    </w:p>
    <w:p w:rsidR="00E46063" w:rsidRPr="006E41BF" w:rsidRDefault="00E46063" w:rsidP="00E46063">
      <w:pPr>
        <w:jc w:val="both"/>
        <w:rPr>
          <w:rFonts w:cs="Arial"/>
          <w:sz w:val="20"/>
          <w:szCs w:val="22"/>
        </w:rPr>
      </w:pPr>
      <w:r w:rsidRPr="00C07F29">
        <w:rPr>
          <w:rFonts w:cs="Arial"/>
          <w:b/>
          <w:sz w:val="20"/>
          <w:szCs w:val="22"/>
        </w:rPr>
        <w:lastRenderedPageBreak/>
        <w:t>Figure E.2</w:t>
      </w:r>
      <w:r>
        <w:rPr>
          <w:rFonts w:cs="Arial"/>
          <w:sz w:val="20"/>
          <w:szCs w:val="22"/>
        </w:rPr>
        <w:t xml:space="preserve"> shows the impact of the choice of reference year on where the CV threshold sits relative to the contemporary median.  The continued use of a 1998 CV threshold would have lacked credibility, with its value dipping below 50% of the contemporary median in 2009 and highly likely to reduce even further in the near future.  Moving only to 2004 seemed to be likely to require a another change in perhaps 2011 or 2012, so the reference year was moved to 2007. </w:t>
      </w:r>
    </w:p>
    <w:p w:rsidR="00E46063" w:rsidRPr="006E41BF" w:rsidRDefault="00E46063" w:rsidP="00E46063">
      <w:pPr>
        <w:jc w:val="both"/>
        <w:rPr>
          <w:rFonts w:cs="Arial"/>
          <w:sz w:val="20"/>
          <w:szCs w:val="22"/>
        </w:rPr>
      </w:pPr>
    </w:p>
    <w:p w:rsidR="00E46063" w:rsidRPr="006E41BF" w:rsidRDefault="00E46063" w:rsidP="00E46063">
      <w:pPr>
        <w:ind w:left="360"/>
        <w:jc w:val="center"/>
        <w:rPr>
          <w:b/>
          <w:sz w:val="18"/>
        </w:rPr>
      </w:pPr>
      <w:r w:rsidRPr="006E41BF">
        <w:rPr>
          <w:b/>
          <w:sz w:val="18"/>
        </w:rPr>
        <w:t>Figure E.</w:t>
      </w:r>
      <w:r>
        <w:rPr>
          <w:b/>
          <w:sz w:val="18"/>
        </w:rPr>
        <w:t>2</w:t>
      </w:r>
    </w:p>
    <w:p w:rsidR="00E46063" w:rsidRPr="006E41BF" w:rsidRDefault="00E46063" w:rsidP="00E46063">
      <w:pPr>
        <w:jc w:val="center"/>
        <w:rPr>
          <w:b/>
          <w:sz w:val="18"/>
        </w:rPr>
      </w:pPr>
      <w:r w:rsidRPr="006E41BF">
        <w:rPr>
          <w:b/>
          <w:sz w:val="18"/>
        </w:rPr>
        <w:t>CV threshold set at 60% of the 1998</w:t>
      </w:r>
      <w:r>
        <w:rPr>
          <w:b/>
          <w:sz w:val="18"/>
        </w:rPr>
        <w:t xml:space="preserve">, 2004 and 2007 </w:t>
      </w:r>
      <w:r w:rsidRPr="006E41BF">
        <w:rPr>
          <w:b/>
          <w:sz w:val="18"/>
        </w:rPr>
        <w:t>median</w:t>
      </w:r>
      <w:r>
        <w:rPr>
          <w:b/>
          <w:sz w:val="18"/>
        </w:rPr>
        <w:t>s</w:t>
      </w:r>
      <w:r w:rsidRPr="006E41BF">
        <w:rPr>
          <w:b/>
          <w:sz w:val="18"/>
        </w:rPr>
        <w:t xml:space="preserve"> </w:t>
      </w:r>
    </w:p>
    <w:p w:rsidR="00E46063" w:rsidRPr="006E41BF" w:rsidRDefault="00E46063" w:rsidP="00E46063">
      <w:pPr>
        <w:jc w:val="center"/>
        <w:rPr>
          <w:b/>
          <w:sz w:val="18"/>
        </w:rPr>
      </w:pPr>
      <w:r w:rsidRPr="006E41BF">
        <w:rPr>
          <w:b/>
          <w:sz w:val="18"/>
        </w:rPr>
        <w:t>expressed as a proportion of the contemporary median (</w:t>
      </w:r>
      <w:smartTag w:uri="urn:schemas-microsoft-com:office:smarttags" w:element="stockticker">
        <w:r w:rsidRPr="006E41BF">
          <w:rPr>
            <w:b/>
            <w:sz w:val="18"/>
          </w:rPr>
          <w:t>BHC</w:t>
        </w:r>
      </w:smartTag>
      <w:r w:rsidRPr="006E41BF">
        <w:rPr>
          <w:b/>
          <w:sz w:val="18"/>
        </w:rPr>
        <w:t>), 1982 to 200</w:t>
      </w:r>
      <w:r>
        <w:rPr>
          <w:b/>
          <w:sz w:val="18"/>
        </w:rPr>
        <w:t>9</w:t>
      </w:r>
    </w:p>
    <w:p w:rsidR="00E46063" w:rsidRPr="00CC435A" w:rsidRDefault="00EC0BE0" w:rsidP="00E46063">
      <w:pPr>
        <w:pStyle w:val="Heading3"/>
        <w:jc w:val="center"/>
      </w:pPr>
      <w:r>
        <w:rPr>
          <w:noProof/>
          <w:lang w:val="en-US"/>
        </w:rPr>
        <w:drawing>
          <wp:inline distT="0" distB="0" distL="0" distR="0">
            <wp:extent cx="3486150" cy="2390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3486150" cy="2390775"/>
                    </a:xfrm>
                    <a:prstGeom prst="rect">
                      <a:avLst/>
                    </a:prstGeom>
                    <a:noFill/>
                    <a:ln w="9525">
                      <a:noFill/>
                      <a:miter lim="800000"/>
                      <a:headEnd/>
                      <a:tailEnd/>
                    </a:ln>
                  </pic:spPr>
                </pic:pic>
              </a:graphicData>
            </a:graphic>
          </wp:inline>
        </w:drawing>
      </w:r>
    </w:p>
    <w:p w:rsidR="00E46063" w:rsidRDefault="00E46063" w:rsidP="00E46063">
      <w:pPr>
        <w:jc w:val="both"/>
        <w:rPr>
          <w:rFonts w:cs="Arial"/>
          <w:b/>
          <w:sz w:val="20"/>
          <w:szCs w:val="22"/>
        </w:rPr>
      </w:pPr>
    </w:p>
    <w:p w:rsidR="00E46063" w:rsidRPr="006E41BF" w:rsidRDefault="00E46063" w:rsidP="00E46063">
      <w:pPr>
        <w:jc w:val="both"/>
        <w:rPr>
          <w:rFonts w:cs="Arial"/>
          <w:sz w:val="20"/>
          <w:szCs w:val="22"/>
        </w:rPr>
      </w:pPr>
      <w:r w:rsidRPr="006E41BF">
        <w:rPr>
          <w:rFonts w:cs="Arial"/>
          <w:b/>
          <w:sz w:val="20"/>
          <w:szCs w:val="22"/>
        </w:rPr>
        <w:t>Figure E.</w:t>
      </w:r>
      <w:r>
        <w:rPr>
          <w:rFonts w:cs="Arial"/>
          <w:b/>
          <w:sz w:val="20"/>
          <w:szCs w:val="22"/>
        </w:rPr>
        <w:t>3</w:t>
      </w:r>
      <w:r w:rsidRPr="006E41BF">
        <w:rPr>
          <w:rFonts w:cs="Arial"/>
          <w:sz w:val="20"/>
          <w:szCs w:val="22"/>
        </w:rPr>
        <w:t xml:space="preserve">  shows what a re-basing to 2004</w:t>
      </w:r>
      <w:r>
        <w:rPr>
          <w:rFonts w:cs="Arial"/>
          <w:sz w:val="20"/>
          <w:szCs w:val="22"/>
        </w:rPr>
        <w:t xml:space="preserve"> and 2007</w:t>
      </w:r>
      <w:r w:rsidRPr="006E41BF">
        <w:rPr>
          <w:rFonts w:cs="Arial"/>
          <w:sz w:val="20"/>
          <w:szCs w:val="22"/>
        </w:rPr>
        <w:t xml:space="preserve"> </w:t>
      </w:r>
      <w:r>
        <w:rPr>
          <w:rFonts w:cs="Arial"/>
          <w:sz w:val="20"/>
          <w:szCs w:val="22"/>
        </w:rPr>
        <w:t>does</w:t>
      </w:r>
      <w:r w:rsidRPr="006E41BF">
        <w:rPr>
          <w:rFonts w:cs="Arial"/>
          <w:sz w:val="20"/>
          <w:szCs w:val="22"/>
        </w:rPr>
        <w:t xml:space="preserve"> for the </w:t>
      </w:r>
      <w:smartTag w:uri="urn:schemas-microsoft-com:office:smarttags" w:element="stockticker">
        <w:r w:rsidRPr="006E41BF">
          <w:rPr>
            <w:rFonts w:cs="Arial"/>
            <w:sz w:val="20"/>
            <w:szCs w:val="22"/>
          </w:rPr>
          <w:t>AHC</w:t>
        </w:r>
      </w:smartTag>
      <w:r w:rsidRPr="006E41BF">
        <w:rPr>
          <w:rFonts w:cs="Arial"/>
          <w:sz w:val="20"/>
          <w:szCs w:val="22"/>
        </w:rPr>
        <w:t xml:space="preserve"> 60% CV poverty trend.  In effect it simply shifts the </w:t>
      </w:r>
      <w:r>
        <w:rPr>
          <w:rFonts w:cs="Arial"/>
          <w:sz w:val="20"/>
          <w:szCs w:val="22"/>
        </w:rPr>
        <w:t xml:space="preserve">trend </w:t>
      </w:r>
      <w:r w:rsidRPr="006E41BF">
        <w:rPr>
          <w:rFonts w:cs="Arial"/>
          <w:sz w:val="20"/>
          <w:szCs w:val="22"/>
        </w:rPr>
        <w:t xml:space="preserve">line up over the whole period.  </w:t>
      </w:r>
    </w:p>
    <w:p w:rsidR="00E46063" w:rsidRPr="00C07F29" w:rsidRDefault="00E46063" w:rsidP="00E46063"/>
    <w:p w:rsidR="00E46063" w:rsidRPr="006E41BF" w:rsidRDefault="00E46063" w:rsidP="00E46063">
      <w:pPr>
        <w:pStyle w:val="Heading3"/>
        <w:jc w:val="center"/>
        <w:rPr>
          <w:sz w:val="18"/>
          <w:szCs w:val="20"/>
        </w:rPr>
      </w:pPr>
      <w:r w:rsidRPr="006E41BF">
        <w:rPr>
          <w:sz w:val="18"/>
          <w:szCs w:val="20"/>
        </w:rPr>
        <w:t>Figure E.</w:t>
      </w:r>
      <w:r>
        <w:rPr>
          <w:sz w:val="18"/>
          <w:szCs w:val="20"/>
        </w:rPr>
        <w:t>3</w:t>
      </w:r>
    </w:p>
    <w:p w:rsidR="00E46063" w:rsidRPr="006E41BF" w:rsidRDefault="00E46063" w:rsidP="00E46063">
      <w:pPr>
        <w:jc w:val="center"/>
        <w:rPr>
          <w:b/>
          <w:sz w:val="18"/>
        </w:rPr>
      </w:pPr>
      <w:r w:rsidRPr="006E41BF">
        <w:rPr>
          <w:b/>
          <w:sz w:val="18"/>
        </w:rPr>
        <w:t>Changing the base year from 1998 to</w:t>
      </w:r>
      <w:r>
        <w:rPr>
          <w:b/>
          <w:sz w:val="18"/>
        </w:rPr>
        <w:t xml:space="preserve"> 2004 or</w:t>
      </w:r>
      <w:r w:rsidRPr="006E41BF">
        <w:rPr>
          <w:b/>
          <w:sz w:val="18"/>
        </w:rPr>
        <w:t xml:space="preserve"> 200</w:t>
      </w:r>
      <w:r>
        <w:rPr>
          <w:b/>
          <w:sz w:val="18"/>
        </w:rPr>
        <w:t>7</w:t>
      </w:r>
      <w:r w:rsidRPr="006E41BF">
        <w:rPr>
          <w:b/>
          <w:sz w:val="18"/>
        </w:rPr>
        <w:t xml:space="preserve"> for CV poverty lines:</w:t>
      </w:r>
    </w:p>
    <w:p w:rsidR="00E46063" w:rsidRPr="006E41BF" w:rsidRDefault="00E46063" w:rsidP="00E46063">
      <w:pPr>
        <w:jc w:val="center"/>
        <w:rPr>
          <w:b/>
          <w:sz w:val="18"/>
        </w:rPr>
      </w:pPr>
      <w:r w:rsidRPr="006E41BF">
        <w:rPr>
          <w:b/>
          <w:sz w:val="18"/>
        </w:rPr>
        <w:t xml:space="preserve">an illustration using </w:t>
      </w:r>
      <w:smartTag w:uri="urn:schemas-microsoft-com:office:smarttags" w:element="stockticker">
        <w:r w:rsidRPr="006E41BF">
          <w:rPr>
            <w:b/>
            <w:sz w:val="18"/>
          </w:rPr>
          <w:t>AHC</w:t>
        </w:r>
      </w:smartTag>
      <w:r w:rsidRPr="006E41BF">
        <w:rPr>
          <w:b/>
          <w:sz w:val="18"/>
        </w:rPr>
        <w:t xml:space="preserve"> incomes, 60% CV threshold, whole population</w:t>
      </w:r>
    </w:p>
    <w:p w:rsidR="00E46063" w:rsidRDefault="00EC0BE0" w:rsidP="00E46063">
      <w:pPr>
        <w:jc w:val="center"/>
        <w:rPr>
          <w:rFonts w:cs="Arial"/>
          <w:bCs/>
          <w:sz w:val="20"/>
          <w:szCs w:val="26"/>
          <w:u w:val="single"/>
        </w:rPr>
      </w:pPr>
      <w:r>
        <w:rPr>
          <w:noProof/>
          <w:lang w:val="en-US"/>
        </w:rPr>
        <w:drawing>
          <wp:inline distT="0" distB="0" distL="0" distR="0">
            <wp:extent cx="3476625" cy="2247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3476625" cy="2247900"/>
                    </a:xfrm>
                    <a:prstGeom prst="rect">
                      <a:avLst/>
                    </a:prstGeom>
                    <a:noFill/>
                    <a:ln w="9525">
                      <a:noFill/>
                      <a:miter lim="800000"/>
                      <a:headEnd/>
                      <a:tailEnd/>
                    </a:ln>
                  </pic:spPr>
                </pic:pic>
              </a:graphicData>
            </a:graphic>
          </wp:inline>
        </w:drawing>
      </w:r>
    </w:p>
    <w:p w:rsidR="00E46063" w:rsidRDefault="00E46063" w:rsidP="00E46063">
      <w:pPr>
        <w:rPr>
          <w:rFonts w:cs="Arial"/>
          <w:bCs/>
          <w:sz w:val="20"/>
          <w:szCs w:val="26"/>
          <w:u w:val="single"/>
        </w:rPr>
      </w:pPr>
    </w:p>
    <w:p w:rsidR="00E46063" w:rsidRDefault="00E46063" w:rsidP="00E46063">
      <w:pPr>
        <w:jc w:val="both"/>
        <w:rPr>
          <w:color w:val="000000"/>
          <w:sz w:val="20"/>
        </w:rPr>
      </w:pPr>
    </w:p>
    <w:p w:rsidR="00E46063" w:rsidRDefault="00E46063" w:rsidP="00E46063">
      <w:pPr>
        <w:jc w:val="both"/>
        <w:rPr>
          <w:color w:val="000000"/>
          <w:sz w:val="20"/>
        </w:rPr>
      </w:pPr>
      <w:r w:rsidRPr="00494012">
        <w:rPr>
          <w:color w:val="000000"/>
          <w:sz w:val="20"/>
        </w:rPr>
        <w:t>Reporting on poverty figures back to 1982 using 2007 as the reference year tells us what proportion were ‘poor’ back then relative to a standard set in 2007.  While this is interesting</w:t>
      </w:r>
      <w:r>
        <w:rPr>
          <w:color w:val="000000"/>
          <w:sz w:val="20"/>
        </w:rPr>
        <w:t xml:space="preserve"> (and the report did this last year)</w:t>
      </w:r>
      <w:r w:rsidRPr="00494012">
        <w:rPr>
          <w:color w:val="000000"/>
          <w:sz w:val="20"/>
        </w:rPr>
        <w:t xml:space="preserve">, it has no </w:t>
      </w:r>
      <w:r>
        <w:rPr>
          <w:color w:val="000000"/>
          <w:sz w:val="20"/>
        </w:rPr>
        <w:t xml:space="preserve">real </w:t>
      </w:r>
      <w:r w:rsidRPr="00494012">
        <w:rPr>
          <w:color w:val="000000"/>
          <w:sz w:val="20"/>
        </w:rPr>
        <w:t>value for giving a fair and useful picture of the extent of hardship ‘back then’ relative to the standards prevailing at the time</w:t>
      </w:r>
      <w:r>
        <w:rPr>
          <w:color w:val="000000"/>
          <w:sz w:val="20"/>
        </w:rPr>
        <w:t xml:space="preserve"> or near to it</w:t>
      </w:r>
      <w:r w:rsidRPr="00494012">
        <w:rPr>
          <w:color w:val="000000"/>
          <w:sz w:val="20"/>
        </w:rPr>
        <w:t xml:space="preserve">.  </w:t>
      </w:r>
      <w:r>
        <w:rPr>
          <w:color w:val="000000"/>
          <w:sz w:val="20"/>
        </w:rPr>
        <w:t>In this 2012 report, 2007 CV figures are therefore rarely</w:t>
      </w:r>
      <w:r w:rsidRPr="00494012">
        <w:rPr>
          <w:color w:val="000000"/>
          <w:sz w:val="20"/>
        </w:rPr>
        <w:t xml:space="preserve"> given for </w:t>
      </w:r>
      <w:r>
        <w:rPr>
          <w:color w:val="000000"/>
          <w:sz w:val="20"/>
        </w:rPr>
        <w:t>the years before 2007 – only 1998 CV figures are usually given for these earlier years.</w:t>
      </w:r>
      <w:r w:rsidRPr="00494012">
        <w:rPr>
          <w:color w:val="000000"/>
          <w:sz w:val="20"/>
        </w:rPr>
        <w:t xml:space="preserve">  1998 CV figures are given</w:t>
      </w:r>
      <w:r>
        <w:rPr>
          <w:color w:val="000000"/>
          <w:sz w:val="20"/>
        </w:rPr>
        <w:t xml:space="preserve"> in the main tables</w:t>
      </w:r>
      <w:r w:rsidRPr="00494012">
        <w:rPr>
          <w:color w:val="000000"/>
          <w:sz w:val="20"/>
        </w:rPr>
        <w:t xml:space="preserve"> for 2007 </w:t>
      </w:r>
      <w:r>
        <w:rPr>
          <w:color w:val="000000"/>
          <w:sz w:val="20"/>
        </w:rPr>
        <w:t>to 2011</w:t>
      </w:r>
      <w:r w:rsidRPr="00494012">
        <w:rPr>
          <w:color w:val="000000"/>
          <w:sz w:val="20"/>
        </w:rPr>
        <w:t xml:space="preserve"> to provide </w:t>
      </w:r>
      <w:r>
        <w:rPr>
          <w:color w:val="000000"/>
          <w:sz w:val="20"/>
        </w:rPr>
        <w:t xml:space="preserve">overlap </w:t>
      </w:r>
      <w:r w:rsidRPr="00494012">
        <w:rPr>
          <w:color w:val="000000"/>
          <w:sz w:val="20"/>
        </w:rPr>
        <w:t>comparison for a few years.  The intention is to draw a line on</w:t>
      </w:r>
      <w:r>
        <w:rPr>
          <w:color w:val="000000"/>
          <w:sz w:val="20"/>
        </w:rPr>
        <w:t xml:space="preserve"> any further use of</w:t>
      </w:r>
      <w:r w:rsidRPr="00494012">
        <w:rPr>
          <w:color w:val="000000"/>
          <w:sz w:val="20"/>
        </w:rPr>
        <w:t xml:space="preserve"> this </w:t>
      </w:r>
      <w:r>
        <w:rPr>
          <w:color w:val="000000"/>
          <w:sz w:val="20"/>
        </w:rPr>
        <w:t xml:space="preserve">1998 CV </w:t>
      </w:r>
      <w:r w:rsidRPr="00494012">
        <w:rPr>
          <w:color w:val="000000"/>
          <w:sz w:val="20"/>
        </w:rPr>
        <w:t xml:space="preserve">series </w:t>
      </w:r>
      <w:r>
        <w:rPr>
          <w:color w:val="000000"/>
          <w:sz w:val="20"/>
        </w:rPr>
        <w:t>for years after the 2011 HES.</w:t>
      </w:r>
      <w:r w:rsidRPr="00494012">
        <w:rPr>
          <w:color w:val="000000"/>
          <w:sz w:val="20"/>
        </w:rPr>
        <w:t xml:space="preserve">  </w:t>
      </w:r>
      <w:r>
        <w:rPr>
          <w:color w:val="000000"/>
          <w:sz w:val="20"/>
        </w:rPr>
        <w:t xml:space="preserve"> The discontinuity in the CV series adds a complexity to ‘telling the story’, but it also has the value of making explicit just what the CV (fixed line) approach is about: it emphasises that it too is really a relative measure – a relative measure held fixed for the short-term.</w:t>
      </w:r>
    </w:p>
    <w:p w:rsidR="00E46063" w:rsidRDefault="00E46063" w:rsidP="00E46063">
      <w:pPr>
        <w:jc w:val="both"/>
        <w:rPr>
          <w:rFonts w:cs="Arial"/>
          <w:bCs/>
          <w:sz w:val="20"/>
          <w:szCs w:val="26"/>
          <w:u w:val="single"/>
        </w:rPr>
      </w:pPr>
    </w:p>
    <w:p w:rsidR="00E46063" w:rsidRPr="006E41BF" w:rsidRDefault="00E46063" w:rsidP="00E46063">
      <w:pPr>
        <w:jc w:val="both"/>
        <w:rPr>
          <w:sz w:val="20"/>
          <w:u w:val="single"/>
        </w:rPr>
      </w:pPr>
      <w:r w:rsidRPr="006E41BF">
        <w:rPr>
          <w:rFonts w:cs="Arial"/>
          <w:bCs/>
          <w:sz w:val="20"/>
          <w:szCs w:val="26"/>
          <w:u w:val="single"/>
        </w:rPr>
        <w:t xml:space="preserve">Can poverty rates ever fall using a </w:t>
      </w:r>
      <w:smartTag w:uri="urn:schemas-microsoft-com:office:smarttags" w:element="stockticker">
        <w:r w:rsidRPr="006E41BF">
          <w:rPr>
            <w:rFonts w:cs="Arial"/>
            <w:bCs/>
            <w:sz w:val="20"/>
            <w:szCs w:val="26"/>
            <w:u w:val="single"/>
          </w:rPr>
          <w:t>REL</w:t>
        </w:r>
      </w:smartTag>
      <w:r w:rsidRPr="006E41BF">
        <w:rPr>
          <w:rFonts w:cs="Arial"/>
          <w:bCs/>
          <w:sz w:val="20"/>
          <w:szCs w:val="26"/>
          <w:u w:val="single"/>
        </w:rPr>
        <w:t xml:space="preserve"> or moving threshold approach?</w:t>
      </w:r>
    </w:p>
    <w:p w:rsidR="00E46063" w:rsidRPr="006E41BF" w:rsidRDefault="00E46063" w:rsidP="00E46063">
      <w:pPr>
        <w:jc w:val="both"/>
        <w:rPr>
          <w:sz w:val="20"/>
          <w:szCs w:val="22"/>
        </w:rPr>
      </w:pPr>
    </w:p>
    <w:p w:rsidR="00E46063" w:rsidRPr="006E41BF" w:rsidRDefault="00E46063" w:rsidP="00E46063">
      <w:pPr>
        <w:jc w:val="both"/>
        <w:rPr>
          <w:sz w:val="20"/>
          <w:szCs w:val="22"/>
        </w:rPr>
      </w:pPr>
      <w:r w:rsidRPr="006E41BF">
        <w:rPr>
          <w:sz w:val="20"/>
          <w:szCs w:val="22"/>
        </w:rPr>
        <w:t xml:space="preserve">It has often been pointed out that measuring poverty using a </w:t>
      </w:r>
      <w:smartTag w:uri="urn:schemas-microsoft-com:office:smarttags" w:element="stockticker">
        <w:r w:rsidRPr="006E41BF">
          <w:rPr>
            <w:sz w:val="20"/>
            <w:szCs w:val="22"/>
          </w:rPr>
          <w:t>REL</w:t>
        </w:r>
      </w:smartTag>
      <w:r w:rsidRPr="006E41BF">
        <w:rPr>
          <w:sz w:val="20"/>
          <w:szCs w:val="22"/>
        </w:rPr>
        <w:t xml:space="preserve"> or moving threshold approach makes it very difficult for poverty rates to decline during periods of sustained economic growth.  During such periods, median household incomes are likely to rise, and unless incomes in the bottom decile or two show an equal or greater rise, then poverty rates using a </w:t>
      </w:r>
      <w:smartTag w:uri="urn:schemas-microsoft-com:office:smarttags" w:element="stockticker">
        <w:r w:rsidRPr="006E41BF">
          <w:rPr>
            <w:sz w:val="20"/>
            <w:szCs w:val="22"/>
          </w:rPr>
          <w:t>REL</w:t>
        </w:r>
      </w:smartTag>
      <w:r w:rsidRPr="006E41BF">
        <w:rPr>
          <w:sz w:val="20"/>
          <w:szCs w:val="22"/>
        </w:rPr>
        <w:t xml:space="preserve"> approach will be reported as increasing because the poverty line (set as a proportion of the median) will rise more quickly than the incomes of these low-income households. </w:t>
      </w:r>
    </w:p>
    <w:p w:rsidR="00E46063" w:rsidRPr="006E41BF" w:rsidRDefault="00E46063" w:rsidP="00E46063">
      <w:pPr>
        <w:jc w:val="both"/>
        <w:rPr>
          <w:sz w:val="20"/>
          <w:szCs w:val="22"/>
        </w:rPr>
      </w:pPr>
    </w:p>
    <w:p w:rsidR="00E46063" w:rsidRPr="006E41BF" w:rsidRDefault="00E46063" w:rsidP="00E46063">
      <w:pPr>
        <w:jc w:val="both"/>
        <w:rPr>
          <w:sz w:val="20"/>
          <w:szCs w:val="22"/>
        </w:rPr>
      </w:pPr>
      <w:r w:rsidRPr="006E41BF">
        <w:rPr>
          <w:sz w:val="20"/>
          <w:szCs w:val="22"/>
        </w:rPr>
        <w:t xml:space="preserve">This means that to achieve a reduction in poverty using a </w:t>
      </w:r>
      <w:smartTag w:uri="urn:schemas-microsoft-com:office:smarttags" w:element="stockticker">
        <w:r w:rsidRPr="006E41BF">
          <w:rPr>
            <w:sz w:val="20"/>
            <w:szCs w:val="22"/>
          </w:rPr>
          <w:t>REL</w:t>
        </w:r>
      </w:smartTag>
      <w:r w:rsidRPr="006E41BF">
        <w:rPr>
          <w:sz w:val="20"/>
          <w:szCs w:val="22"/>
        </w:rPr>
        <w:t xml:space="preserve"> approach there has to be a rate of increase in incomes for low-income households that exceeds the rate of increase at the median.  In other words, to achieve </w:t>
      </w:r>
      <w:smartTag w:uri="urn:schemas-microsoft-com:office:smarttags" w:element="stockticker">
        <w:r w:rsidRPr="006E41BF">
          <w:rPr>
            <w:sz w:val="20"/>
            <w:szCs w:val="22"/>
          </w:rPr>
          <w:t>REL</w:t>
        </w:r>
      </w:smartTag>
      <w:r w:rsidRPr="006E41BF">
        <w:rPr>
          <w:sz w:val="20"/>
          <w:szCs w:val="22"/>
        </w:rPr>
        <w:t xml:space="preserve"> poverty reduction requires a changing of the shape of the lower end of the income distribution such that it gets moved to the right, closer to the median.</w:t>
      </w:r>
    </w:p>
    <w:p w:rsidR="00E46063" w:rsidRPr="006E41BF" w:rsidRDefault="00E46063" w:rsidP="00E46063">
      <w:pPr>
        <w:jc w:val="both"/>
        <w:rPr>
          <w:sz w:val="20"/>
          <w:szCs w:val="22"/>
        </w:rPr>
      </w:pPr>
    </w:p>
    <w:p w:rsidR="00E46063" w:rsidRPr="006E41BF" w:rsidRDefault="00E46063" w:rsidP="00E46063">
      <w:pPr>
        <w:jc w:val="both"/>
        <w:rPr>
          <w:sz w:val="20"/>
          <w:szCs w:val="22"/>
        </w:rPr>
      </w:pPr>
      <w:r w:rsidRPr="006E41BF">
        <w:rPr>
          <w:sz w:val="20"/>
          <w:szCs w:val="22"/>
        </w:rPr>
        <w:t>The Working for Families (WFF) package, progressively introduced from 2004 to 2007, put an additional $1.6b per annum mainly into low- to mid</w:t>
      </w:r>
      <w:r>
        <w:rPr>
          <w:sz w:val="20"/>
          <w:szCs w:val="22"/>
        </w:rPr>
        <w:t>dle-</w:t>
      </w:r>
      <w:r w:rsidRPr="006E41BF">
        <w:rPr>
          <w:sz w:val="20"/>
          <w:szCs w:val="22"/>
        </w:rPr>
        <w:t>income families once fully implemented.  Although a little of the new money went to families at or above the median, the bulk went to families below the median and especially to those well below it.  The shape of the bottom end of the income distribution was changed by the WFF package (see Figure D.1</w:t>
      </w:r>
      <w:r>
        <w:rPr>
          <w:sz w:val="20"/>
          <w:szCs w:val="22"/>
        </w:rPr>
        <w:t>4</w:t>
      </w:r>
      <w:r w:rsidRPr="006E41BF">
        <w:rPr>
          <w:sz w:val="20"/>
          <w:szCs w:val="22"/>
        </w:rPr>
        <w:t>), and child poverty rates were reduced from 2004 to 2007 as a result, even on moving line measures.</w:t>
      </w:r>
    </w:p>
    <w:p w:rsidR="00E46063" w:rsidRPr="006E41BF" w:rsidRDefault="00E46063" w:rsidP="00E46063">
      <w:pPr>
        <w:jc w:val="both"/>
        <w:rPr>
          <w:sz w:val="20"/>
          <w:szCs w:val="22"/>
        </w:rPr>
      </w:pPr>
    </w:p>
    <w:bookmarkEnd w:id="103"/>
    <w:p w:rsidR="00E46063" w:rsidRPr="006E41BF" w:rsidRDefault="00E46063" w:rsidP="00E46063">
      <w:pPr>
        <w:rPr>
          <w:b/>
          <w:sz w:val="20"/>
        </w:rPr>
      </w:pPr>
      <w:r w:rsidRPr="006E41BF">
        <w:rPr>
          <w:b/>
          <w:sz w:val="20"/>
        </w:rPr>
        <w:t>Reporting levels and trends for older New Zealanders (aged 65+)</w:t>
      </w:r>
    </w:p>
    <w:p w:rsidR="00E46063" w:rsidRPr="006E41BF" w:rsidRDefault="00E46063" w:rsidP="00E46063">
      <w:pPr>
        <w:pStyle w:val="Heading3"/>
        <w:rPr>
          <w:sz w:val="20"/>
        </w:rPr>
      </w:pPr>
    </w:p>
    <w:p w:rsidR="00E46063" w:rsidRPr="006E41BF" w:rsidRDefault="00E46063" w:rsidP="00E46063">
      <w:pPr>
        <w:pStyle w:val="Heading3"/>
        <w:jc w:val="both"/>
        <w:rPr>
          <w:b w:val="0"/>
          <w:sz w:val="20"/>
        </w:rPr>
      </w:pPr>
      <w:r w:rsidRPr="006E41BF">
        <w:rPr>
          <w:sz w:val="20"/>
        </w:rPr>
        <w:t>Section A</w:t>
      </w:r>
      <w:r w:rsidRPr="006E41BF">
        <w:rPr>
          <w:b w:val="0"/>
          <w:sz w:val="20"/>
        </w:rPr>
        <w:t xml:space="preserve"> drew attention to the pensioner spike as a distinctive feature of </w:t>
      </w:r>
      <w:smartTag w:uri="urn:schemas-microsoft-com:office:smarttags" w:element="place">
        <w:smartTag w:uri="urn:schemas-microsoft-com:office:smarttags" w:element="country-region">
          <w:r w:rsidRPr="006E41BF">
            <w:rPr>
              <w:b w:val="0"/>
              <w:sz w:val="20"/>
            </w:rPr>
            <w:t>New Zealand</w:t>
          </w:r>
        </w:smartTag>
      </w:smartTag>
      <w:r w:rsidRPr="006E41BF">
        <w:rPr>
          <w:b w:val="0"/>
          <w:sz w:val="20"/>
        </w:rPr>
        <w:t xml:space="preserve">’s </w:t>
      </w:r>
      <w:smartTag w:uri="urn:schemas-microsoft-com:office:smarttags" w:element="stockticker">
        <w:r w:rsidRPr="006E41BF">
          <w:rPr>
            <w:b w:val="0"/>
            <w:sz w:val="20"/>
          </w:rPr>
          <w:t>BHC</w:t>
        </w:r>
      </w:smartTag>
      <w:r w:rsidRPr="006E41BF">
        <w:rPr>
          <w:b w:val="0"/>
          <w:sz w:val="20"/>
        </w:rPr>
        <w:t xml:space="preserve"> income distribution.  The spike is a direct consequence of (a) </w:t>
      </w:r>
      <w:smartTag w:uri="urn:schemas-microsoft-com:office:smarttags" w:element="place">
        <w:smartTag w:uri="urn:schemas-microsoft-com:office:smarttags" w:element="country-region">
          <w:r w:rsidRPr="006E41BF">
            <w:rPr>
              <w:b w:val="0"/>
              <w:sz w:val="20"/>
            </w:rPr>
            <w:t>New Zealand</w:t>
          </w:r>
        </w:smartTag>
      </w:smartTag>
      <w:r w:rsidRPr="006E41BF">
        <w:rPr>
          <w:b w:val="0"/>
          <w:sz w:val="20"/>
        </w:rPr>
        <w:t xml:space="preserve"> having a universal New Zealand Superannuation (NZS) that is neither income nor asset tested, and (b) there being a good proportion of superannuitants with little other income over and above NZS.  </w:t>
      </w:r>
    </w:p>
    <w:p w:rsidR="00E46063" w:rsidRPr="006E41BF" w:rsidRDefault="00E46063" w:rsidP="00E46063">
      <w:pPr>
        <w:rPr>
          <w:sz w:val="20"/>
        </w:rPr>
      </w:pPr>
    </w:p>
    <w:p w:rsidR="00E46063" w:rsidRDefault="00E46063" w:rsidP="00E46063">
      <w:pPr>
        <w:jc w:val="both"/>
        <w:rPr>
          <w:rFonts w:cs="Arial"/>
          <w:sz w:val="20"/>
          <w:szCs w:val="22"/>
        </w:rPr>
      </w:pPr>
      <w:r w:rsidRPr="006E41BF">
        <w:rPr>
          <w:rFonts w:cs="Arial"/>
          <w:sz w:val="20"/>
          <w:szCs w:val="22"/>
        </w:rPr>
        <w:t>The spike has implications for reporting on income poverty both for the 65+ and more generally.  In the period from 1982 to 200</w:t>
      </w:r>
      <w:r>
        <w:rPr>
          <w:rFonts w:cs="Arial"/>
          <w:sz w:val="20"/>
          <w:szCs w:val="22"/>
        </w:rPr>
        <w:t>4</w:t>
      </w:r>
      <w:r w:rsidRPr="006E41BF">
        <w:rPr>
          <w:rFonts w:cs="Arial"/>
          <w:sz w:val="20"/>
          <w:szCs w:val="22"/>
        </w:rPr>
        <w:t xml:space="preserve"> the value of NZS moved within a range of </w:t>
      </w:r>
      <w:r>
        <w:rPr>
          <w:rFonts w:cs="Arial"/>
          <w:sz w:val="20"/>
          <w:szCs w:val="22"/>
        </w:rPr>
        <w:t>56</w:t>
      </w:r>
      <w:r w:rsidRPr="006E41BF">
        <w:rPr>
          <w:rFonts w:cs="Arial"/>
          <w:sz w:val="20"/>
          <w:szCs w:val="22"/>
        </w:rPr>
        <w:t>% to 67% of the median household income (</w:t>
      </w:r>
      <w:smartTag w:uri="urn:schemas-microsoft-com:office:smarttags" w:element="stockticker">
        <w:r w:rsidRPr="006E41BF">
          <w:rPr>
            <w:rFonts w:cs="Arial"/>
            <w:sz w:val="20"/>
            <w:szCs w:val="22"/>
          </w:rPr>
          <w:t>BHC</w:t>
        </w:r>
      </w:smartTag>
      <w:r w:rsidRPr="006E41BF">
        <w:rPr>
          <w:rFonts w:cs="Arial"/>
          <w:sz w:val="20"/>
          <w:szCs w:val="22"/>
        </w:rPr>
        <w:t xml:space="preserve">).  This means that on a </w:t>
      </w:r>
      <w:smartTag w:uri="urn:schemas-microsoft-com:office:smarttags" w:element="stockticker">
        <w:r w:rsidRPr="006E41BF">
          <w:rPr>
            <w:rFonts w:cs="Arial"/>
            <w:sz w:val="20"/>
            <w:szCs w:val="22"/>
          </w:rPr>
          <w:t>BHC</w:t>
        </w:r>
      </w:smartTag>
      <w:r w:rsidRPr="006E41BF">
        <w:rPr>
          <w:rFonts w:cs="Arial"/>
          <w:sz w:val="20"/>
          <w:szCs w:val="22"/>
        </w:rPr>
        <w:t xml:space="preserve"> basis income poverty rates for the 65+ in the period are reported as near to zero using a 50% threshold.</w:t>
      </w:r>
      <w:r>
        <w:rPr>
          <w:rStyle w:val="FootnoteReference"/>
          <w:rFonts w:cs="Arial"/>
          <w:sz w:val="20"/>
          <w:szCs w:val="22"/>
        </w:rPr>
        <w:footnoteReference w:id="61"/>
      </w:r>
      <w:r w:rsidRPr="006E41BF">
        <w:rPr>
          <w:rFonts w:cs="Arial"/>
          <w:sz w:val="20"/>
          <w:szCs w:val="22"/>
        </w:rPr>
        <w:t xml:space="preserve">  Using a 60% threshold they f</w:t>
      </w:r>
      <w:r>
        <w:rPr>
          <w:rFonts w:cs="Arial"/>
          <w:sz w:val="20"/>
          <w:szCs w:val="22"/>
        </w:rPr>
        <w:t>e</w:t>
      </w:r>
      <w:r w:rsidRPr="006E41BF">
        <w:rPr>
          <w:rFonts w:cs="Arial"/>
          <w:sz w:val="20"/>
          <w:szCs w:val="22"/>
        </w:rPr>
        <w:t>ll from 25% in 1988 to close to zero in the mid 1990s when the median fell in real terms and NZS was above the 60% threshold, and in 20</w:t>
      </w:r>
      <w:r>
        <w:rPr>
          <w:rFonts w:cs="Arial"/>
          <w:sz w:val="20"/>
          <w:szCs w:val="22"/>
        </w:rPr>
        <w:t>10</w:t>
      </w:r>
      <w:r w:rsidRPr="006E41BF">
        <w:rPr>
          <w:rFonts w:cs="Arial"/>
          <w:sz w:val="20"/>
          <w:szCs w:val="22"/>
        </w:rPr>
        <w:t xml:space="preserve"> </w:t>
      </w:r>
      <w:r>
        <w:rPr>
          <w:rFonts w:cs="Arial"/>
          <w:sz w:val="20"/>
          <w:szCs w:val="22"/>
        </w:rPr>
        <w:t>were</w:t>
      </w:r>
      <w:r w:rsidRPr="006E41BF">
        <w:rPr>
          <w:rFonts w:cs="Arial"/>
          <w:sz w:val="20"/>
          <w:szCs w:val="22"/>
        </w:rPr>
        <w:t xml:space="preserve"> at </w:t>
      </w:r>
      <w:r>
        <w:rPr>
          <w:rFonts w:cs="Arial"/>
          <w:sz w:val="20"/>
          <w:szCs w:val="22"/>
        </w:rPr>
        <w:t>39</w:t>
      </w:r>
      <w:r w:rsidRPr="006E41BF">
        <w:rPr>
          <w:rFonts w:cs="Arial"/>
          <w:sz w:val="20"/>
          <w:szCs w:val="22"/>
        </w:rPr>
        <w:t>% as the median ha</w:t>
      </w:r>
      <w:r>
        <w:rPr>
          <w:rFonts w:cs="Arial"/>
          <w:sz w:val="20"/>
          <w:szCs w:val="22"/>
        </w:rPr>
        <w:t>d</w:t>
      </w:r>
      <w:r w:rsidRPr="006E41BF">
        <w:rPr>
          <w:rFonts w:cs="Arial"/>
          <w:sz w:val="20"/>
          <w:szCs w:val="22"/>
        </w:rPr>
        <w:t xml:space="preserve"> risen in real terms and the NZS value </w:t>
      </w:r>
      <w:r>
        <w:rPr>
          <w:rFonts w:cs="Arial"/>
          <w:sz w:val="20"/>
          <w:szCs w:val="22"/>
        </w:rPr>
        <w:t>was</w:t>
      </w:r>
      <w:r w:rsidRPr="006E41BF">
        <w:rPr>
          <w:rFonts w:cs="Arial"/>
          <w:sz w:val="20"/>
          <w:szCs w:val="22"/>
        </w:rPr>
        <w:t xml:space="preserve"> </w:t>
      </w:r>
      <w:r>
        <w:rPr>
          <w:rFonts w:cs="Arial"/>
          <w:sz w:val="20"/>
          <w:szCs w:val="22"/>
        </w:rPr>
        <w:t xml:space="preserve">well </w:t>
      </w:r>
      <w:r w:rsidRPr="006E41BF">
        <w:rPr>
          <w:rFonts w:cs="Arial"/>
          <w:sz w:val="20"/>
          <w:szCs w:val="22"/>
        </w:rPr>
        <w:t>below the 60% threshold.  These features (</w:t>
      </w:r>
      <w:r>
        <w:rPr>
          <w:rFonts w:cs="Arial"/>
          <w:sz w:val="20"/>
          <w:szCs w:val="22"/>
        </w:rPr>
        <w:t>low</w:t>
      </w:r>
      <w:r w:rsidRPr="006E41BF">
        <w:rPr>
          <w:rFonts w:cs="Arial"/>
          <w:sz w:val="20"/>
          <w:szCs w:val="22"/>
        </w:rPr>
        <w:t xml:space="preserve"> for 50%</w:t>
      </w:r>
      <w:r>
        <w:rPr>
          <w:rFonts w:cs="Arial"/>
          <w:sz w:val="20"/>
          <w:szCs w:val="22"/>
        </w:rPr>
        <w:t xml:space="preserve"> then high,</w:t>
      </w:r>
      <w:r w:rsidRPr="006E41BF">
        <w:rPr>
          <w:rFonts w:cs="Arial"/>
          <w:sz w:val="20"/>
          <w:szCs w:val="22"/>
        </w:rPr>
        <w:t xml:space="preserve"> and very volatile for 60%) mean that a </w:t>
      </w:r>
      <w:smartTag w:uri="urn:schemas-microsoft-com:office:smarttags" w:element="stockticker">
        <w:r w:rsidRPr="006E41BF">
          <w:rPr>
            <w:rFonts w:cs="Arial"/>
            <w:sz w:val="20"/>
            <w:szCs w:val="22"/>
          </w:rPr>
          <w:t>BHC</w:t>
        </w:r>
      </w:smartTag>
      <w:r w:rsidRPr="006E41BF">
        <w:rPr>
          <w:rFonts w:cs="Arial"/>
          <w:sz w:val="20"/>
          <w:szCs w:val="22"/>
        </w:rPr>
        <w:t xml:space="preserve"> approach for reporting trends in poverty rates for the 65+ is not useful.  This is further discussed in </w:t>
      </w:r>
      <w:r w:rsidRPr="006E41BF">
        <w:rPr>
          <w:rFonts w:cs="Arial"/>
          <w:b/>
          <w:sz w:val="20"/>
          <w:szCs w:val="22"/>
        </w:rPr>
        <w:t xml:space="preserve">Section </w:t>
      </w:r>
      <w:r>
        <w:rPr>
          <w:rFonts w:cs="Arial"/>
          <w:b/>
          <w:sz w:val="20"/>
          <w:szCs w:val="22"/>
        </w:rPr>
        <w:t>I</w:t>
      </w:r>
      <w:r w:rsidRPr="006E41BF">
        <w:rPr>
          <w:rFonts w:cs="Arial"/>
          <w:sz w:val="20"/>
          <w:szCs w:val="22"/>
        </w:rPr>
        <w:t>.</w:t>
      </w:r>
    </w:p>
    <w:p w:rsidR="00E46063" w:rsidRDefault="00E46063" w:rsidP="00E46063">
      <w:pPr>
        <w:jc w:val="both"/>
        <w:rPr>
          <w:rFonts w:cs="Arial"/>
          <w:sz w:val="20"/>
          <w:szCs w:val="22"/>
        </w:rPr>
      </w:pPr>
    </w:p>
    <w:p w:rsidR="00E46063" w:rsidRPr="006E41BF" w:rsidRDefault="00E46063" w:rsidP="00E46063">
      <w:pPr>
        <w:jc w:val="both"/>
        <w:rPr>
          <w:rFonts w:cs="Arial"/>
          <w:sz w:val="20"/>
          <w:szCs w:val="22"/>
        </w:rPr>
      </w:pPr>
      <w:r>
        <w:rPr>
          <w:rFonts w:cs="Arial"/>
          <w:sz w:val="20"/>
          <w:szCs w:val="22"/>
        </w:rPr>
        <w:t xml:space="preserve">In 2009, the value of NZS relative to the median had fallen to 48%, so on a 50% of median measure, </w:t>
      </w:r>
      <w:smartTag w:uri="urn:schemas-microsoft-com:office:smarttags" w:element="stockticker">
        <w:r>
          <w:rPr>
            <w:rFonts w:cs="Arial"/>
            <w:sz w:val="20"/>
            <w:szCs w:val="22"/>
          </w:rPr>
          <w:t>BHC</w:t>
        </w:r>
      </w:smartTag>
      <w:r>
        <w:rPr>
          <w:rFonts w:cs="Arial"/>
          <w:sz w:val="20"/>
          <w:szCs w:val="22"/>
        </w:rPr>
        <w:t xml:space="preserve"> poverty rates for older New Zealanders are reported as fairly rapidly rising from very low in 2001 to 22% in 2009.  This leaves the misleading impression that the living standards of a sizeable group of older New Zealanders took a sudden turn for the worse over the few years up to 2009. </w:t>
      </w:r>
    </w:p>
    <w:p w:rsidR="00E46063" w:rsidRPr="006E41BF" w:rsidRDefault="00E46063" w:rsidP="00E46063">
      <w:pPr>
        <w:jc w:val="both"/>
        <w:rPr>
          <w:rFonts w:cs="Arial"/>
          <w:sz w:val="20"/>
          <w:szCs w:val="22"/>
        </w:rPr>
      </w:pPr>
    </w:p>
    <w:p w:rsidR="00E46063" w:rsidRPr="006E41BF" w:rsidRDefault="00E46063" w:rsidP="00E46063">
      <w:pPr>
        <w:ind w:right="-25"/>
        <w:jc w:val="both"/>
        <w:rPr>
          <w:sz w:val="20"/>
        </w:rPr>
      </w:pPr>
      <w:r w:rsidRPr="006E41BF">
        <w:rPr>
          <w:sz w:val="20"/>
        </w:rPr>
        <w:t xml:space="preserve">The </w:t>
      </w:r>
      <w:smartTag w:uri="urn:schemas-microsoft-com:office:smarttags" w:element="stockticker">
        <w:r w:rsidRPr="006E41BF">
          <w:rPr>
            <w:sz w:val="20"/>
          </w:rPr>
          <w:t>AHC</w:t>
        </w:r>
      </w:smartTag>
      <w:r w:rsidRPr="006E41BF">
        <w:rPr>
          <w:sz w:val="20"/>
        </w:rPr>
        <w:t xml:space="preserve"> distribution still has some strong bunching but the pensioner spike is not as sharp.  Furthermor</w:t>
      </w:r>
      <w:r>
        <w:rPr>
          <w:sz w:val="20"/>
        </w:rPr>
        <w:t>e, what remains of the spike is</w:t>
      </w:r>
      <w:r w:rsidRPr="006E41BF">
        <w:rPr>
          <w:sz w:val="20"/>
        </w:rPr>
        <w:t xml:space="preserve"> </w:t>
      </w:r>
      <w:r>
        <w:rPr>
          <w:sz w:val="20"/>
        </w:rPr>
        <w:t xml:space="preserve">well </w:t>
      </w:r>
      <w:r w:rsidRPr="006E41BF">
        <w:rPr>
          <w:sz w:val="20"/>
        </w:rPr>
        <w:t xml:space="preserve">above the </w:t>
      </w:r>
      <w:r>
        <w:rPr>
          <w:sz w:val="20"/>
        </w:rPr>
        <w:t>5</w:t>
      </w:r>
      <w:r w:rsidRPr="006E41BF">
        <w:rPr>
          <w:sz w:val="20"/>
        </w:rPr>
        <w:t xml:space="preserve">0% of median threshold for </w:t>
      </w:r>
      <w:smartTag w:uri="urn:schemas-microsoft-com:office:smarttags" w:element="stockticker">
        <w:r w:rsidRPr="006E41BF">
          <w:rPr>
            <w:sz w:val="20"/>
          </w:rPr>
          <w:t>AHC</w:t>
        </w:r>
      </w:smartTag>
      <w:r w:rsidRPr="006E41BF">
        <w:rPr>
          <w:sz w:val="20"/>
        </w:rPr>
        <w:t xml:space="preserve"> incomes</w:t>
      </w:r>
      <w:r>
        <w:rPr>
          <w:sz w:val="20"/>
        </w:rPr>
        <w:t>, and is mainly above the 60% of median threshold</w:t>
      </w:r>
      <w:r w:rsidRPr="006E41BF">
        <w:rPr>
          <w:sz w:val="20"/>
        </w:rPr>
        <w:t xml:space="preserve">.  Small shifts in the median or the threshold do not therefore have the same disproportionate and misleading effects on (trends in) poverty rates for the 65+ as they do when using </w:t>
      </w:r>
      <w:smartTag w:uri="urn:schemas-microsoft-com:office:smarttags" w:element="stockticker">
        <w:r w:rsidRPr="006E41BF">
          <w:rPr>
            <w:sz w:val="20"/>
          </w:rPr>
          <w:t>BHC</w:t>
        </w:r>
      </w:smartTag>
      <w:r w:rsidRPr="006E41BF">
        <w:rPr>
          <w:sz w:val="20"/>
        </w:rPr>
        <w:t xml:space="preserve"> incomes.  </w:t>
      </w:r>
    </w:p>
    <w:p w:rsidR="00E46063" w:rsidRPr="006E41BF" w:rsidRDefault="00E46063" w:rsidP="00E46063">
      <w:pPr>
        <w:ind w:right="-25"/>
        <w:jc w:val="both"/>
        <w:rPr>
          <w:sz w:val="20"/>
        </w:rPr>
      </w:pPr>
    </w:p>
    <w:p w:rsidR="00E46063" w:rsidRPr="006E41BF" w:rsidRDefault="00E46063" w:rsidP="00E46063">
      <w:pPr>
        <w:ind w:right="-25"/>
        <w:jc w:val="both"/>
        <w:rPr>
          <w:rFonts w:cs="Arial"/>
          <w:sz w:val="20"/>
          <w:szCs w:val="22"/>
        </w:rPr>
      </w:pPr>
      <w:r w:rsidRPr="006E41BF">
        <w:rPr>
          <w:sz w:val="20"/>
        </w:rPr>
        <w:t xml:space="preserve">This report therefore uses the </w:t>
      </w:r>
      <w:smartTag w:uri="urn:schemas-microsoft-com:office:smarttags" w:element="stockticker">
        <w:r w:rsidRPr="006E41BF">
          <w:rPr>
            <w:sz w:val="20"/>
          </w:rPr>
          <w:t>AHC</w:t>
        </w:r>
      </w:smartTag>
      <w:r w:rsidRPr="006E41BF">
        <w:rPr>
          <w:sz w:val="20"/>
        </w:rPr>
        <w:t xml:space="preserve"> approach as the primary one for reporting on poverty rates for the 65+ and therefore for all subgroups so that the comparisons are on the same metric (see </w:t>
      </w:r>
      <w:r w:rsidRPr="006E41BF">
        <w:rPr>
          <w:b/>
          <w:sz w:val="20"/>
        </w:rPr>
        <w:t xml:space="preserve">Appendix 5 </w:t>
      </w:r>
      <w:r w:rsidRPr="006E41BF">
        <w:rPr>
          <w:sz w:val="20"/>
        </w:rPr>
        <w:t xml:space="preserve">for more detail on this decision, or the </w:t>
      </w:r>
      <w:r w:rsidRPr="006E41BF">
        <w:rPr>
          <w:b/>
          <w:sz w:val="20"/>
        </w:rPr>
        <w:t>Introduction</w:t>
      </w:r>
      <w:r w:rsidRPr="006E41BF">
        <w:rPr>
          <w:sz w:val="20"/>
        </w:rPr>
        <w:t xml:space="preserve"> for a summary of the key points).  </w:t>
      </w:r>
    </w:p>
    <w:p w:rsidR="00E46063" w:rsidRPr="00161F8B" w:rsidRDefault="00E46063" w:rsidP="00E46063">
      <w:pPr>
        <w:pStyle w:val="Heading3"/>
        <w:rPr>
          <w:b w:val="0"/>
          <w:szCs w:val="22"/>
        </w:rPr>
      </w:pPr>
      <w:bookmarkStart w:id="104" w:name="_Toc115142523"/>
      <w:bookmarkEnd w:id="100"/>
      <w:bookmarkEnd w:id="101"/>
      <w:bookmarkEnd w:id="102"/>
      <w:r w:rsidRPr="006E41BF">
        <w:rPr>
          <w:sz w:val="20"/>
        </w:rPr>
        <w:br w:type="page"/>
      </w:r>
      <w:r w:rsidRPr="00161F8B">
        <w:rPr>
          <w:szCs w:val="22"/>
        </w:rPr>
        <w:lastRenderedPageBreak/>
        <w:t>The low-income thresholds or poverty lines used in this report</w:t>
      </w:r>
    </w:p>
    <w:p w:rsidR="00E46063" w:rsidRPr="00161F8B" w:rsidRDefault="00E46063" w:rsidP="00E46063">
      <w:pPr>
        <w:pStyle w:val="Heading3"/>
        <w:jc w:val="both"/>
        <w:rPr>
          <w:b w:val="0"/>
          <w:sz w:val="18"/>
          <w:szCs w:val="18"/>
        </w:rPr>
      </w:pPr>
      <w:bookmarkStart w:id="105" w:name="_Toc115142521"/>
    </w:p>
    <w:p w:rsidR="00E46063" w:rsidRPr="006E41BF" w:rsidRDefault="00E46063" w:rsidP="00E46063">
      <w:pPr>
        <w:jc w:val="both"/>
        <w:rPr>
          <w:sz w:val="20"/>
        </w:rPr>
      </w:pPr>
      <w:r w:rsidRPr="006E41BF">
        <w:rPr>
          <w:sz w:val="20"/>
        </w:rPr>
        <w:t xml:space="preserve">This report uses low-income thresholds or ‘poverty lines’ for </w:t>
      </w:r>
      <w:smartTag w:uri="urn:schemas-microsoft-com:office:smarttags" w:element="stockticker">
        <w:r w:rsidRPr="006E41BF">
          <w:rPr>
            <w:sz w:val="20"/>
          </w:rPr>
          <w:t>BHC</w:t>
        </w:r>
      </w:smartTag>
      <w:r w:rsidRPr="006E41BF">
        <w:rPr>
          <w:sz w:val="20"/>
        </w:rPr>
        <w:t xml:space="preserve"> incomes set at 50% and 60% of the median equivalised household income (</w:t>
      </w:r>
      <w:smartTag w:uri="urn:schemas-microsoft-com:office:smarttags" w:element="stockticker">
        <w:r w:rsidRPr="006E41BF">
          <w:rPr>
            <w:sz w:val="20"/>
          </w:rPr>
          <w:t>BHC</w:t>
        </w:r>
      </w:smartTag>
      <w:r w:rsidRPr="006E41BF">
        <w:rPr>
          <w:sz w:val="20"/>
        </w:rPr>
        <w:t>), using both ‘moving’ and ‘fixed’ thresholds (</w:t>
      </w:r>
      <w:smartTag w:uri="urn:schemas-microsoft-com:office:smarttags" w:element="stockticker">
        <w:r w:rsidRPr="006E41BF">
          <w:rPr>
            <w:sz w:val="20"/>
          </w:rPr>
          <w:t>REL</w:t>
        </w:r>
      </w:smartTag>
      <w:r w:rsidRPr="006E41BF">
        <w:rPr>
          <w:sz w:val="20"/>
        </w:rPr>
        <w:t xml:space="preserve"> and CV).  The thresholds for housing-adjusted incomes (</w:t>
      </w:r>
      <w:smartTag w:uri="urn:schemas-microsoft-com:office:smarttags" w:element="stockticker">
        <w:r w:rsidRPr="006E41BF">
          <w:rPr>
            <w:sz w:val="20"/>
          </w:rPr>
          <w:t>AHC</w:t>
        </w:r>
      </w:smartTag>
      <w:r w:rsidRPr="006E41BF">
        <w:rPr>
          <w:sz w:val="20"/>
        </w:rPr>
        <w:t xml:space="preserve">) are set at the </w:t>
      </w:r>
      <w:smartTag w:uri="urn:schemas-microsoft-com:office:smarttags" w:element="stockticker">
        <w:r w:rsidRPr="006E41BF">
          <w:rPr>
            <w:sz w:val="20"/>
          </w:rPr>
          <w:t>BHC</w:t>
        </w:r>
      </w:smartTag>
      <w:r w:rsidRPr="006E41BF">
        <w:rPr>
          <w:sz w:val="20"/>
        </w:rPr>
        <w:t xml:space="preserve"> thresholds less 25% as an allowance for housing costs.  </w:t>
      </w:r>
      <w:r w:rsidRPr="006E41BF">
        <w:rPr>
          <w:sz w:val="20"/>
          <w:szCs w:val="22"/>
        </w:rPr>
        <w:t>The rationale for the choice of thresholds (</w:t>
      </w:r>
      <w:smartTag w:uri="urn:schemas-microsoft-com:office:smarttags" w:element="stockticker">
        <w:r w:rsidRPr="006E41BF">
          <w:rPr>
            <w:sz w:val="20"/>
            <w:szCs w:val="22"/>
          </w:rPr>
          <w:t>BHC</w:t>
        </w:r>
      </w:smartTag>
      <w:r w:rsidRPr="006E41BF">
        <w:rPr>
          <w:sz w:val="20"/>
          <w:szCs w:val="22"/>
        </w:rPr>
        <w:t xml:space="preserve"> and </w:t>
      </w:r>
      <w:smartTag w:uri="urn:schemas-microsoft-com:office:smarttags" w:element="stockticker">
        <w:r w:rsidRPr="006E41BF">
          <w:rPr>
            <w:sz w:val="20"/>
            <w:szCs w:val="22"/>
          </w:rPr>
          <w:t>AHC</w:t>
        </w:r>
      </w:smartTag>
      <w:r w:rsidRPr="006E41BF">
        <w:rPr>
          <w:sz w:val="20"/>
          <w:szCs w:val="22"/>
        </w:rPr>
        <w:t xml:space="preserve">) is outlined in </w:t>
      </w:r>
      <w:r w:rsidRPr="006E41BF">
        <w:rPr>
          <w:b/>
          <w:sz w:val="20"/>
          <w:szCs w:val="22"/>
        </w:rPr>
        <w:t>Appendix 6</w:t>
      </w:r>
      <w:r w:rsidRPr="006E41BF">
        <w:rPr>
          <w:sz w:val="20"/>
          <w:szCs w:val="22"/>
        </w:rPr>
        <w:t>.</w:t>
      </w:r>
    </w:p>
    <w:p w:rsidR="00E46063" w:rsidRPr="006E41BF" w:rsidRDefault="00E46063" w:rsidP="00E46063">
      <w:pPr>
        <w:jc w:val="both"/>
        <w:rPr>
          <w:sz w:val="20"/>
        </w:rPr>
      </w:pPr>
    </w:p>
    <w:p w:rsidR="00E46063" w:rsidRPr="006E41BF" w:rsidRDefault="00E46063" w:rsidP="00E46063">
      <w:pPr>
        <w:jc w:val="both"/>
        <w:rPr>
          <w:sz w:val="20"/>
        </w:rPr>
      </w:pPr>
      <w:r w:rsidRPr="006E41BF">
        <w:rPr>
          <w:b/>
          <w:sz w:val="20"/>
        </w:rPr>
        <w:t>Tables E.3 and E.4</w:t>
      </w:r>
      <w:r w:rsidRPr="006E41BF">
        <w:rPr>
          <w:sz w:val="20"/>
        </w:rPr>
        <w:t xml:space="preserve"> give the value of these thresholds in ordinary 20</w:t>
      </w:r>
      <w:r>
        <w:rPr>
          <w:sz w:val="20"/>
        </w:rPr>
        <w:t>11</w:t>
      </w:r>
      <w:r w:rsidRPr="006E41BF">
        <w:rPr>
          <w:sz w:val="20"/>
        </w:rPr>
        <w:t xml:space="preserve"> dollars per week for different household types.  To convert to 20</w:t>
      </w:r>
      <w:r>
        <w:rPr>
          <w:sz w:val="20"/>
        </w:rPr>
        <w:t xml:space="preserve">12 </w:t>
      </w:r>
      <w:r w:rsidRPr="006E41BF">
        <w:rPr>
          <w:sz w:val="20"/>
        </w:rPr>
        <w:t xml:space="preserve">dollars (approximately), add </w:t>
      </w:r>
      <w:r>
        <w:rPr>
          <w:sz w:val="20"/>
        </w:rPr>
        <w:t>2</w:t>
      </w:r>
      <w:r w:rsidRPr="006E41BF">
        <w:rPr>
          <w:sz w:val="20"/>
        </w:rPr>
        <w:t>%.</w:t>
      </w:r>
    </w:p>
    <w:bookmarkEnd w:id="105"/>
    <w:p w:rsidR="00E46063" w:rsidRPr="006E41BF" w:rsidRDefault="00E46063" w:rsidP="00E46063">
      <w:pPr>
        <w:pStyle w:val="Heading2"/>
        <w:jc w:val="center"/>
        <w:rPr>
          <w:sz w:val="18"/>
          <w:szCs w:val="20"/>
        </w:rPr>
      </w:pPr>
    </w:p>
    <w:p w:rsidR="00E46063" w:rsidRPr="006E41BF" w:rsidRDefault="00E46063" w:rsidP="00E46063">
      <w:pPr>
        <w:pStyle w:val="Heading2"/>
        <w:jc w:val="center"/>
        <w:rPr>
          <w:sz w:val="18"/>
          <w:szCs w:val="20"/>
        </w:rPr>
      </w:pPr>
      <w:r w:rsidRPr="006E41BF">
        <w:rPr>
          <w:sz w:val="18"/>
          <w:szCs w:val="20"/>
        </w:rPr>
        <w:t>Table E.3</w:t>
      </w:r>
    </w:p>
    <w:p w:rsidR="00E46063" w:rsidRPr="006E41BF" w:rsidRDefault="00E46063" w:rsidP="00E46063">
      <w:pPr>
        <w:jc w:val="center"/>
        <w:rPr>
          <w:b/>
          <w:sz w:val="18"/>
        </w:rPr>
      </w:pPr>
      <w:r w:rsidRPr="006E41BF">
        <w:rPr>
          <w:b/>
          <w:sz w:val="18"/>
        </w:rPr>
        <w:t>50% and 60% low-income thresholds or ‘poverty lines’ for various household types (</w:t>
      </w:r>
      <w:smartTag w:uri="urn:schemas-microsoft-com:office:smarttags" w:element="stockticker">
        <w:r w:rsidRPr="006E41BF">
          <w:rPr>
            <w:b/>
            <w:sz w:val="18"/>
          </w:rPr>
          <w:t>BHC</w:t>
        </w:r>
      </w:smartTag>
      <w:r w:rsidRPr="006E41BF">
        <w:rPr>
          <w:b/>
          <w:sz w:val="18"/>
        </w:rPr>
        <w:t>)</w:t>
      </w:r>
    </w:p>
    <w:p w:rsidR="00E46063" w:rsidRPr="006E41BF" w:rsidRDefault="00E46063" w:rsidP="00E46063">
      <w:pPr>
        <w:spacing w:after="120"/>
        <w:jc w:val="center"/>
        <w:rPr>
          <w:sz w:val="20"/>
        </w:rPr>
      </w:pPr>
      <w:r w:rsidRPr="006E41BF">
        <w:rPr>
          <w:b/>
          <w:sz w:val="18"/>
        </w:rPr>
        <w:t>(20</w:t>
      </w:r>
      <w:r>
        <w:rPr>
          <w:b/>
          <w:sz w:val="18"/>
        </w:rPr>
        <w:t>11</w:t>
      </w:r>
      <w:r w:rsidRPr="006E41BF">
        <w:rPr>
          <w:b/>
          <w:sz w:val="18"/>
        </w:rPr>
        <w:t xml:space="preserve"> dollars, per week)</w:t>
      </w:r>
    </w:p>
    <w:tbl>
      <w:tblPr>
        <w:tblStyle w:val="TableGrid"/>
        <w:tblW w:w="0" w:type="auto"/>
        <w:jc w:val="center"/>
        <w:tblInd w:w="-139" w:type="dxa"/>
        <w:tblLayout w:type="fixed"/>
        <w:tblCellMar>
          <w:left w:w="115" w:type="dxa"/>
          <w:right w:w="115" w:type="dxa"/>
        </w:tblCellMar>
        <w:tblLook w:val="01E0"/>
      </w:tblPr>
      <w:tblGrid>
        <w:gridCol w:w="1461"/>
        <w:gridCol w:w="1013"/>
        <w:gridCol w:w="1199"/>
        <w:gridCol w:w="1323"/>
        <w:gridCol w:w="1406"/>
        <w:gridCol w:w="1530"/>
      </w:tblGrid>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p>
        </w:tc>
        <w:tc>
          <w:tcPr>
            <w:tcW w:w="1013" w:type="dxa"/>
            <w:vAlign w:val="center"/>
          </w:tcPr>
          <w:p w:rsidR="00E46063" w:rsidRPr="00321B28" w:rsidRDefault="00E46063" w:rsidP="00614C04">
            <w:pPr>
              <w:pStyle w:val="Heading3"/>
              <w:spacing w:before="60" w:after="60"/>
              <w:ind w:right="-43"/>
              <w:jc w:val="center"/>
              <w:rPr>
                <w:b w:val="0"/>
                <w:sz w:val="16"/>
                <w:szCs w:val="16"/>
              </w:rPr>
            </w:pPr>
          </w:p>
        </w:tc>
        <w:tc>
          <w:tcPr>
            <w:tcW w:w="2522" w:type="dxa"/>
            <w:gridSpan w:val="2"/>
            <w:vAlign w:val="center"/>
          </w:tcPr>
          <w:p w:rsidR="00E46063" w:rsidRPr="005C7DC3" w:rsidRDefault="00E46063" w:rsidP="00614C04">
            <w:pPr>
              <w:pStyle w:val="Heading3"/>
              <w:spacing w:before="60" w:after="60"/>
              <w:ind w:right="-43"/>
              <w:jc w:val="center"/>
              <w:rPr>
                <w:sz w:val="18"/>
                <w:szCs w:val="18"/>
              </w:rPr>
            </w:pPr>
            <w:smartTag w:uri="urn:schemas-microsoft-com:office:smarttags" w:element="stockticker">
              <w:r w:rsidRPr="005C7DC3">
                <w:rPr>
                  <w:sz w:val="18"/>
                  <w:szCs w:val="18"/>
                </w:rPr>
                <w:t>REL</w:t>
              </w:r>
            </w:smartTag>
            <w:r>
              <w:rPr>
                <w:sz w:val="18"/>
                <w:szCs w:val="18"/>
              </w:rPr>
              <w:t xml:space="preserve"> </w:t>
            </w:r>
            <w:r w:rsidRPr="005C7DC3">
              <w:rPr>
                <w:b w:val="0"/>
                <w:sz w:val="18"/>
                <w:szCs w:val="18"/>
              </w:rPr>
              <w:t>(‘moving’)</w:t>
            </w:r>
          </w:p>
        </w:tc>
        <w:tc>
          <w:tcPr>
            <w:tcW w:w="2936" w:type="dxa"/>
            <w:gridSpan w:val="2"/>
            <w:vAlign w:val="center"/>
          </w:tcPr>
          <w:p w:rsidR="00E46063" w:rsidRPr="005C7DC3" w:rsidRDefault="00E46063" w:rsidP="00614C04">
            <w:pPr>
              <w:pStyle w:val="Heading3"/>
              <w:spacing w:before="60" w:after="60"/>
              <w:ind w:right="-43"/>
              <w:jc w:val="center"/>
              <w:rPr>
                <w:sz w:val="18"/>
                <w:szCs w:val="18"/>
              </w:rPr>
            </w:pPr>
            <w:r w:rsidRPr="005C7DC3">
              <w:rPr>
                <w:sz w:val="18"/>
                <w:szCs w:val="18"/>
              </w:rPr>
              <w:t>CV</w:t>
            </w:r>
            <w:r>
              <w:rPr>
                <w:sz w:val="18"/>
                <w:szCs w:val="18"/>
              </w:rPr>
              <w:t xml:space="preserve"> </w:t>
            </w:r>
            <w:r w:rsidRPr="005C7DC3">
              <w:rPr>
                <w:b w:val="0"/>
                <w:sz w:val="18"/>
                <w:szCs w:val="18"/>
              </w:rPr>
              <w:t>(‘fixed’)</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Household type</w:t>
            </w:r>
          </w:p>
        </w:tc>
        <w:tc>
          <w:tcPr>
            <w:tcW w:w="1013"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Equiv</w:t>
            </w:r>
            <w:r w:rsidRPr="00321B28">
              <w:rPr>
                <w:b w:val="0"/>
                <w:sz w:val="16"/>
                <w:szCs w:val="16"/>
              </w:rPr>
              <w:t xml:space="preserve"> ratio</w:t>
            </w:r>
          </w:p>
        </w:tc>
        <w:tc>
          <w:tcPr>
            <w:tcW w:w="1199"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5</w:t>
            </w:r>
            <w:r w:rsidRPr="00321B28">
              <w:rPr>
                <w:b w:val="0"/>
                <w:sz w:val="16"/>
                <w:szCs w:val="16"/>
              </w:rPr>
              <w:t>0% of 20</w:t>
            </w:r>
            <w:r>
              <w:rPr>
                <w:b w:val="0"/>
                <w:sz w:val="16"/>
                <w:szCs w:val="16"/>
              </w:rPr>
              <w:t>11</w:t>
            </w:r>
            <w:r w:rsidRPr="00321B28">
              <w:rPr>
                <w:b w:val="0"/>
                <w:sz w:val="16"/>
                <w:szCs w:val="16"/>
              </w:rPr>
              <w:t xml:space="preserve"> median</w:t>
            </w:r>
          </w:p>
        </w:tc>
        <w:tc>
          <w:tcPr>
            <w:tcW w:w="1323"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6</w:t>
            </w:r>
            <w:r w:rsidRPr="00321B28">
              <w:rPr>
                <w:b w:val="0"/>
                <w:sz w:val="16"/>
                <w:szCs w:val="16"/>
              </w:rPr>
              <w:t>0% of 20</w:t>
            </w:r>
            <w:r>
              <w:rPr>
                <w:b w:val="0"/>
                <w:sz w:val="16"/>
                <w:szCs w:val="16"/>
              </w:rPr>
              <w:t>11</w:t>
            </w:r>
            <w:r w:rsidRPr="00321B28">
              <w:rPr>
                <w:b w:val="0"/>
                <w:sz w:val="16"/>
                <w:szCs w:val="16"/>
              </w:rPr>
              <w:t xml:space="preserve"> median</w:t>
            </w:r>
          </w:p>
        </w:tc>
        <w:tc>
          <w:tcPr>
            <w:tcW w:w="1406"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50% of 2007 median in $2011</w:t>
            </w:r>
          </w:p>
        </w:tc>
        <w:tc>
          <w:tcPr>
            <w:tcW w:w="1530"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6</w:t>
            </w:r>
            <w:r w:rsidRPr="00321B28">
              <w:rPr>
                <w:b w:val="0"/>
                <w:sz w:val="16"/>
                <w:szCs w:val="16"/>
              </w:rPr>
              <w:t xml:space="preserve">0% of </w:t>
            </w:r>
            <w:r>
              <w:rPr>
                <w:b w:val="0"/>
                <w:sz w:val="16"/>
                <w:szCs w:val="16"/>
              </w:rPr>
              <w:t>2007 median in $2011</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One-person HH</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1.00</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305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370</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285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345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1 child</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1.40</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430</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515</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400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485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2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1.75</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535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645</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500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605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3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2.06</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630</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760</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590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710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Couple only</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1.54</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470</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565</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440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530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1 child</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1.86</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570</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685</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535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640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2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2.17</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665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800</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625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750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3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2.43</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745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895</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700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840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 xml:space="preserve">2P, </w:t>
            </w:r>
            <w:r>
              <w:rPr>
                <w:b w:val="0"/>
                <w:sz w:val="16"/>
                <w:szCs w:val="16"/>
              </w:rPr>
              <w:t>4</w:t>
            </w:r>
            <w:r w:rsidRPr="00321B28">
              <w:rPr>
                <w:b w:val="0"/>
                <w:sz w:val="16"/>
                <w:szCs w:val="16"/>
              </w:rPr>
              <w:t xml:space="preserve">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2.69</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825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990</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775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930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3 adults</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1.98</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605</w:t>
            </w:r>
          </w:p>
        </w:tc>
        <w:tc>
          <w:tcPr>
            <w:tcW w:w="1323"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730</w:t>
            </w:r>
          </w:p>
        </w:tc>
        <w:tc>
          <w:tcPr>
            <w:tcW w:w="1406"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570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685</w:t>
            </w:r>
          </w:p>
        </w:tc>
      </w:tr>
    </w:tbl>
    <w:p w:rsidR="00E46063" w:rsidRDefault="00E46063" w:rsidP="00E46063"/>
    <w:p w:rsidR="00E46063" w:rsidRDefault="00E46063" w:rsidP="00E46063">
      <w:pPr>
        <w:pStyle w:val="Heading2"/>
        <w:jc w:val="center"/>
        <w:rPr>
          <w:sz w:val="20"/>
          <w:szCs w:val="20"/>
        </w:rPr>
      </w:pPr>
    </w:p>
    <w:p w:rsidR="00E46063" w:rsidRPr="006E41BF" w:rsidRDefault="00E46063" w:rsidP="00E46063">
      <w:pPr>
        <w:pStyle w:val="Heading2"/>
        <w:jc w:val="center"/>
        <w:rPr>
          <w:sz w:val="18"/>
          <w:szCs w:val="20"/>
        </w:rPr>
      </w:pPr>
      <w:r w:rsidRPr="006E41BF">
        <w:rPr>
          <w:sz w:val="18"/>
          <w:szCs w:val="20"/>
        </w:rPr>
        <w:t>Table E.4</w:t>
      </w:r>
    </w:p>
    <w:p w:rsidR="00E46063" w:rsidRPr="006E41BF" w:rsidRDefault="00E46063" w:rsidP="00E46063">
      <w:pPr>
        <w:jc w:val="center"/>
        <w:rPr>
          <w:b/>
          <w:sz w:val="18"/>
        </w:rPr>
      </w:pPr>
      <w:r w:rsidRPr="006E41BF">
        <w:rPr>
          <w:b/>
          <w:sz w:val="18"/>
        </w:rPr>
        <w:t>50% and 60% low-income thresholds or ‘poverty lines’ for various household types (</w:t>
      </w:r>
      <w:smartTag w:uri="urn:schemas-microsoft-com:office:smarttags" w:element="stockticker">
        <w:r w:rsidRPr="006E41BF">
          <w:rPr>
            <w:b/>
            <w:sz w:val="18"/>
          </w:rPr>
          <w:t>AHC</w:t>
        </w:r>
      </w:smartTag>
      <w:r w:rsidRPr="006E41BF">
        <w:rPr>
          <w:b/>
          <w:sz w:val="18"/>
        </w:rPr>
        <w:t>)</w:t>
      </w:r>
    </w:p>
    <w:p w:rsidR="00E46063" w:rsidRPr="006E41BF" w:rsidRDefault="00E46063" w:rsidP="00E46063">
      <w:pPr>
        <w:spacing w:after="120"/>
        <w:jc w:val="center"/>
        <w:rPr>
          <w:b/>
          <w:sz w:val="18"/>
        </w:rPr>
      </w:pPr>
      <w:r w:rsidRPr="006E41BF">
        <w:rPr>
          <w:b/>
          <w:sz w:val="18"/>
        </w:rPr>
        <w:t>(20</w:t>
      </w:r>
      <w:r>
        <w:rPr>
          <w:b/>
          <w:sz w:val="18"/>
        </w:rPr>
        <w:t>11</w:t>
      </w:r>
      <w:r w:rsidRPr="006E41BF">
        <w:rPr>
          <w:b/>
          <w:sz w:val="18"/>
        </w:rPr>
        <w:t xml:space="preserve"> dollars, per week) </w:t>
      </w:r>
    </w:p>
    <w:tbl>
      <w:tblPr>
        <w:tblStyle w:val="TableGrid"/>
        <w:tblW w:w="0" w:type="auto"/>
        <w:jc w:val="center"/>
        <w:tblInd w:w="-139" w:type="dxa"/>
        <w:tblLayout w:type="fixed"/>
        <w:tblCellMar>
          <w:left w:w="115" w:type="dxa"/>
          <w:right w:w="115" w:type="dxa"/>
        </w:tblCellMar>
        <w:tblLook w:val="01E0"/>
      </w:tblPr>
      <w:tblGrid>
        <w:gridCol w:w="1461"/>
        <w:gridCol w:w="1013"/>
        <w:gridCol w:w="1199"/>
        <w:gridCol w:w="1300"/>
        <w:gridCol w:w="1384"/>
        <w:gridCol w:w="1530"/>
      </w:tblGrid>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p>
        </w:tc>
        <w:tc>
          <w:tcPr>
            <w:tcW w:w="1013" w:type="dxa"/>
            <w:vAlign w:val="center"/>
          </w:tcPr>
          <w:p w:rsidR="00E46063" w:rsidRPr="00321B28" w:rsidRDefault="00E46063" w:rsidP="00614C04">
            <w:pPr>
              <w:pStyle w:val="Heading3"/>
              <w:spacing w:before="60" w:after="60"/>
              <w:ind w:right="-43"/>
              <w:jc w:val="center"/>
              <w:rPr>
                <w:b w:val="0"/>
                <w:sz w:val="16"/>
                <w:szCs w:val="16"/>
              </w:rPr>
            </w:pPr>
          </w:p>
        </w:tc>
        <w:tc>
          <w:tcPr>
            <w:tcW w:w="2499" w:type="dxa"/>
            <w:gridSpan w:val="2"/>
            <w:vAlign w:val="center"/>
          </w:tcPr>
          <w:p w:rsidR="00E46063" w:rsidRPr="005C7DC3" w:rsidRDefault="00E46063" w:rsidP="00614C04">
            <w:pPr>
              <w:pStyle w:val="Heading3"/>
              <w:spacing w:before="60" w:after="60"/>
              <w:ind w:right="-43"/>
              <w:jc w:val="center"/>
              <w:rPr>
                <w:sz w:val="18"/>
                <w:szCs w:val="18"/>
              </w:rPr>
            </w:pPr>
            <w:smartTag w:uri="urn:schemas-microsoft-com:office:smarttags" w:element="stockticker">
              <w:r w:rsidRPr="005C7DC3">
                <w:rPr>
                  <w:sz w:val="18"/>
                  <w:szCs w:val="18"/>
                </w:rPr>
                <w:t>REL</w:t>
              </w:r>
            </w:smartTag>
            <w:r>
              <w:rPr>
                <w:sz w:val="18"/>
                <w:szCs w:val="18"/>
              </w:rPr>
              <w:t xml:space="preserve"> </w:t>
            </w:r>
            <w:r w:rsidRPr="005C7DC3">
              <w:rPr>
                <w:b w:val="0"/>
                <w:sz w:val="18"/>
                <w:szCs w:val="18"/>
              </w:rPr>
              <w:t>(‘moving’)</w:t>
            </w:r>
          </w:p>
        </w:tc>
        <w:tc>
          <w:tcPr>
            <w:tcW w:w="2914" w:type="dxa"/>
            <w:gridSpan w:val="2"/>
            <w:vAlign w:val="center"/>
          </w:tcPr>
          <w:p w:rsidR="00E46063" w:rsidRPr="005C7DC3" w:rsidRDefault="00E46063" w:rsidP="00614C04">
            <w:pPr>
              <w:pStyle w:val="Heading3"/>
              <w:spacing w:before="60" w:after="60"/>
              <w:ind w:right="-43"/>
              <w:jc w:val="center"/>
              <w:rPr>
                <w:sz w:val="18"/>
                <w:szCs w:val="18"/>
              </w:rPr>
            </w:pPr>
            <w:r w:rsidRPr="005C7DC3">
              <w:rPr>
                <w:sz w:val="18"/>
                <w:szCs w:val="18"/>
              </w:rPr>
              <w:t>CV</w:t>
            </w:r>
            <w:r>
              <w:rPr>
                <w:sz w:val="18"/>
                <w:szCs w:val="18"/>
              </w:rPr>
              <w:t xml:space="preserve"> </w:t>
            </w:r>
            <w:r w:rsidRPr="005C7DC3">
              <w:rPr>
                <w:b w:val="0"/>
                <w:sz w:val="18"/>
                <w:szCs w:val="18"/>
              </w:rPr>
              <w:t>(‘fixed’)</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Household type</w:t>
            </w:r>
          </w:p>
        </w:tc>
        <w:tc>
          <w:tcPr>
            <w:tcW w:w="1013"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Equiv</w:t>
            </w:r>
            <w:r w:rsidRPr="00321B28">
              <w:rPr>
                <w:b w:val="0"/>
                <w:sz w:val="16"/>
                <w:szCs w:val="16"/>
              </w:rPr>
              <w:t xml:space="preserve"> ratio</w:t>
            </w:r>
          </w:p>
        </w:tc>
        <w:tc>
          <w:tcPr>
            <w:tcW w:w="1199"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5</w:t>
            </w:r>
            <w:r w:rsidRPr="00321B28">
              <w:rPr>
                <w:b w:val="0"/>
                <w:sz w:val="16"/>
                <w:szCs w:val="16"/>
              </w:rPr>
              <w:t>0% of 20</w:t>
            </w:r>
            <w:r>
              <w:rPr>
                <w:b w:val="0"/>
                <w:sz w:val="16"/>
                <w:szCs w:val="16"/>
              </w:rPr>
              <w:t>11</w:t>
            </w:r>
            <w:r w:rsidRPr="00321B28">
              <w:rPr>
                <w:b w:val="0"/>
                <w:sz w:val="16"/>
                <w:szCs w:val="16"/>
              </w:rPr>
              <w:t xml:space="preserve"> median</w:t>
            </w:r>
          </w:p>
        </w:tc>
        <w:tc>
          <w:tcPr>
            <w:tcW w:w="1300"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6</w:t>
            </w:r>
            <w:r w:rsidRPr="00321B28">
              <w:rPr>
                <w:b w:val="0"/>
                <w:sz w:val="16"/>
                <w:szCs w:val="16"/>
              </w:rPr>
              <w:t>0% of 20</w:t>
            </w:r>
            <w:r>
              <w:rPr>
                <w:b w:val="0"/>
                <w:sz w:val="16"/>
                <w:szCs w:val="16"/>
              </w:rPr>
              <w:t>11</w:t>
            </w:r>
            <w:r w:rsidRPr="00321B28">
              <w:rPr>
                <w:b w:val="0"/>
                <w:sz w:val="16"/>
                <w:szCs w:val="16"/>
              </w:rPr>
              <w:t xml:space="preserve"> median</w:t>
            </w:r>
          </w:p>
        </w:tc>
        <w:tc>
          <w:tcPr>
            <w:tcW w:w="1384"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50% of 2007 median in $2011</w:t>
            </w:r>
          </w:p>
        </w:tc>
        <w:tc>
          <w:tcPr>
            <w:tcW w:w="1530"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6</w:t>
            </w:r>
            <w:r w:rsidRPr="00321B28">
              <w:rPr>
                <w:b w:val="0"/>
                <w:sz w:val="16"/>
                <w:szCs w:val="16"/>
              </w:rPr>
              <w:t xml:space="preserve">0% of </w:t>
            </w:r>
            <w:r>
              <w:rPr>
                <w:b w:val="0"/>
                <w:sz w:val="16"/>
                <w:szCs w:val="16"/>
              </w:rPr>
              <w:t>2007 median in $2011</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One-person HH</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1.00</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230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275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215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260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1 child</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1.40</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320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385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300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360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2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1.75</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400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485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375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455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SP, 3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2.06</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475</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570</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445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535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Couple only</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1.54</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355</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425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332</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400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1 child</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1.86</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430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515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400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480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2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2.17</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500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600</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470</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560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 3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2.43</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560</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670</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525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630</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2P,</w:t>
            </w:r>
            <w:r>
              <w:rPr>
                <w:b w:val="0"/>
                <w:sz w:val="16"/>
                <w:szCs w:val="16"/>
              </w:rPr>
              <w:t xml:space="preserve"> 4</w:t>
            </w:r>
            <w:r w:rsidRPr="00321B28">
              <w:rPr>
                <w:b w:val="0"/>
                <w:sz w:val="16"/>
                <w:szCs w:val="16"/>
              </w:rPr>
              <w:t xml:space="preserve"> children</w:t>
            </w:r>
          </w:p>
        </w:tc>
        <w:tc>
          <w:tcPr>
            <w:tcW w:w="1013" w:type="dxa"/>
            <w:vAlign w:val="center"/>
          </w:tcPr>
          <w:p w:rsidR="00E46063" w:rsidRPr="00321B28" w:rsidRDefault="00E46063" w:rsidP="00614C04">
            <w:pPr>
              <w:pStyle w:val="Heading3"/>
              <w:spacing w:before="60" w:after="60"/>
              <w:ind w:right="-43"/>
              <w:jc w:val="center"/>
              <w:rPr>
                <w:b w:val="0"/>
                <w:sz w:val="16"/>
                <w:szCs w:val="16"/>
              </w:rPr>
            </w:pPr>
            <w:r>
              <w:rPr>
                <w:b w:val="0"/>
                <w:sz w:val="16"/>
                <w:szCs w:val="16"/>
              </w:rPr>
              <w:t>2.69</w:t>
            </w:r>
          </w:p>
        </w:tc>
        <w:tc>
          <w:tcPr>
            <w:tcW w:w="1199" w:type="dxa"/>
            <w:vAlign w:val="center"/>
          </w:tcPr>
          <w:p w:rsidR="00E46063" w:rsidRDefault="00E46063" w:rsidP="00614C04">
            <w:pPr>
              <w:pStyle w:val="Heading3"/>
              <w:spacing w:before="60" w:after="60"/>
              <w:ind w:right="-47"/>
              <w:jc w:val="center"/>
              <w:rPr>
                <w:b w:val="0"/>
                <w:sz w:val="16"/>
                <w:szCs w:val="16"/>
              </w:rPr>
            </w:pPr>
            <w:r>
              <w:rPr>
                <w:b w:val="0"/>
                <w:sz w:val="16"/>
                <w:szCs w:val="16"/>
              </w:rPr>
              <w:t>620</w:t>
            </w:r>
          </w:p>
        </w:tc>
        <w:tc>
          <w:tcPr>
            <w:tcW w:w="1300" w:type="dxa"/>
            <w:vAlign w:val="center"/>
          </w:tcPr>
          <w:p w:rsidR="00E46063" w:rsidRDefault="00E46063" w:rsidP="00614C04">
            <w:pPr>
              <w:pStyle w:val="Heading3"/>
              <w:spacing w:before="60" w:after="60"/>
              <w:ind w:right="-47"/>
              <w:jc w:val="center"/>
              <w:rPr>
                <w:b w:val="0"/>
                <w:sz w:val="16"/>
                <w:szCs w:val="16"/>
              </w:rPr>
            </w:pPr>
            <w:r>
              <w:rPr>
                <w:b w:val="0"/>
                <w:sz w:val="16"/>
                <w:szCs w:val="16"/>
              </w:rPr>
              <w:t>740</w:t>
            </w:r>
          </w:p>
        </w:tc>
        <w:tc>
          <w:tcPr>
            <w:tcW w:w="1384" w:type="dxa"/>
            <w:vAlign w:val="center"/>
          </w:tcPr>
          <w:p w:rsidR="00E46063" w:rsidRDefault="00E46063" w:rsidP="00614C04">
            <w:pPr>
              <w:pStyle w:val="Heading3"/>
              <w:spacing w:before="60" w:after="60"/>
              <w:ind w:right="-47"/>
              <w:jc w:val="center"/>
              <w:rPr>
                <w:b w:val="0"/>
                <w:sz w:val="16"/>
                <w:szCs w:val="16"/>
              </w:rPr>
            </w:pPr>
            <w:r>
              <w:rPr>
                <w:b w:val="0"/>
                <w:sz w:val="16"/>
                <w:szCs w:val="16"/>
              </w:rPr>
              <w:t>580</w:t>
            </w:r>
          </w:p>
        </w:tc>
        <w:tc>
          <w:tcPr>
            <w:tcW w:w="1530" w:type="dxa"/>
            <w:vAlign w:val="center"/>
          </w:tcPr>
          <w:p w:rsidR="00E46063" w:rsidRDefault="00E46063" w:rsidP="00614C04">
            <w:pPr>
              <w:pStyle w:val="Heading3"/>
              <w:spacing w:before="60" w:after="60"/>
              <w:ind w:right="-47"/>
              <w:jc w:val="center"/>
              <w:rPr>
                <w:b w:val="0"/>
                <w:sz w:val="16"/>
                <w:szCs w:val="16"/>
              </w:rPr>
            </w:pPr>
            <w:r>
              <w:rPr>
                <w:b w:val="0"/>
                <w:sz w:val="16"/>
                <w:szCs w:val="16"/>
              </w:rPr>
              <w:t>695</w:t>
            </w:r>
          </w:p>
        </w:tc>
      </w:tr>
      <w:tr w:rsidR="00E46063">
        <w:trPr>
          <w:jc w:val="center"/>
        </w:trPr>
        <w:tc>
          <w:tcPr>
            <w:tcW w:w="1461" w:type="dxa"/>
            <w:vAlign w:val="center"/>
          </w:tcPr>
          <w:p w:rsidR="00E46063" w:rsidRPr="00321B28" w:rsidRDefault="00E46063" w:rsidP="00614C04">
            <w:pPr>
              <w:pStyle w:val="Heading3"/>
              <w:spacing w:before="60" w:after="60"/>
              <w:ind w:right="-43"/>
              <w:jc w:val="both"/>
              <w:rPr>
                <w:b w:val="0"/>
                <w:sz w:val="16"/>
                <w:szCs w:val="16"/>
              </w:rPr>
            </w:pPr>
            <w:r w:rsidRPr="00321B28">
              <w:rPr>
                <w:b w:val="0"/>
                <w:sz w:val="16"/>
                <w:szCs w:val="16"/>
              </w:rPr>
              <w:t>3 adults</w:t>
            </w:r>
          </w:p>
        </w:tc>
        <w:tc>
          <w:tcPr>
            <w:tcW w:w="1013" w:type="dxa"/>
            <w:vAlign w:val="center"/>
          </w:tcPr>
          <w:p w:rsidR="00E46063" w:rsidRPr="00321B28" w:rsidRDefault="00E46063" w:rsidP="00614C04">
            <w:pPr>
              <w:pStyle w:val="Heading3"/>
              <w:spacing w:before="60" w:after="60"/>
              <w:ind w:right="-43"/>
              <w:jc w:val="center"/>
              <w:rPr>
                <w:b w:val="0"/>
                <w:sz w:val="16"/>
                <w:szCs w:val="16"/>
              </w:rPr>
            </w:pPr>
            <w:r w:rsidRPr="00321B28">
              <w:rPr>
                <w:b w:val="0"/>
                <w:sz w:val="16"/>
                <w:szCs w:val="16"/>
              </w:rPr>
              <w:t>1.98</w:t>
            </w:r>
          </w:p>
        </w:tc>
        <w:tc>
          <w:tcPr>
            <w:tcW w:w="1199"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455</w:t>
            </w:r>
          </w:p>
        </w:tc>
        <w:tc>
          <w:tcPr>
            <w:tcW w:w="130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545</w:t>
            </w:r>
          </w:p>
        </w:tc>
        <w:tc>
          <w:tcPr>
            <w:tcW w:w="1384"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425</w:t>
            </w:r>
          </w:p>
        </w:tc>
        <w:tc>
          <w:tcPr>
            <w:tcW w:w="1530" w:type="dxa"/>
            <w:vAlign w:val="center"/>
          </w:tcPr>
          <w:p w:rsidR="00E46063" w:rsidRPr="00321B28" w:rsidRDefault="00E46063" w:rsidP="00614C04">
            <w:pPr>
              <w:pStyle w:val="Heading3"/>
              <w:spacing w:before="60" w:after="60"/>
              <w:ind w:right="-47"/>
              <w:jc w:val="center"/>
              <w:rPr>
                <w:b w:val="0"/>
                <w:sz w:val="16"/>
                <w:szCs w:val="16"/>
              </w:rPr>
            </w:pPr>
            <w:r>
              <w:rPr>
                <w:b w:val="0"/>
                <w:sz w:val="16"/>
                <w:szCs w:val="16"/>
              </w:rPr>
              <w:t>510</w:t>
            </w:r>
          </w:p>
        </w:tc>
      </w:tr>
    </w:tbl>
    <w:p w:rsidR="00E46063" w:rsidRPr="00280F56" w:rsidRDefault="00E46063" w:rsidP="00E46063">
      <w:pPr>
        <w:pStyle w:val="Heading3"/>
        <w:spacing w:before="120"/>
        <w:ind w:left="1080" w:right="389" w:hanging="544"/>
        <w:jc w:val="both"/>
        <w:rPr>
          <w:b w:val="0"/>
          <w:sz w:val="18"/>
          <w:szCs w:val="18"/>
        </w:rPr>
      </w:pPr>
      <w:r w:rsidRPr="00280F56">
        <w:rPr>
          <w:b w:val="0"/>
          <w:sz w:val="18"/>
          <w:szCs w:val="18"/>
        </w:rPr>
        <w:t xml:space="preserve">Note: </w:t>
      </w:r>
      <w:r w:rsidRPr="00280F56">
        <w:rPr>
          <w:b w:val="0"/>
          <w:sz w:val="18"/>
          <w:szCs w:val="18"/>
        </w:rPr>
        <w:tab/>
      </w:r>
      <w:smartTag w:uri="urn:schemas-microsoft-com:office:smarttags" w:element="stockticker">
        <w:r>
          <w:rPr>
            <w:b w:val="0"/>
            <w:sz w:val="18"/>
            <w:szCs w:val="18"/>
          </w:rPr>
          <w:t>AHC</w:t>
        </w:r>
      </w:smartTag>
      <w:r>
        <w:rPr>
          <w:b w:val="0"/>
          <w:sz w:val="18"/>
          <w:szCs w:val="18"/>
        </w:rPr>
        <w:t xml:space="preserve"> thresholds are calculated by deducting 25% from the corresponding </w:t>
      </w:r>
      <w:smartTag w:uri="urn:schemas-microsoft-com:office:smarttags" w:element="stockticker">
        <w:r>
          <w:rPr>
            <w:b w:val="0"/>
            <w:sz w:val="18"/>
            <w:szCs w:val="18"/>
          </w:rPr>
          <w:t>BHC</w:t>
        </w:r>
      </w:smartTag>
      <w:r>
        <w:rPr>
          <w:b w:val="0"/>
          <w:sz w:val="18"/>
          <w:szCs w:val="18"/>
        </w:rPr>
        <w:t xml:space="preserve"> threshold as an allowance for housing costs.  Each household’s </w:t>
      </w:r>
      <w:smartTag w:uri="urn:schemas-microsoft-com:office:smarttags" w:element="stockticker">
        <w:r>
          <w:rPr>
            <w:b w:val="0"/>
            <w:sz w:val="18"/>
            <w:szCs w:val="18"/>
          </w:rPr>
          <w:t>AHC</w:t>
        </w:r>
      </w:smartTag>
      <w:r>
        <w:rPr>
          <w:b w:val="0"/>
          <w:sz w:val="18"/>
          <w:szCs w:val="18"/>
        </w:rPr>
        <w:t xml:space="preserve"> income is then assessed against the chosen threshold.</w:t>
      </w:r>
    </w:p>
    <w:p w:rsidR="00E46063" w:rsidRDefault="00E46063" w:rsidP="00E46063">
      <w:pPr>
        <w:pStyle w:val="Heading3"/>
        <w:spacing w:before="60"/>
        <w:ind w:left="1354" w:right="389" w:hanging="634"/>
        <w:jc w:val="both"/>
        <w:rPr>
          <w:b w:val="0"/>
          <w:sz w:val="18"/>
          <w:szCs w:val="18"/>
        </w:rPr>
      </w:pPr>
      <w:r>
        <w:rPr>
          <w:b w:val="0"/>
          <w:sz w:val="18"/>
          <w:szCs w:val="18"/>
        </w:rPr>
        <w:tab/>
      </w:r>
    </w:p>
    <w:p w:rsidR="00E46063" w:rsidRPr="00161F8B" w:rsidRDefault="00E46063" w:rsidP="00E46063">
      <w:pPr>
        <w:pStyle w:val="Heading3"/>
        <w:spacing w:before="120"/>
        <w:ind w:right="389" w:hanging="4"/>
        <w:jc w:val="both"/>
        <w:rPr>
          <w:szCs w:val="22"/>
        </w:rPr>
      </w:pPr>
      <w:r>
        <w:rPr>
          <w:sz w:val="18"/>
          <w:szCs w:val="18"/>
        </w:rPr>
        <w:tab/>
      </w:r>
      <w:r>
        <w:br w:type="page"/>
      </w:r>
      <w:r w:rsidRPr="00161F8B">
        <w:rPr>
          <w:szCs w:val="22"/>
        </w:rPr>
        <w:lastRenderedPageBreak/>
        <w:t>Poverty depth and persistence</w:t>
      </w:r>
    </w:p>
    <w:p w:rsidR="00E46063" w:rsidRPr="006E41BF" w:rsidRDefault="00E46063" w:rsidP="00E46063">
      <w:pPr>
        <w:pStyle w:val="Heading3"/>
        <w:spacing w:before="120"/>
        <w:ind w:right="11" w:hanging="4"/>
        <w:jc w:val="both"/>
        <w:rPr>
          <w:b w:val="0"/>
          <w:sz w:val="20"/>
        </w:rPr>
      </w:pPr>
      <w:r w:rsidRPr="006E41BF">
        <w:rPr>
          <w:b w:val="0"/>
          <w:sz w:val="20"/>
        </w:rPr>
        <w:t>Reporting on trends in headcount poverty rates provides valuable information for assessing our progress as a nation and for informing policy development and debate. However, such information tells only a part of the incomes story.  Two other insights are needed to round out the picture: trends in the depth of poverty and in the persistence of poverty for individuals over time.</w:t>
      </w:r>
    </w:p>
    <w:p w:rsidR="00E46063" w:rsidRPr="006E41BF" w:rsidRDefault="00E46063" w:rsidP="00E46063">
      <w:pPr>
        <w:rPr>
          <w:sz w:val="20"/>
        </w:rPr>
      </w:pPr>
    </w:p>
    <w:p w:rsidR="00E46063" w:rsidRPr="006E41BF" w:rsidRDefault="00E46063" w:rsidP="00E46063">
      <w:pPr>
        <w:jc w:val="both"/>
        <w:rPr>
          <w:sz w:val="20"/>
        </w:rPr>
      </w:pPr>
      <w:r w:rsidRPr="006E41BF">
        <w:rPr>
          <w:sz w:val="20"/>
        </w:rPr>
        <w:t xml:space="preserve">Understanding </w:t>
      </w:r>
      <w:r w:rsidRPr="006E41BF">
        <w:rPr>
          <w:sz w:val="20"/>
          <w:u w:val="single"/>
        </w:rPr>
        <w:t>poverty depth</w:t>
      </w:r>
      <w:r w:rsidRPr="006E41BF">
        <w:rPr>
          <w:sz w:val="20"/>
        </w:rPr>
        <w:t xml:space="preserve"> is about knowing what is happening to the incomes of those identified as poor from survey to survey.  Are the poor today in the main sitting just below, say, a 50% threshold, or are they on average much poorer than their counterparts in earlier surveys, generally having incomes below, say, a 40% threshold?  There are issues around the quality of the data among households with very low incomes, and these present challenges to providing robust information on poverty depth.  Subject to these limitations, measures of poverty depth are discussed and trends reported at the end of the next section (Section F). </w:t>
      </w:r>
    </w:p>
    <w:p w:rsidR="00E46063" w:rsidRPr="006E41BF" w:rsidRDefault="00E46063" w:rsidP="00E46063">
      <w:pPr>
        <w:jc w:val="both"/>
        <w:rPr>
          <w:sz w:val="20"/>
        </w:rPr>
      </w:pPr>
    </w:p>
    <w:p w:rsidR="00E46063" w:rsidRPr="00C558D1" w:rsidRDefault="00E46063" w:rsidP="00E46063">
      <w:pPr>
        <w:pStyle w:val="FootnoteText"/>
        <w:spacing w:after="60"/>
        <w:jc w:val="both"/>
        <w:rPr>
          <w:b/>
          <w:sz w:val="20"/>
        </w:rPr>
      </w:pPr>
      <w:r w:rsidRPr="006E41BF">
        <w:rPr>
          <w:sz w:val="20"/>
        </w:rPr>
        <w:t>Secondly, while surveys like the HES are very valuable they give only repeated snapshot information</w:t>
      </w:r>
      <w:r>
        <w:rPr>
          <w:sz w:val="20"/>
        </w:rPr>
        <w:t xml:space="preserve"> of </w:t>
      </w:r>
      <w:r w:rsidR="00345D9B">
        <w:rPr>
          <w:sz w:val="20"/>
        </w:rPr>
        <w:t xml:space="preserve">a </w:t>
      </w:r>
      <w:r>
        <w:rPr>
          <w:sz w:val="20"/>
        </w:rPr>
        <w:t>different</w:t>
      </w:r>
      <w:r w:rsidR="00345D9B">
        <w:rPr>
          <w:sz w:val="20"/>
        </w:rPr>
        <w:t xml:space="preserve"> sample of</w:t>
      </w:r>
      <w:r>
        <w:rPr>
          <w:sz w:val="20"/>
        </w:rPr>
        <w:t xml:space="preserve"> households each survey</w:t>
      </w:r>
      <w:r w:rsidRPr="006E41BF">
        <w:rPr>
          <w:sz w:val="20"/>
        </w:rPr>
        <w:t xml:space="preserve">. They cannot tell us, for example, how many of the poor in one survey are still among those counted as poor in the next.  A more comprehensive picture needs information from surveys which follow the same people over many years and thus enable information on the </w:t>
      </w:r>
      <w:r w:rsidRPr="006E41BF">
        <w:rPr>
          <w:sz w:val="20"/>
          <w:u w:val="single"/>
        </w:rPr>
        <w:t>persistence of poverty</w:t>
      </w:r>
      <w:r w:rsidRPr="006E41BF">
        <w:rPr>
          <w:sz w:val="20"/>
        </w:rPr>
        <w:t xml:space="preserve"> and </w:t>
      </w:r>
      <w:r w:rsidRPr="006E41BF">
        <w:rPr>
          <w:sz w:val="20"/>
          <w:u w:val="single"/>
        </w:rPr>
        <w:t>income mobility</w:t>
      </w:r>
      <w:r w:rsidRPr="006E41BF">
        <w:rPr>
          <w:sz w:val="20"/>
        </w:rPr>
        <w:t xml:space="preserve"> to be reported.  Statistics </w:t>
      </w:r>
      <w:smartTag w:uri="urn:schemas-microsoft-com:office:smarttags" w:element="place">
        <w:smartTag w:uri="urn:schemas-microsoft-com:office:smarttags" w:element="country-region">
          <w:r w:rsidRPr="006E41BF">
            <w:rPr>
              <w:sz w:val="20"/>
            </w:rPr>
            <w:t>New Zealand</w:t>
          </w:r>
        </w:smartTag>
      </w:smartTag>
      <w:r w:rsidRPr="006E41BF">
        <w:rPr>
          <w:sz w:val="20"/>
        </w:rPr>
        <w:t xml:space="preserve">’s longitudinal Survey of Families, Income and Employment (SoFIE) began data collection in 2002-2003 </w:t>
      </w:r>
      <w:r>
        <w:rPr>
          <w:sz w:val="20"/>
        </w:rPr>
        <w:t>and analysis of the first seven waves is now available.</w:t>
      </w:r>
      <w:r w:rsidR="00345D9B">
        <w:rPr>
          <w:rStyle w:val="FootnoteReference"/>
          <w:sz w:val="20"/>
        </w:rPr>
        <w:footnoteReference w:id="62"/>
      </w:r>
      <w:r>
        <w:rPr>
          <w:sz w:val="20"/>
        </w:rPr>
        <w:t xml:space="preserve">  A summary of this, with international comparisons is reported in a new section, </w:t>
      </w:r>
      <w:r w:rsidRPr="00C558D1">
        <w:rPr>
          <w:b/>
          <w:sz w:val="20"/>
        </w:rPr>
        <w:t>Section L.</w:t>
      </w:r>
    </w:p>
    <w:p w:rsidR="00E46063" w:rsidRPr="006E41BF" w:rsidRDefault="00E46063" w:rsidP="00E46063">
      <w:pPr>
        <w:rPr>
          <w:sz w:val="20"/>
        </w:rPr>
      </w:pPr>
    </w:p>
    <w:p w:rsidR="00E46063" w:rsidRPr="006E41BF" w:rsidRDefault="00E46063" w:rsidP="00E46063">
      <w:pPr>
        <w:jc w:val="both"/>
        <w:rPr>
          <w:rFonts w:cs="Arial"/>
          <w:b/>
          <w:sz w:val="20"/>
          <w:szCs w:val="22"/>
        </w:rPr>
      </w:pPr>
    </w:p>
    <w:p w:rsidR="00E46063" w:rsidRPr="00161F8B" w:rsidRDefault="00E46063" w:rsidP="00E46063">
      <w:pPr>
        <w:jc w:val="both"/>
        <w:rPr>
          <w:rFonts w:cs="Arial"/>
          <w:szCs w:val="22"/>
        </w:rPr>
      </w:pPr>
      <w:r w:rsidRPr="00161F8B">
        <w:rPr>
          <w:rFonts w:cs="Arial"/>
          <w:b/>
          <w:szCs w:val="22"/>
        </w:rPr>
        <w:t>Interpreting and reporting differences and trends in the poverty figures which follow</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Four sorts of analyses and comparisons are provided regarding headline trends in Section F and in the more detailed breakdowns in later sections:</w:t>
      </w:r>
    </w:p>
    <w:p w:rsidR="00E46063" w:rsidRPr="006E41BF" w:rsidRDefault="00E46063" w:rsidP="00614C04">
      <w:pPr>
        <w:numPr>
          <w:ilvl w:val="0"/>
          <w:numId w:val="40"/>
        </w:numPr>
        <w:tabs>
          <w:tab w:val="clear" w:pos="1440"/>
          <w:tab w:val="num" w:pos="630"/>
        </w:tabs>
        <w:spacing w:before="120"/>
        <w:ind w:left="630" w:hanging="270"/>
        <w:jc w:val="both"/>
        <w:rPr>
          <w:rFonts w:cs="Arial"/>
          <w:sz w:val="20"/>
          <w:szCs w:val="22"/>
        </w:rPr>
      </w:pPr>
      <w:r w:rsidRPr="006E41BF">
        <w:rPr>
          <w:rFonts w:cs="Arial"/>
          <w:sz w:val="20"/>
          <w:szCs w:val="22"/>
        </w:rPr>
        <w:t>proportions and numbers of people ‘in poverty’ at a point in time</w:t>
      </w:r>
    </w:p>
    <w:p w:rsidR="00E46063" w:rsidRPr="006E41BF" w:rsidRDefault="00E46063" w:rsidP="00614C04">
      <w:pPr>
        <w:numPr>
          <w:ilvl w:val="0"/>
          <w:numId w:val="40"/>
        </w:numPr>
        <w:tabs>
          <w:tab w:val="clear" w:pos="1440"/>
          <w:tab w:val="num" w:pos="630"/>
        </w:tabs>
        <w:spacing w:before="120"/>
        <w:ind w:left="630" w:hanging="270"/>
        <w:jc w:val="both"/>
        <w:rPr>
          <w:rFonts w:cs="Arial"/>
          <w:sz w:val="20"/>
          <w:szCs w:val="22"/>
        </w:rPr>
      </w:pPr>
      <w:r w:rsidRPr="006E41BF">
        <w:rPr>
          <w:rFonts w:cs="Arial"/>
          <w:sz w:val="20"/>
          <w:szCs w:val="22"/>
        </w:rPr>
        <w:t>changes from one survey to the next</w:t>
      </w:r>
    </w:p>
    <w:p w:rsidR="00E46063" w:rsidRPr="006E41BF" w:rsidRDefault="00E46063" w:rsidP="00614C04">
      <w:pPr>
        <w:numPr>
          <w:ilvl w:val="0"/>
          <w:numId w:val="40"/>
        </w:numPr>
        <w:tabs>
          <w:tab w:val="clear" w:pos="1440"/>
          <w:tab w:val="num" w:pos="630"/>
        </w:tabs>
        <w:spacing w:before="120"/>
        <w:ind w:left="630" w:hanging="270"/>
        <w:jc w:val="both"/>
        <w:rPr>
          <w:rFonts w:cs="Arial"/>
          <w:sz w:val="20"/>
          <w:szCs w:val="22"/>
        </w:rPr>
      </w:pPr>
      <w:r w:rsidRPr="006E41BF">
        <w:rPr>
          <w:rFonts w:cs="Arial"/>
          <w:sz w:val="20"/>
          <w:szCs w:val="22"/>
        </w:rPr>
        <w:t>longer-term trends</w:t>
      </w:r>
    </w:p>
    <w:p w:rsidR="00E46063" w:rsidRPr="006E41BF" w:rsidRDefault="00E46063" w:rsidP="00614C04">
      <w:pPr>
        <w:numPr>
          <w:ilvl w:val="0"/>
          <w:numId w:val="40"/>
        </w:numPr>
        <w:tabs>
          <w:tab w:val="clear" w:pos="1440"/>
          <w:tab w:val="num" w:pos="630"/>
        </w:tabs>
        <w:spacing w:before="120"/>
        <w:ind w:left="630" w:hanging="270"/>
        <w:jc w:val="both"/>
        <w:rPr>
          <w:rFonts w:cs="Arial"/>
          <w:sz w:val="20"/>
          <w:szCs w:val="22"/>
        </w:rPr>
      </w:pPr>
      <w:r w:rsidRPr="006E41BF">
        <w:rPr>
          <w:rFonts w:cs="Arial"/>
          <w:sz w:val="20"/>
          <w:szCs w:val="22"/>
        </w:rPr>
        <w:t>relativities between subgroups and composition of those identified as ‘poor’.</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The findings and summaries for proportions ‘in poverty’ depend crucially on the threshold and measure used.   Where point-in-time poverty rates are being reported, it is strongly recommended that those using the figures from this report also explicitly state what measure is being used</w:t>
      </w:r>
      <w:r>
        <w:rPr>
          <w:rFonts w:cs="Arial"/>
          <w:sz w:val="20"/>
          <w:szCs w:val="22"/>
        </w:rPr>
        <w:t xml:space="preserve"> (always)</w:t>
      </w:r>
      <w:r w:rsidRPr="006E41BF">
        <w:rPr>
          <w:rFonts w:cs="Arial"/>
          <w:sz w:val="20"/>
          <w:szCs w:val="22"/>
        </w:rPr>
        <w:t>.</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 xml:space="preserve">Nothing should be read into small changes from one survey to the next, as sampling and non-sampling errors mean that such differences are unlikely to have any significance (see the Introduction, Section A).   </w:t>
      </w:r>
    </w:p>
    <w:p w:rsidR="00E46063" w:rsidRPr="006E41BF" w:rsidRDefault="00E46063" w:rsidP="00E46063">
      <w:pPr>
        <w:jc w:val="both"/>
        <w:rPr>
          <w:rFonts w:cs="Arial"/>
          <w:sz w:val="20"/>
          <w:szCs w:val="22"/>
        </w:rPr>
      </w:pPr>
    </w:p>
    <w:p w:rsidR="00E46063" w:rsidRPr="006E41BF" w:rsidRDefault="00E46063" w:rsidP="00E46063">
      <w:pPr>
        <w:jc w:val="both"/>
        <w:rPr>
          <w:rFonts w:cs="Arial"/>
          <w:sz w:val="20"/>
          <w:szCs w:val="22"/>
        </w:rPr>
      </w:pPr>
      <w:r w:rsidRPr="006E41BF">
        <w:rPr>
          <w:rFonts w:cs="Arial"/>
          <w:sz w:val="20"/>
          <w:szCs w:val="22"/>
        </w:rPr>
        <w:t>In contrast, analysis of longer-term trends and relativities between subgroups generally produce robust and uncluttered summary findings.  Although there is some</w:t>
      </w:r>
      <w:r w:rsidR="00161F8B">
        <w:rPr>
          <w:rFonts w:cs="Arial"/>
          <w:sz w:val="20"/>
          <w:szCs w:val="22"/>
        </w:rPr>
        <w:t xml:space="preserve">times a difference in trend </w:t>
      </w:r>
      <w:r w:rsidRPr="006E41BF">
        <w:rPr>
          <w:rFonts w:cs="Arial"/>
          <w:sz w:val="20"/>
          <w:szCs w:val="22"/>
        </w:rPr>
        <w:t xml:space="preserve">depending on the </w:t>
      </w:r>
      <w:r w:rsidR="00161F8B">
        <w:rPr>
          <w:rFonts w:cs="Arial"/>
          <w:sz w:val="20"/>
          <w:szCs w:val="22"/>
        </w:rPr>
        <w:t xml:space="preserve">particular </w:t>
      </w:r>
      <w:r w:rsidRPr="006E41BF">
        <w:rPr>
          <w:rFonts w:cs="Arial"/>
          <w:sz w:val="20"/>
          <w:szCs w:val="22"/>
        </w:rPr>
        <w:t xml:space="preserve">measure used, these differences are relatively easy to explain from first principles based on the </w:t>
      </w:r>
      <w:r w:rsidR="00161F8B">
        <w:rPr>
          <w:rFonts w:cs="Arial"/>
          <w:sz w:val="20"/>
          <w:szCs w:val="22"/>
        </w:rPr>
        <w:t xml:space="preserve">different </w:t>
      </w:r>
      <w:r w:rsidRPr="006E41BF">
        <w:rPr>
          <w:rFonts w:cs="Arial"/>
          <w:sz w:val="20"/>
          <w:szCs w:val="22"/>
        </w:rPr>
        <w:t>conceptualisation</w:t>
      </w:r>
      <w:r w:rsidR="00161F8B">
        <w:rPr>
          <w:rFonts w:cs="Arial"/>
          <w:sz w:val="20"/>
          <w:szCs w:val="22"/>
        </w:rPr>
        <w:t xml:space="preserve">s for the different </w:t>
      </w:r>
      <w:r w:rsidRPr="006E41BF">
        <w:rPr>
          <w:rFonts w:cs="Arial"/>
          <w:sz w:val="20"/>
          <w:szCs w:val="22"/>
        </w:rPr>
        <w:t xml:space="preserve">measures.  </w:t>
      </w:r>
    </w:p>
    <w:p w:rsidR="00E46063" w:rsidRDefault="00E46063" w:rsidP="00E46063">
      <w:pPr>
        <w:jc w:val="both"/>
        <w:rPr>
          <w:rFonts w:cs="Arial"/>
          <w:szCs w:val="22"/>
        </w:rPr>
      </w:pPr>
    </w:p>
    <w:p w:rsidR="00E46063" w:rsidRDefault="00E46063" w:rsidP="00E46063">
      <w:pPr>
        <w:jc w:val="both"/>
        <w:rPr>
          <w:rFonts w:cs="Arial"/>
          <w:szCs w:val="22"/>
        </w:rPr>
      </w:pPr>
    </w:p>
    <w:bookmarkEnd w:id="104"/>
    <w:p w:rsidR="00E46063" w:rsidRPr="00046BAC" w:rsidRDefault="00E46063" w:rsidP="00E46063">
      <w:pPr>
        <w:spacing w:after="60"/>
        <w:jc w:val="both"/>
      </w:pPr>
    </w:p>
    <w:p w:rsidR="00E46063" w:rsidRDefault="00F06563" w:rsidP="00E46063">
      <w:pPr>
        <w:jc w:val="center"/>
        <w:sectPr w:rsidR="00E46063" w:rsidSect="005A3E8C">
          <w:headerReference w:type="default" r:id="rId73"/>
          <w:pgSz w:w="11909" w:h="16834" w:code="9"/>
          <w:pgMar w:top="1440" w:right="1584" w:bottom="1440" w:left="1584" w:header="706" w:footer="706" w:gutter="0"/>
          <w:cols w:space="720"/>
        </w:sectPr>
      </w:pPr>
      <w:r>
        <w:br w:type="page"/>
      </w:r>
    </w:p>
    <w:p w:rsidR="00E46063" w:rsidRPr="001F6116" w:rsidRDefault="00E46063" w:rsidP="00E46063">
      <w:pPr>
        <w:ind w:left="270" w:hanging="270"/>
        <w:jc w:val="center"/>
        <w:rPr>
          <w:b/>
          <w:sz w:val="32"/>
          <w:szCs w:val="32"/>
        </w:rPr>
      </w:pPr>
      <w:bookmarkStart w:id="106" w:name="_Toc105985450"/>
      <w:r w:rsidRPr="001F6116">
        <w:rPr>
          <w:b/>
          <w:sz w:val="32"/>
          <w:szCs w:val="32"/>
        </w:rPr>
        <w:lastRenderedPageBreak/>
        <w:t>Section F</w:t>
      </w:r>
    </w:p>
    <w:p w:rsidR="00E46063" w:rsidRPr="001F6116" w:rsidRDefault="00E46063" w:rsidP="00E46063">
      <w:pPr>
        <w:pStyle w:val="Heading3"/>
        <w:jc w:val="center"/>
        <w:rPr>
          <w:sz w:val="32"/>
          <w:szCs w:val="32"/>
        </w:rPr>
      </w:pPr>
      <w:r w:rsidRPr="001F6116">
        <w:rPr>
          <w:sz w:val="32"/>
          <w:szCs w:val="32"/>
        </w:rPr>
        <w:t>Headline trends in income poverty, 1982 - 20</w:t>
      </w:r>
      <w:r>
        <w:rPr>
          <w:sz w:val="32"/>
          <w:szCs w:val="32"/>
        </w:rPr>
        <w:t>11</w:t>
      </w:r>
    </w:p>
    <w:p w:rsidR="00E46063" w:rsidRDefault="00E46063" w:rsidP="00E46063">
      <w:pPr>
        <w:jc w:val="both"/>
      </w:pPr>
    </w:p>
    <w:p w:rsidR="00E46063" w:rsidRDefault="00E46063" w:rsidP="00E46063">
      <w:pPr>
        <w:jc w:val="both"/>
      </w:pPr>
    </w:p>
    <w:p w:rsidR="00E46063" w:rsidRPr="006E41BF" w:rsidRDefault="00E46063" w:rsidP="00E46063">
      <w:pPr>
        <w:jc w:val="both"/>
        <w:rPr>
          <w:sz w:val="20"/>
        </w:rPr>
      </w:pPr>
      <w:r w:rsidRPr="006E41BF">
        <w:rPr>
          <w:sz w:val="20"/>
        </w:rPr>
        <w:t xml:space="preserve">This section reports on the trends in </w:t>
      </w:r>
      <w:r w:rsidRPr="006E41BF">
        <w:rPr>
          <w:sz w:val="20"/>
          <w:u w:val="single"/>
        </w:rPr>
        <w:t>headcount poverty rates</w:t>
      </w:r>
      <w:r w:rsidRPr="006E41BF">
        <w:rPr>
          <w:sz w:val="20"/>
        </w:rPr>
        <w:t xml:space="preserve"> – the numbers and proportions of individuals who are in households with incomes below selected thresholds (‘poverty lines’).</w:t>
      </w:r>
    </w:p>
    <w:p w:rsidR="00E46063" w:rsidRPr="006E41BF" w:rsidRDefault="00E46063" w:rsidP="00E46063">
      <w:pPr>
        <w:jc w:val="both"/>
        <w:rPr>
          <w:sz w:val="20"/>
        </w:rPr>
      </w:pPr>
    </w:p>
    <w:p w:rsidR="00E46063" w:rsidRPr="006E41BF" w:rsidRDefault="00E46063" w:rsidP="00E46063">
      <w:pPr>
        <w:jc w:val="both"/>
        <w:rPr>
          <w:sz w:val="20"/>
        </w:rPr>
      </w:pPr>
      <w:r w:rsidRPr="006E41BF">
        <w:rPr>
          <w:sz w:val="20"/>
        </w:rPr>
        <w:t xml:space="preserve">Information on poverty trends is presented for both the whole population and for dependent children. </w:t>
      </w:r>
    </w:p>
    <w:p w:rsidR="00E46063" w:rsidRPr="006E41BF" w:rsidRDefault="00E46063" w:rsidP="00E46063">
      <w:pPr>
        <w:jc w:val="both"/>
        <w:rPr>
          <w:sz w:val="20"/>
        </w:rPr>
      </w:pPr>
    </w:p>
    <w:p w:rsidR="00E46063" w:rsidRPr="006E41BF" w:rsidRDefault="00E46063" w:rsidP="00E46063">
      <w:pPr>
        <w:jc w:val="both"/>
        <w:rPr>
          <w:sz w:val="20"/>
        </w:rPr>
      </w:pPr>
      <w:r>
        <w:rPr>
          <w:sz w:val="20"/>
        </w:rPr>
        <w:t>A</w:t>
      </w:r>
      <w:r w:rsidRPr="006E41BF">
        <w:rPr>
          <w:sz w:val="20"/>
        </w:rPr>
        <w:t xml:space="preserve"> full range of poverty measures is used, as shown in </w:t>
      </w:r>
      <w:r w:rsidRPr="00651EC9">
        <w:rPr>
          <w:sz w:val="20"/>
        </w:rPr>
        <w:t>the table below.</w:t>
      </w:r>
    </w:p>
    <w:p w:rsidR="00E46063" w:rsidRPr="006E41BF" w:rsidRDefault="00E46063" w:rsidP="00E46063">
      <w:pPr>
        <w:rPr>
          <w:sz w:val="20"/>
        </w:rPr>
      </w:pPr>
    </w:p>
    <w:p w:rsidR="00E46063" w:rsidRDefault="00E46063" w:rsidP="00E46063">
      <w:pPr>
        <w:jc w:val="center"/>
        <w:rPr>
          <w:b/>
          <w:sz w:val="18"/>
        </w:rPr>
      </w:pPr>
      <w:r>
        <w:rPr>
          <w:b/>
          <w:sz w:val="18"/>
        </w:rPr>
        <w:t>Table F.1</w:t>
      </w:r>
    </w:p>
    <w:p w:rsidR="00E46063" w:rsidRPr="006E41BF" w:rsidRDefault="00E46063" w:rsidP="00E46063">
      <w:pPr>
        <w:spacing w:after="120"/>
        <w:jc w:val="center"/>
        <w:rPr>
          <w:b/>
          <w:sz w:val="18"/>
        </w:rPr>
      </w:pPr>
      <w:r w:rsidRPr="006E41BF">
        <w:rPr>
          <w:b/>
          <w:sz w:val="18"/>
        </w:rPr>
        <w:t>Poverty measures reported on in Section F</w:t>
      </w:r>
    </w:p>
    <w:tbl>
      <w:tblPr>
        <w:tblStyle w:val="TableGrid"/>
        <w:tblW w:w="0" w:type="auto"/>
        <w:jc w:val="center"/>
        <w:tblLook w:val="01E0"/>
      </w:tblPr>
      <w:tblGrid>
        <w:gridCol w:w="761"/>
        <w:gridCol w:w="762"/>
        <w:gridCol w:w="761"/>
        <w:gridCol w:w="762"/>
        <w:gridCol w:w="762"/>
        <w:gridCol w:w="761"/>
        <w:gridCol w:w="762"/>
        <w:gridCol w:w="762"/>
      </w:tblGrid>
      <w:tr w:rsidR="00E46063" w:rsidRPr="0092340C">
        <w:trPr>
          <w:trHeight w:hRule="exact" w:val="343"/>
          <w:jc w:val="center"/>
        </w:trPr>
        <w:tc>
          <w:tcPr>
            <w:tcW w:w="3046" w:type="dxa"/>
            <w:gridSpan w:val="4"/>
            <w:tcBorders>
              <w:right w:val="single" w:sz="12" w:space="0" w:color="auto"/>
            </w:tcBorders>
            <w:tcMar>
              <w:left w:w="58" w:type="dxa"/>
              <w:right w:w="58" w:type="dxa"/>
            </w:tcMar>
            <w:vAlign w:val="center"/>
          </w:tcPr>
          <w:p w:rsidR="00E46063" w:rsidRPr="00BA0298" w:rsidRDefault="00E46063" w:rsidP="00614C04">
            <w:pPr>
              <w:jc w:val="center"/>
              <w:rPr>
                <w:rFonts w:cs="Arial"/>
                <w:b/>
                <w:sz w:val="16"/>
                <w:szCs w:val="18"/>
              </w:rPr>
            </w:pPr>
            <w:smartTag w:uri="urn:schemas-microsoft-com:office:smarttags" w:element="stockticker">
              <w:r w:rsidRPr="00BA0298">
                <w:rPr>
                  <w:rFonts w:cs="Arial"/>
                  <w:b/>
                  <w:sz w:val="16"/>
                  <w:szCs w:val="18"/>
                </w:rPr>
                <w:t>BHC</w:t>
              </w:r>
            </w:smartTag>
          </w:p>
        </w:tc>
        <w:tc>
          <w:tcPr>
            <w:tcW w:w="3047" w:type="dxa"/>
            <w:gridSpan w:val="4"/>
            <w:tcBorders>
              <w:left w:val="single" w:sz="12" w:space="0" w:color="auto"/>
            </w:tcBorders>
            <w:tcMar>
              <w:left w:w="58" w:type="dxa"/>
              <w:right w:w="58" w:type="dxa"/>
            </w:tcMar>
            <w:vAlign w:val="center"/>
          </w:tcPr>
          <w:p w:rsidR="00E46063" w:rsidRPr="00BA0298" w:rsidRDefault="00E46063" w:rsidP="00614C04">
            <w:pPr>
              <w:jc w:val="center"/>
              <w:rPr>
                <w:rFonts w:cs="Arial"/>
                <w:b/>
                <w:sz w:val="16"/>
                <w:szCs w:val="18"/>
              </w:rPr>
            </w:pPr>
            <w:smartTag w:uri="urn:schemas-microsoft-com:office:smarttags" w:element="stockticker">
              <w:r w:rsidRPr="00BA0298">
                <w:rPr>
                  <w:rFonts w:cs="Arial"/>
                  <w:b/>
                  <w:sz w:val="16"/>
                  <w:szCs w:val="18"/>
                </w:rPr>
                <w:t>AHC</w:t>
              </w:r>
            </w:smartTag>
          </w:p>
        </w:tc>
      </w:tr>
      <w:tr w:rsidR="00E46063" w:rsidRPr="0092340C">
        <w:trPr>
          <w:trHeight w:hRule="exact" w:val="748"/>
          <w:jc w:val="center"/>
        </w:trPr>
        <w:tc>
          <w:tcPr>
            <w:tcW w:w="1523" w:type="dxa"/>
            <w:gridSpan w:val="2"/>
            <w:tcMar>
              <w:left w:w="58" w:type="dxa"/>
              <w:right w:w="58" w:type="dxa"/>
            </w:tcMar>
            <w:vAlign w:val="center"/>
          </w:tcPr>
          <w:p w:rsidR="00E46063" w:rsidRPr="00BA0298" w:rsidRDefault="00E46063"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E46063" w:rsidRPr="00BA0298" w:rsidRDefault="00E46063" w:rsidP="00614C04">
            <w:pPr>
              <w:spacing w:after="20"/>
              <w:jc w:val="center"/>
              <w:rPr>
                <w:rFonts w:cs="Arial"/>
                <w:sz w:val="16"/>
                <w:szCs w:val="18"/>
              </w:rPr>
            </w:pPr>
            <w:r w:rsidRPr="00BA0298">
              <w:rPr>
                <w:rFonts w:cs="Arial"/>
                <w:sz w:val="16"/>
                <w:szCs w:val="18"/>
              </w:rPr>
              <w:t xml:space="preserve"> (‘moving line’</w:t>
            </w:r>
            <w:r>
              <w:rPr>
                <w:rFonts w:cs="Arial"/>
                <w:sz w:val="16"/>
                <w:szCs w:val="18"/>
              </w:rPr>
              <w:t>)</w:t>
            </w:r>
          </w:p>
        </w:tc>
        <w:tc>
          <w:tcPr>
            <w:tcW w:w="1523" w:type="dxa"/>
            <w:gridSpan w:val="2"/>
            <w:tcBorders>
              <w:right w:val="single" w:sz="12" w:space="0" w:color="auto"/>
            </w:tcBorders>
            <w:tcMar>
              <w:left w:w="58" w:type="dxa"/>
              <w:right w:w="58" w:type="dxa"/>
            </w:tcMar>
            <w:vAlign w:val="center"/>
          </w:tcPr>
          <w:p w:rsidR="00E46063" w:rsidRPr="00BA0298" w:rsidRDefault="00E46063"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E46063" w:rsidRPr="00BA0298" w:rsidRDefault="00E46063"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E46063" w:rsidRPr="00BA0298" w:rsidRDefault="00E46063" w:rsidP="00614C04">
            <w:pPr>
              <w:spacing w:after="60"/>
              <w:jc w:val="center"/>
              <w:rPr>
                <w:rFonts w:cs="Arial"/>
                <w:sz w:val="16"/>
                <w:szCs w:val="18"/>
              </w:rPr>
            </w:pPr>
            <w:r w:rsidRPr="00BA0298">
              <w:rPr>
                <w:rFonts w:cs="Arial"/>
                <w:sz w:val="16"/>
                <w:szCs w:val="18"/>
              </w:rPr>
              <w:t>(‘fixed line’)</w:t>
            </w:r>
          </w:p>
        </w:tc>
        <w:tc>
          <w:tcPr>
            <w:tcW w:w="1523" w:type="dxa"/>
            <w:gridSpan w:val="2"/>
            <w:tcBorders>
              <w:left w:val="single" w:sz="12" w:space="0" w:color="auto"/>
            </w:tcBorders>
            <w:tcMar>
              <w:left w:w="58" w:type="dxa"/>
              <w:right w:w="58" w:type="dxa"/>
            </w:tcMar>
            <w:vAlign w:val="center"/>
          </w:tcPr>
          <w:p w:rsidR="00E46063" w:rsidRPr="00BA0298" w:rsidRDefault="00E46063"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E46063" w:rsidRPr="00BA0298" w:rsidRDefault="00E46063" w:rsidP="00614C04">
            <w:pPr>
              <w:spacing w:before="20" w:after="60"/>
              <w:jc w:val="center"/>
              <w:rPr>
                <w:rFonts w:cs="Arial"/>
                <w:sz w:val="16"/>
                <w:szCs w:val="18"/>
              </w:rPr>
            </w:pPr>
            <w:r w:rsidRPr="00BA0298">
              <w:rPr>
                <w:rFonts w:cs="Arial"/>
                <w:sz w:val="16"/>
                <w:szCs w:val="18"/>
              </w:rPr>
              <w:t xml:space="preserve"> (‘moving line’</w:t>
            </w:r>
            <w:r>
              <w:rPr>
                <w:rFonts w:cs="Arial"/>
                <w:sz w:val="16"/>
                <w:szCs w:val="18"/>
              </w:rPr>
              <w:t>)</w:t>
            </w:r>
          </w:p>
        </w:tc>
        <w:tc>
          <w:tcPr>
            <w:tcW w:w="1524" w:type="dxa"/>
            <w:gridSpan w:val="2"/>
            <w:tcMar>
              <w:left w:w="58" w:type="dxa"/>
              <w:right w:w="58" w:type="dxa"/>
            </w:tcMar>
            <w:vAlign w:val="center"/>
          </w:tcPr>
          <w:p w:rsidR="00E46063" w:rsidRPr="00BA0298" w:rsidRDefault="00E46063"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E46063" w:rsidRPr="00BA0298" w:rsidRDefault="00E46063"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E46063" w:rsidRPr="00BA0298" w:rsidRDefault="00E46063" w:rsidP="00614C04">
            <w:pPr>
              <w:spacing w:after="60"/>
              <w:jc w:val="center"/>
              <w:rPr>
                <w:rFonts w:cs="Arial"/>
                <w:sz w:val="16"/>
                <w:szCs w:val="18"/>
              </w:rPr>
            </w:pPr>
            <w:r w:rsidRPr="00BA0298">
              <w:rPr>
                <w:rFonts w:cs="Arial"/>
                <w:sz w:val="16"/>
                <w:szCs w:val="18"/>
              </w:rPr>
              <w:t>(‘fixed line’)</w:t>
            </w:r>
          </w:p>
        </w:tc>
      </w:tr>
      <w:tr w:rsidR="00E46063" w:rsidRPr="0092340C">
        <w:trPr>
          <w:trHeight w:val="330"/>
          <w:jc w:val="center"/>
        </w:trPr>
        <w:tc>
          <w:tcPr>
            <w:tcW w:w="761" w:type="dxa"/>
            <w:tcBorders>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50</w:t>
            </w:r>
          </w:p>
        </w:tc>
        <w:tc>
          <w:tcPr>
            <w:tcW w:w="762" w:type="dxa"/>
            <w:tcBorders>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60</w:t>
            </w:r>
          </w:p>
        </w:tc>
        <w:tc>
          <w:tcPr>
            <w:tcW w:w="761" w:type="dxa"/>
            <w:tcBorders>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50</w:t>
            </w:r>
          </w:p>
        </w:tc>
        <w:tc>
          <w:tcPr>
            <w:tcW w:w="762" w:type="dxa"/>
            <w:tcBorders>
              <w:bottom w:val="single" w:sz="4" w:space="0" w:color="auto"/>
              <w:right w:val="single" w:sz="12"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60</w:t>
            </w:r>
          </w:p>
        </w:tc>
        <w:tc>
          <w:tcPr>
            <w:tcW w:w="762" w:type="dxa"/>
            <w:tcBorders>
              <w:left w:val="single" w:sz="12" w:space="0" w:color="auto"/>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50</w:t>
            </w:r>
          </w:p>
        </w:tc>
        <w:tc>
          <w:tcPr>
            <w:tcW w:w="761" w:type="dxa"/>
            <w:tcBorders>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60</w:t>
            </w:r>
          </w:p>
        </w:tc>
        <w:tc>
          <w:tcPr>
            <w:tcW w:w="762" w:type="dxa"/>
            <w:tcBorders>
              <w:bottom w:val="single" w:sz="4" w:space="0" w:color="auto"/>
            </w:tcBorders>
            <w:tcMar>
              <w:left w:w="58" w:type="dxa"/>
              <w:right w:w="58" w:type="dxa"/>
            </w:tcMar>
            <w:vAlign w:val="center"/>
          </w:tcPr>
          <w:p w:rsidR="00E46063" w:rsidRPr="00BA0298" w:rsidRDefault="00E46063" w:rsidP="00614C04">
            <w:pPr>
              <w:jc w:val="center"/>
              <w:rPr>
                <w:rFonts w:cs="Arial"/>
                <w:sz w:val="16"/>
                <w:szCs w:val="18"/>
              </w:rPr>
            </w:pPr>
            <w:r w:rsidRPr="00BA0298">
              <w:rPr>
                <w:rFonts w:cs="Arial"/>
                <w:sz w:val="16"/>
                <w:szCs w:val="18"/>
              </w:rPr>
              <w:t>50</w:t>
            </w:r>
          </w:p>
        </w:tc>
        <w:tc>
          <w:tcPr>
            <w:tcW w:w="762" w:type="dxa"/>
            <w:tcBorders>
              <w:bottom w:val="single" w:sz="4" w:space="0" w:color="auto"/>
            </w:tcBorders>
            <w:shd w:val="clear" w:color="auto" w:fill="C0C0C0"/>
            <w:tcMar>
              <w:left w:w="58" w:type="dxa"/>
              <w:right w:w="58" w:type="dxa"/>
            </w:tcMar>
            <w:vAlign w:val="center"/>
          </w:tcPr>
          <w:p w:rsidR="00E46063" w:rsidRPr="00BA0298" w:rsidRDefault="00E46063" w:rsidP="00614C04">
            <w:pPr>
              <w:jc w:val="center"/>
              <w:rPr>
                <w:rFonts w:cs="Arial"/>
                <w:b/>
                <w:sz w:val="16"/>
                <w:szCs w:val="18"/>
              </w:rPr>
            </w:pPr>
            <w:r w:rsidRPr="00BA0298">
              <w:rPr>
                <w:rFonts w:cs="Arial"/>
                <w:b/>
                <w:sz w:val="16"/>
                <w:szCs w:val="18"/>
              </w:rPr>
              <w:t>60</w:t>
            </w:r>
          </w:p>
        </w:tc>
      </w:tr>
      <w:tr w:rsidR="00E46063" w:rsidRPr="0092340C">
        <w:trPr>
          <w:trHeight w:val="330"/>
          <w:jc w:val="center"/>
        </w:trPr>
        <w:tc>
          <w:tcPr>
            <w:tcW w:w="761" w:type="dxa"/>
            <w:shd w:val="clear" w:color="auto" w:fill="auto"/>
            <w:tcMar>
              <w:left w:w="58" w:type="dxa"/>
              <w:right w:w="58" w:type="dxa"/>
            </w:tcMar>
            <w:vAlign w:val="center"/>
          </w:tcPr>
          <w:p w:rsidR="00E46063" w:rsidRPr="00BA0298" w:rsidRDefault="00E46063" w:rsidP="00614C04">
            <w:pPr>
              <w:jc w:val="center"/>
              <w:rPr>
                <w:rFonts w:cs="Arial"/>
                <w:sz w:val="16"/>
                <w:szCs w:val="18"/>
              </w:rPr>
            </w:pPr>
            <w:r w:rsidRPr="00BA0298">
              <w:rPr>
                <w:rFonts w:cs="Arial"/>
                <w:b/>
                <w:sz w:val="16"/>
                <w:szCs w:val="18"/>
              </w:rPr>
              <w:sym w:font="Wingdings" w:char="F0FC"/>
            </w:r>
          </w:p>
        </w:tc>
        <w:tc>
          <w:tcPr>
            <w:tcW w:w="762" w:type="dxa"/>
            <w:shd w:val="clear" w:color="auto" w:fill="auto"/>
            <w:tcMar>
              <w:left w:w="58" w:type="dxa"/>
              <w:right w:w="58" w:type="dxa"/>
            </w:tcMar>
            <w:vAlign w:val="center"/>
          </w:tcPr>
          <w:p w:rsidR="00E46063" w:rsidRPr="00BA0298" w:rsidRDefault="00E46063" w:rsidP="00614C04">
            <w:pPr>
              <w:jc w:val="center"/>
              <w:rPr>
                <w:rFonts w:cs="Arial"/>
                <w:b/>
                <w:sz w:val="16"/>
                <w:szCs w:val="18"/>
              </w:rPr>
            </w:pPr>
            <w:r w:rsidRPr="00BA0298">
              <w:rPr>
                <w:rFonts w:cs="Arial"/>
                <w:b/>
                <w:sz w:val="16"/>
                <w:szCs w:val="18"/>
              </w:rPr>
              <w:sym w:font="Wingdings" w:char="F0FC"/>
            </w:r>
          </w:p>
        </w:tc>
        <w:tc>
          <w:tcPr>
            <w:tcW w:w="761" w:type="dxa"/>
            <w:shd w:val="clear" w:color="auto" w:fill="auto"/>
            <w:tcMar>
              <w:left w:w="58" w:type="dxa"/>
              <w:right w:w="58" w:type="dxa"/>
            </w:tcMar>
            <w:vAlign w:val="center"/>
          </w:tcPr>
          <w:p w:rsidR="00E46063" w:rsidRPr="00BA0298" w:rsidRDefault="00E46063" w:rsidP="00614C04">
            <w:pPr>
              <w:spacing w:after="40"/>
              <w:jc w:val="center"/>
              <w:rPr>
                <w:rFonts w:cs="Arial"/>
                <w:sz w:val="16"/>
                <w:szCs w:val="18"/>
              </w:rPr>
            </w:pPr>
            <w:r>
              <w:rPr>
                <w:rFonts w:cs="Arial"/>
                <w:b/>
                <w:sz w:val="16"/>
                <w:szCs w:val="18"/>
              </w:rPr>
              <w:t>-</w:t>
            </w:r>
          </w:p>
        </w:tc>
        <w:tc>
          <w:tcPr>
            <w:tcW w:w="762" w:type="dxa"/>
            <w:tcBorders>
              <w:right w:val="single" w:sz="12" w:space="0" w:color="auto"/>
            </w:tcBorders>
            <w:shd w:val="clear" w:color="auto" w:fill="auto"/>
            <w:tcMar>
              <w:left w:w="58" w:type="dxa"/>
              <w:right w:w="58" w:type="dxa"/>
            </w:tcMar>
            <w:vAlign w:val="center"/>
          </w:tcPr>
          <w:p w:rsidR="00E46063" w:rsidRPr="00BA0298" w:rsidRDefault="00E46063" w:rsidP="00614C04">
            <w:pPr>
              <w:jc w:val="center"/>
              <w:rPr>
                <w:rFonts w:cs="Arial"/>
                <w:b/>
                <w:sz w:val="16"/>
                <w:szCs w:val="18"/>
              </w:rPr>
            </w:pPr>
            <w:r w:rsidRPr="00BA0298">
              <w:rPr>
                <w:rFonts w:cs="Arial"/>
                <w:b/>
                <w:sz w:val="16"/>
                <w:szCs w:val="18"/>
              </w:rPr>
              <w:sym w:font="Wingdings" w:char="F0FC"/>
            </w:r>
          </w:p>
        </w:tc>
        <w:tc>
          <w:tcPr>
            <w:tcW w:w="762" w:type="dxa"/>
            <w:tcBorders>
              <w:left w:val="single" w:sz="12" w:space="0" w:color="auto"/>
            </w:tcBorders>
            <w:shd w:val="clear" w:color="auto" w:fill="auto"/>
            <w:tcMar>
              <w:left w:w="58" w:type="dxa"/>
              <w:right w:w="58" w:type="dxa"/>
            </w:tcMar>
            <w:vAlign w:val="center"/>
          </w:tcPr>
          <w:p w:rsidR="00E46063" w:rsidRPr="00BA0298" w:rsidRDefault="00E46063" w:rsidP="00614C04">
            <w:pPr>
              <w:jc w:val="center"/>
              <w:rPr>
                <w:rFonts w:cs="Arial"/>
                <w:sz w:val="16"/>
                <w:szCs w:val="18"/>
              </w:rPr>
            </w:pPr>
            <w:r w:rsidRPr="00BA0298">
              <w:rPr>
                <w:rFonts w:cs="Arial"/>
                <w:b/>
                <w:sz w:val="16"/>
                <w:szCs w:val="18"/>
              </w:rPr>
              <w:sym w:font="Wingdings" w:char="F0FC"/>
            </w:r>
          </w:p>
        </w:tc>
        <w:tc>
          <w:tcPr>
            <w:tcW w:w="761" w:type="dxa"/>
            <w:shd w:val="clear" w:color="auto" w:fill="auto"/>
            <w:tcMar>
              <w:left w:w="58" w:type="dxa"/>
              <w:right w:w="58" w:type="dxa"/>
            </w:tcMar>
            <w:vAlign w:val="center"/>
          </w:tcPr>
          <w:p w:rsidR="00E46063" w:rsidRPr="00BA0298" w:rsidRDefault="00E46063" w:rsidP="00614C04">
            <w:pPr>
              <w:jc w:val="center"/>
              <w:rPr>
                <w:rFonts w:cs="Arial"/>
                <w:b/>
                <w:sz w:val="16"/>
                <w:szCs w:val="18"/>
              </w:rPr>
            </w:pPr>
            <w:r w:rsidRPr="00BA0298">
              <w:rPr>
                <w:rFonts w:cs="Arial"/>
                <w:b/>
                <w:sz w:val="16"/>
                <w:szCs w:val="18"/>
              </w:rPr>
              <w:sym w:font="Wingdings" w:char="F0FC"/>
            </w:r>
          </w:p>
        </w:tc>
        <w:tc>
          <w:tcPr>
            <w:tcW w:w="762" w:type="dxa"/>
            <w:tcBorders>
              <w:right w:val="single" w:sz="4" w:space="0" w:color="auto"/>
            </w:tcBorders>
            <w:shd w:val="clear" w:color="auto" w:fill="auto"/>
            <w:tcMar>
              <w:left w:w="58" w:type="dxa"/>
              <w:right w:w="58" w:type="dxa"/>
            </w:tcMar>
            <w:vAlign w:val="center"/>
          </w:tcPr>
          <w:p w:rsidR="00E46063" w:rsidRPr="00BA0298" w:rsidRDefault="00E46063" w:rsidP="00614C04">
            <w:pPr>
              <w:spacing w:after="40"/>
              <w:jc w:val="center"/>
              <w:rPr>
                <w:rFonts w:cs="Arial"/>
                <w:sz w:val="16"/>
                <w:szCs w:val="18"/>
              </w:rPr>
            </w:pPr>
            <w:r>
              <w:rPr>
                <w:rFonts w:cs="Arial"/>
                <w:b/>
                <w:sz w:val="16"/>
                <w:szCs w:val="18"/>
              </w:rPr>
              <w:t>-</w:t>
            </w:r>
          </w:p>
        </w:tc>
        <w:tc>
          <w:tcPr>
            <w:tcW w:w="762" w:type="dxa"/>
            <w:tcBorders>
              <w:left w:val="single" w:sz="4" w:space="0" w:color="auto"/>
            </w:tcBorders>
            <w:shd w:val="clear" w:color="auto" w:fill="C0C0C0"/>
            <w:tcMar>
              <w:left w:w="58" w:type="dxa"/>
              <w:right w:w="58" w:type="dxa"/>
            </w:tcMar>
            <w:vAlign w:val="center"/>
          </w:tcPr>
          <w:p w:rsidR="00E46063" w:rsidRPr="00BA0298" w:rsidRDefault="00E46063" w:rsidP="00614C04">
            <w:pPr>
              <w:jc w:val="center"/>
              <w:rPr>
                <w:rFonts w:cs="Arial"/>
                <w:b/>
                <w:sz w:val="16"/>
                <w:szCs w:val="18"/>
              </w:rPr>
            </w:pPr>
            <w:r w:rsidRPr="00BA0298">
              <w:rPr>
                <w:rFonts w:cs="Arial"/>
                <w:b/>
                <w:sz w:val="16"/>
                <w:szCs w:val="18"/>
              </w:rPr>
              <w:sym w:font="Wingdings" w:char="F0FC"/>
            </w:r>
          </w:p>
        </w:tc>
      </w:tr>
    </w:tbl>
    <w:p w:rsidR="00E46063" w:rsidRPr="00FC5D5C" w:rsidRDefault="00E46063" w:rsidP="00E46063">
      <w:pPr>
        <w:spacing w:before="120"/>
        <w:ind w:left="1260" w:right="14"/>
        <w:jc w:val="both"/>
        <w:rPr>
          <w:sz w:val="16"/>
          <w:szCs w:val="16"/>
        </w:rPr>
      </w:pPr>
      <w:r w:rsidRPr="00FC5D5C">
        <w:rPr>
          <w:sz w:val="16"/>
          <w:szCs w:val="16"/>
        </w:rPr>
        <w:t>Note: ‘CV</w:t>
      </w:r>
      <w:r>
        <w:rPr>
          <w:sz w:val="16"/>
          <w:szCs w:val="16"/>
        </w:rPr>
        <w:t>-</w:t>
      </w:r>
      <w:r w:rsidRPr="00FC5D5C">
        <w:rPr>
          <w:sz w:val="16"/>
          <w:szCs w:val="16"/>
        </w:rPr>
        <w:t>98’ indicates that 1998 is the reference year used. ‘CV</w:t>
      </w:r>
      <w:r>
        <w:rPr>
          <w:sz w:val="16"/>
          <w:szCs w:val="16"/>
        </w:rPr>
        <w:t>-</w:t>
      </w:r>
      <w:r w:rsidRPr="00FC5D5C">
        <w:rPr>
          <w:sz w:val="16"/>
          <w:szCs w:val="16"/>
        </w:rPr>
        <w:t>07’ uses 2007</w:t>
      </w:r>
      <w:r>
        <w:rPr>
          <w:sz w:val="16"/>
          <w:szCs w:val="16"/>
        </w:rPr>
        <w:t>.</w:t>
      </w:r>
      <w:r w:rsidRPr="00FC5D5C">
        <w:rPr>
          <w:sz w:val="16"/>
          <w:szCs w:val="16"/>
        </w:rPr>
        <w:t xml:space="preserve"> </w:t>
      </w:r>
    </w:p>
    <w:p w:rsidR="00E46063" w:rsidRDefault="00E46063" w:rsidP="00E46063">
      <w:pPr>
        <w:ind w:right="14"/>
        <w:jc w:val="both"/>
        <w:rPr>
          <w:sz w:val="20"/>
        </w:rPr>
      </w:pPr>
    </w:p>
    <w:p w:rsidR="00E46063" w:rsidRPr="00F93F2C" w:rsidRDefault="00E46063" w:rsidP="00E46063">
      <w:pPr>
        <w:ind w:right="14"/>
        <w:jc w:val="both"/>
        <w:rPr>
          <w:sz w:val="20"/>
        </w:rPr>
      </w:pPr>
      <w:r w:rsidRPr="00F93F2C">
        <w:rPr>
          <w:sz w:val="20"/>
        </w:rPr>
        <w:t xml:space="preserve">For a ‘fixed line’ measure the poverty threshold is set in a reference year (eg at 60% of the median in </w:t>
      </w:r>
      <w:r>
        <w:rPr>
          <w:sz w:val="20"/>
        </w:rPr>
        <w:t>1998</w:t>
      </w:r>
      <w:r w:rsidRPr="00F93F2C">
        <w:rPr>
          <w:sz w:val="20"/>
        </w:rPr>
        <w:t>), then held at constant value</w:t>
      </w:r>
      <w:r>
        <w:rPr>
          <w:sz w:val="20"/>
        </w:rPr>
        <w:t xml:space="preserve"> (CV)</w:t>
      </w:r>
      <w:r w:rsidRPr="00F93F2C">
        <w:rPr>
          <w:sz w:val="20"/>
        </w:rPr>
        <w:t xml:space="preserve"> in real terms for other years using the </w:t>
      </w:r>
      <w:smartTag w:uri="urn:schemas-microsoft-com:office:smarttags" w:element="stockticker">
        <w:r w:rsidRPr="00F93F2C">
          <w:rPr>
            <w:sz w:val="20"/>
          </w:rPr>
          <w:t>CPI</w:t>
        </w:r>
      </w:smartTag>
      <w:r w:rsidRPr="00F93F2C">
        <w:rPr>
          <w:sz w:val="20"/>
        </w:rPr>
        <w:t xml:space="preserve">.  </w:t>
      </w:r>
      <w:r>
        <w:rPr>
          <w:sz w:val="20"/>
        </w:rPr>
        <w:t xml:space="preserve">If the incomes of low-income households rise in real terms over time, the fixed line poverty threshold eventually becomes too low relative to average incomes to be useful, and a new reference year has to be chosen.  </w:t>
      </w:r>
      <w:r w:rsidRPr="00F93F2C">
        <w:rPr>
          <w:sz w:val="20"/>
        </w:rPr>
        <w:t xml:space="preserve">For 1982 to 2007, 1998 was used as the reference year.  </w:t>
      </w:r>
      <w:r>
        <w:rPr>
          <w:sz w:val="20"/>
        </w:rPr>
        <w:t>2007 is the reference year for 2007 and later years.</w:t>
      </w:r>
      <w:r w:rsidRPr="00F93F2C">
        <w:rPr>
          <w:sz w:val="20"/>
        </w:rPr>
        <w:t xml:space="preserve">  In this </w:t>
      </w:r>
      <w:r>
        <w:rPr>
          <w:sz w:val="20"/>
        </w:rPr>
        <w:t>s</w:t>
      </w:r>
      <w:r w:rsidRPr="00F93F2C">
        <w:rPr>
          <w:sz w:val="20"/>
        </w:rPr>
        <w:t xml:space="preserve">ection, poverty figures for </w:t>
      </w:r>
      <w:r>
        <w:rPr>
          <w:sz w:val="20"/>
        </w:rPr>
        <w:t>2001 to 2007</w:t>
      </w:r>
      <w:r w:rsidRPr="00F93F2C">
        <w:rPr>
          <w:sz w:val="20"/>
        </w:rPr>
        <w:t xml:space="preserve"> are given using both reference years</w:t>
      </w:r>
      <w:r>
        <w:rPr>
          <w:sz w:val="20"/>
        </w:rPr>
        <w:t xml:space="preserve"> to provide a good overlap for comparison</w:t>
      </w:r>
      <w:r w:rsidRPr="00F93F2C">
        <w:rPr>
          <w:sz w:val="20"/>
        </w:rPr>
        <w:t xml:space="preserve">.  See </w:t>
      </w:r>
      <w:r w:rsidRPr="00D10250">
        <w:rPr>
          <w:b/>
          <w:sz w:val="20"/>
        </w:rPr>
        <w:t>Section E</w:t>
      </w:r>
      <w:r w:rsidRPr="00F93F2C">
        <w:rPr>
          <w:sz w:val="20"/>
        </w:rPr>
        <w:t xml:space="preserve"> for more detail on this.</w:t>
      </w:r>
    </w:p>
    <w:p w:rsidR="00E46063" w:rsidRDefault="00E46063" w:rsidP="00E46063">
      <w:pPr>
        <w:jc w:val="both"/>
      </w:pPr>
    </w:p>
    <w:p w:rsidR="00E46063" w:rsidRPr="006E41BF" w:rsidRDefault="00E46063" w:rsidP="00E46063">
      <w:pPr>
        <w:jc w:val="both"/>
        <w:rPr>
          <w:sz w:val="20"/>
        </w:rPr>
      </w:pPr>
      <w:r>
        <w:rPr>
          <w:sz w:val="20"/>
        </w:rPr>
        <w:t>The</w:t>
      </w:r>
      <w:r w:rsidRPr="006E41BF">
        <w:rPr>
          <w:sz w:val="20"/>
        </w:rPr>
        <w:t xml:space="preserve"> thresholds used for the </w:t>
      </w:r>
      <w:smartTag w:uri="urn:schemas-microsoft-com:office:smarttags" w:element="stockticker">
        <w:r w:rsidRPr="006E41BF">
          <w:rPr>
            <w:sz w:val="20"/>
          </w:rPr>
          <w:t>AHC</w:t>
        </w:r>
      </w:smartTag>
      <w:r w:rsidRPr="006E41BF">
        <w:rPr>
          <w:sz w:val="20"/>
        </w:rPr>
        <w:t xml:space="preserve"> measures are based on the corresponding </w:t>
      </w:r>
      <w:smartTag w:uri="urn:schemas-microsoft-com:office:smarttags" w:element="stockticker">
        <w:r w:rsidRPr="006E41BF">
          <w:rPr>
            <w:sz w:val="20"/>
          </w:rPr>
          <w:t>BHC</w:t>
        </w:r>
      </w:smartTag>
      <w:r>
        <w:rPr>
          <w:sz w:val="20"/>
        </w:rPr>
        <w:t xml:space="preserve"> measure with 25% deducted to allow for housing costs.</w:t>
      </w:r>
      <w:r w:rsidRPr="006E41BF">
        <w:rPr>
          <w:sz w:val="20"/>
        </w:rPr>
        <w:t xml:space="preserve">  For example, what is referred to as ‘the 60% </w:t>
      </w:r>
      <w:smartTag w:uri="urn:schemas-microsoft-com:office:smarttags" w:element="stockticker">
        <w:r w:rsidRPr="006E41BF">
          <w:rPr>
            <w:sz w:val="20"/>
          </w:rPr>
          <w:t>AHC</w:t>
        </w:r>
      </w:smartTag>
      <w:r w:rsidRPr="006E41BF">
        <w:rPr>
          <w:sz w:val="20"/>
        </w:rPr>
        <w:t xml:space="preserve"> threshold’ is equal to the 60% </w:t>
      </w:r>
      <w:smartTag w:uri="urn:schemas-microsoft-com:office:smarttags" w:element="stockticker">
        <w:r w:rsidRPr="006E41BF">
          <w:rPr>
            <w:sz w:val="20"/>
          </w:rPr>
          <w:t>BHC</w:t>
        </w:r>
      </w:smartTag>
      <w:r w:rsidRPr="006E41BF">
        <w:rPr>
          <w:sz w:val="20"/>
        </w:rPr>
        <w:t xml:space="preserve"> threshold less 25%.  This threshold value is applied to the </w:t>
      </w:r>
      <w:smartTag w:uri="urn:schemas-microsoft-com:office:smarttags" w:element="stockticker">
        <w:r w:rsidRPr="006E41BF">
          <w:rPr>
            <w:sz w:val="20"/>
          </w:rPr>
          <w:t>AHC</w:t>
        </w:r>
      </w:smartTag>
      <w:r w:rsidRPr="006E41BF">
        <w:rPr>
          <w:sz w:val="20"/>
        </w:rPr>
        <w:t xml:space="preserve"> household income distribution and those in households with </w:t>
      </w:r>
      <w:smartTag w:uri="urn:schemas-microsoft-com:office:smarttags" w:element="stockticker">
        <w:r w:rsidRPr="006E41BF">
          <w:rPr>
            <w:sz w:val="20"/>
          </w:rPr>
          <w:t>AHC</w:t>
        </w:r>
      </w:smartTag>
      <w:r w:rsidRPr="006E41BF">
        <w:rPr>
          <w:sz w:val="20"/>
        </w:rPr>
        <w:t xml:space="preserve"> incomes below t</w:t>
      </w:r>
      <w:r>
        <w:rPr>
          <w:sz w:val="20"/>
        </w:rPr>
        <w:t xml:space="preserve">he line are counted up.  </w:t>
      </w:r>
      <w:r w:rsidRPr="006E41BF">
        <w:rPr>
          <w:sz w:val="20"/>
        </w:rPr>
        <w:t xml:space="preserve">The rationale for this approach is provided in </w:t>
      </w:r>
      <w:r w:rsidRPr="006E41BF">
        <w:rPr>
          <w:b/>
          <w:sz w:val="20"/>
        </w:rPr>
        <w:t xml:space="preserve">Appendix </w:t>
      </w:r>
      <w:r>
        <w:rPr>
          <w:b/>
          <w:sz w:val="20"/>
        </w:rPr>
        <w:t>6</w:t>
      </w:r>
      <w:r w:rsidRPr="006E41BF">
        <w:rPr>
          <w:sz w:val="20"/>
        </w:rPr>
        <w:t>.</w:t>
      </w:r>
    </w:p>
    <w:p w:rsidR="00E46063" w:rsidRPr="006E41BF" w:rsidRDefault="00E46063" w:rsidP="00E46063">
      <w:pPr>
        <w:jc w:val="both"/>
        <w:rPr>
          <w:sz w:val="20"/>
        </w:rPr>
      </w:pPr>
    </w:p>
    <w:p w:rsidR="00E46063" w:rsidRDefault="00E46063" w:rsidP="00E46063">
      <w:pPr>
        <w:jc w:val="both"/>
        <w:rPr>
          <w:sz w:val="20"/>
        </w:rPr>
      </w:pPr>
      <w:r>
        <w:rPr>
          <w:sz w:val="20"/>
        </w:rPr>
        <w:t xml:space="preserve">While each of the six measures used in this section has an important story to tell, </w:t>
      </w:r>
      <w:r w:rsidRPr="008B1BA1">
        <w:rPr>
          <w:sz w:val="20"/>
          <w:u w:val="single"/>
        </w:rPr>
        <w:t xml:space="preserve">this report recommends the </w:t>
      </w:r>
      <w:smartTag w:uri="urn:schemas-microsoft-com:office:smarttags" w:element="stockticker">
        <w:r w:rsidRPr="008B1BA1">
          <w:rPr>
            <w:sz w:val="20"/>
            <w:u w:val="single"/>
          </w:rPr>
          <w:t>AHC</w:t>
        </w:r>
      </w:smartTag>
      <w:r w:rsidRPr="008B1BA1">
        <w:rPr>
          <w:sz w:val="20"/>
          <w:u w:val="single"/>
        </w:rPr>
        <w:t xml:space="preserve"> ‘fixed line’ (CV) measure as the primary indicator for monitoring short to medium-term trends.</w:t>
      </w:r>
      <w:r>
        <w:rPr>
          <w:sz w:val="20"/>
        </w:rPr>
        <w:t xml:space="preserve">  In the longer run the story told by the ‘moving line’ measures needs to be taken into account too.  For example, if poverty rates on fixed line measures are falling while rates using a moving line measure are rising then that indicates rising inequality among low- to middle-income households, despite incomes improving in real terms for low-income households.  This raises social cohesion and equity issues.  No one measure is adequate on its own in the medium to longer term.</w:t>
      </w:r>
    </w:p>
    <w:p w:rsidR="00E46063" w:rsidRDefault="00E46063" w:rsidP="00E46063">
      <w:pPr>
        <w:jc w:val="both"/>
        <w:rPr>
          <w:sz w:val="20"/>
        </w:rPr>
      </w:pPr>
    </w:p>
    <w:p w:rsidR="00E46063" w:rsidRPr="006E41BF" w:rsidRDefault="00E46063" w:rsidP="00E46063">
      <w:pPr>
        <w:jc w:val="both"/>
        <w:rPr>
          <w:sz w:val="20"/>
        </w:rPr>
      </w:pPr>
      <w:r>
        <w:rPr>
          <w:sz w:val="20"/>
        </w:rPr>
        <w:t xml:space="preserve">The report also recommends the use of an </w:t>
      </w:r>
      <w:smartTag w:uri="urn:schemas-microsoft-com:office:smarttags" w:element="stockticker">
        <w:r>
          <w:rPr>
            <w:sz w:val="20"/>
          </w:rPr>
          <w:t>AHC</w:t>
        </w:r>
      </w:smartTag>
      <w:r>
        <w:rPr>
          <w:sz w:val="20"/>
        </w:rPr>
        <w:t xml:space="preserve"> measure for</w:t>
      </w:r>
      <w:r w:rsidRPr="006E41BF">
        <w:rPr>
          <w:sz w:val="20"/>
        </w:rPr>
        <w:t xml:space="preserve"> comparing the </w:t>
      </w:r>
      <w:r>
        <w:rPr>
          <w:sz w:val="20"/>
        </w:rPr>
        <w:t xml:space="preserve">material </w:t>
      </w:r>
      <w:r w:rsidRPr="006E41BF">
        <w:rPr>
          <w:sz w:val="20"/>
        </w:rPr>
        <w:t>wellbeing of various subgroups</w:t>
      </w:r>
      <w:r>
        <w:rPr>
          <w:sz w:val="20"/>
        </w:rPr>
        <w:t xml:space="preserve">, as it gives a much more meaningful comparison between groups </w:t>
      </w:r>
      <w:r w:rsidRPr="00DB3409">
        <w:rPr>
          <w:rFonts w:cs="Arial"/>
          <w:sz w:val="20"/>
        </w:rPr>
        <w:t xml:space="preserve">with very different housing </w:t>
      </w:r>
      <w:r>
        <w:rPr>
          <w:rFonts w:cs="Arial"/>
          <w:sz w:val="20"/>
        </w:rPr>
        <w:t>costs</w:t>
      </w:r>
      <w:r w:rsidRPr="00DB3409">
        <w:rPr>
          <w:rFonts w:cs="Arial"/>
          <w:sz w:val="20"/>
        </w:rPr>
        <w:t xml:space="preserve"> (for example, people aged 65+ compared with </w:t>
      </w:r>
      <w:r>
        <w:rPr>
          <w:rFonts w:cs="Arial"/>
          <w:sz w:val="20"/>
        </w:rPr>
        <w:t xml:space="preserve">households with </w:t>
      </w:r>
      <w:r w:rsidRPr="00DB3409">
        <w:rPr>
          <w:rFonts w:cs="Arial"/>
          <w:sz w:val="20"/>
        </w:rPr>
        <w:t>children).</w:t>
      </w:r>
      <w:r>
        <w:rPr>
          <w:sz w:val="20"/>
        </w:rPr>
        <w:t xml:space="preserve">   A full account of the </w:t>
      </w:r>
      <w:r w:rsidRPr="006E41BF">
        <w:rPr>
          <w:sz w:val="20"/>
        </w:rPr>
        <w:t>rationale for this is provided in</w:t>
      </w:r>
      <w:r>
        <w:rPr>
          <w:sz w:val="20"/>
        </w:rPr>
        <w:t xml:space="preserve"> Section E and</w:t>
      </w:r>
      <w:r w:rsidRPr="006E41BF">
        <w:rPr>
          <w:sz w:val="20"/>
        </w:rPr>
        <w:t xml:space="preserve"> </w:t>
      </w:r>
      <w:r w:rsidRPr="006E41BF">
        <w:rPr>
          <w:b/>
          <w:sz w:val="20"/>
        </w:rPr>
        <w:t>Appendix 5.</w:t>
      </w:r>
    </w:p>
    <w:p w:rsidR="00E46063" w:rsidRDefault="00E46063" w:rsidP="00E46063">
      <w:pPr>
        <w:rPr>
          <w:rFonts w:cs="Arial"/>
          <w:sz w:val="20"/>
        </w:rPr>
      </w:pPr>
    </w:p>
    <w:p w:rsidR="00E46063" w:rsidRPr="006E41BF" w:rsidRDefault="00E46063" w:rsidP="00E46063">
      <w:pPr>
        <w:rPr>
          <w:sz w:val="20"/>
        </w:rPr>
      </w:pPr>
      <w:r w:rsidRPr="006E41BF">
        <w:rPr>
          <w:sz w:val="20"/>
        </w:rPr>
        <w:t xml:space="preserve">Section F also reports on </w:t>
      </w:r>
      <w:r w:rsidRPr="006E41BF">
        <w:rPr>
          <w:sz w:val="20"/>
          <w:u w:val="single"/>
        </w:rPr>
        <w:t>poverty depth</w:t>
      </w:r>
      <w:r w:rsidRPr="006E41BF">
        <w:rPr>
          <w:sz w:val="20"/>
        </w:rPr>
        <w:t xml:space="preserve">, using </w:t>
      </w:r>
      <w:r>
        <w:rPr>
          <w:sz w:val="20"/>
        </w:rPr>
        <w:t>three</w:t>
      </w:r>
      <w:r w:rsidRPr="006E41BF">
        <w:rPr>
          <w:sz w:val="20"/>
        </w:rPr>
        <w:t xml:space="preserve"> indicators:</w:t>
      </w:r>
    </w:p>
    <w:p w:rsidR="00E46063" w:rsidRPr="006E41BF" w:rsidRDefault="00E46063" w:rsidP="00614C04">
      <w:pPr>
        <w:numPr>
          <w:ilvl w:val="0"/>
          <w:numId w:val="54"/>
        </w:numPr>
        <w:tabs>
          <w:tab w:val="clear" w:pos="1440"/>
          <w:tab w:val="num" w:pos="540"/>
        </w:tabs>
        <w:spacing w:before="120"/>
        <w:ind w:left="548" w:hanging="274"/>
        <w:rPr>
          <w:sz w:val="20"/>
        </w:rPr>
      </w:pPr>
      <w:r w:rsidRPr="006E41BF">
        <w:rPr>
          <w:sz w:val="20"/>
        </w:rPr>
        <w:t>the ratio of the number below a 50% of median line to the number below a 60% line</w:t>
      </w:r>
    </w:p>
    <w:p w:rsidR="00E46063" w:rsidRPr="006E41BF" w:rsidRDefault="00E46063" w:rsidP="00614C04">
      <w:pPr>
        <w:numPr>
          <w:ilvl w:val="0"/>
          <w:numId w:val="54"/>
        </w:numPr>
        <w:tabs>
          <w:tab w:val="clear" w:pos="1440"/>
          <w:tab w:val="num" w:pos="540"/>
        </w:tabs>
        <w:spacing w:before="120"/>
        <w:ind w:left="548" w:hanging="274"/>
        <w:rPr>
          <w:sz w:val="20"/>
        </w:rPr>
      </w:pPr>
      <w:r w:rsidRPr="006E41BF">
        <w:rPr>
          <w:sz w:val="20"/>
        </w:rPr>
        <w:t>median poverty gap ratios</w:t>
      </w:r>
      <w:r>
        <w:rPr>
          <w:sz w:val="20"/>
        </w:rPr>
        <w:t xml:space="preserve"> (= median poverty depth)</w:t>
      </w:r>
    </w:p>
    <w:p w:rsidR="00E46063" w:rsidRDefault="00E46063" w:rsidP="00614C04">
      <w:pPr>
        <w:numPr>
          <w:ilvl w:val="0"/>
          <w:numId w:val="54"/>
        </w:numPr>
        <w:tabs>
          <w:tab w:val="clear" w:pos="1440"/>
          <w:tab w:val="num" w:pos="540"/>
        </w:tabs>
        <w:spacing w:before="120"/>
        <w:ind w:left="548" w:hanging="274"/>
      </w:pPr>
      <w:r w:rsidRPr="006E41BF">
        <w:rPr>
          <w:sz w:val="20"/>
        </w:rPr>
        <w:t xml:space="preserve">total poverty gap. </w:t>
      </w:r>
    </w:p>
    <w:p w:rsidR="00E46063" w:rsidRPr="0083069D" w:rsidRDefault="00E46063" w:rsidP="00E46063">
      <w:pPr>
        <w:rPr>
          <w:b/>
          <w:color w:val="000000"/>
          <w:szCs w:val="22"/>
        </w:rPr>
      </w:pPr>
      <w:r>
        <w:br w:type="page"/>
      </w:r>
      <w:r w:rsidRPr="0083069D">
        <w:rPr>
          <w:b/>
          <w:color w:val="000000"/>
          <w:szCs w:val="22"/>
        </w:rPr>
        <w:lastRenderedPageBreak/>
        <w:t xml:space="preserve">Impact of </w:t>
      </w:r>
      <w:r>
        <w:rPr>
          <w:b/>
          <w:color w:val="000000"/>
          <w:szCs w:val="22"/>
        </w:rPr>
        <w:t>changing</w:t>
      </w:r>
      <w:r w:rsidRPr="0083069D">
        <w:rPr>
          <w:b/>
          <w:color w:val="000000"/>
          <w:szCs w:val="22"/>
        </w:rPr>
        <w:t xml:space="preserve"> incomes and housing costs on the different poverty measures</w:t>
      </w:r>
    </w:p>
    <w:p w:rsidR="00E46063" w:rsidRPr="002D472C" w:rsidRDefault="00E46063" w:rsidP="00E46063">
      <w:pPr>
        <w:ind w:left="360"/>
        <w:rPr>
          <w:color w:val="000000"/>
          <w:sz w:val="20"/>
        </w:rPr>
      </w:pPr>
    </w:p>
    <w:p w:rsidR="00E46063" w:rsidRDefault="00E46063" w:rsidP="00E46063">
      <w:pPr>
        <w:spacing w:after="60"/>
        <w:jc w:val="both"/>
        <w:rPr>
          <w:color w:val="000000"/>
          <w:sz w:val="20"/>
          <w:szCs w:val="22"/>
        </w:rPr>
      </w:pPr>
      <w:r w:rsidRPr="00072281">
        <w:rPr>
          <w:b/>
          <w:color w:val="000000"/>
          <w:sz w:val="20"/>
          <w:szCs w:val="22"/>
        </w:rPr>
        <w:t>Table F.</w:t>
      </w:r>
      <w:r>
        <w:rPr>
          <w:b/>
          <w:color w:val="000000"/>
          <w:sz w:val="20"/>
          <w:szCs w:val="22"/>
        </w:rPr>
        <w:t>2</w:t>
      </w:r>
      <w:r>
        <w:rPr>
          <w:color w:val="000000"/>
          <w:sz w:val="20"/>
          <w:szCs w:val="22"/>
        </w:rPr>
        <w:t xml:space="preserve"> indicates how c</w:t>
      </w:r>
      <w:r w:rsidRPr="002D472C">
        <w:rPr>
          <w:color w:val="000000"/>
          <w:sz w:val="20"/>
          <w:szCs w:val="22"/>
        </w:rPr>
        <w:t>hanges in poverty rates reflect the net impact of changes in</w:t>
      </w:r>
      <w:r>
        <w:rPr>
          <w:color w:val="000000"/>
          <w:sz w:val="20"/>
          <w:szCs w:val="22"/>
        </w:rPr>
        <w:t>:</w:t>
      </w:r>
      <w:r w:rsidRPr="002D472C">
        <w:rPr>
          <w:color w:val="000000"/>
          <w:sz w:val="20"/>
          <w:szCs w:val="22"/>
        </w:rPr>
        <w:t xml:space="preserve"> </w:t>
      </w:r>
    </w:p>
    <w:p w:rsidR="00E46063" w:rsidRDefault="00E46063" w:rsidP="00E46063">
      <w:pPr>
        <w:numPr>
          <w:ilvl w:val="0"/>
          <w:numId w:val="59"/>
        </w:numPr>
        <w:spacing w:after="60"/>
        <w:jc w:val="both"/>
        <w:rPr>
          <w:color w:val="000000"/>
          <w:sz w:val="20"/>
          <w:szCs w:val="22"/>
        </w:rPr>
      </w:pPr>
      <w:smartTag w:uri="urn:schemas-microsoft-com:office:smarttags" w:element="stockticker">
        <w:r w:rsidRPr="002D472C">
          <w:rPr>
            <w:color w:val="000000"/>
            <w:sz w:val="20"/>
            <w:szCs w:val="22"/>
          </w:rPr>
          <w:t>BHC</w:t>
        </w:r>
      </w:smartTag>
      <w:r>
        <w:rPr>
          <w:color w:val="000000"/>
          <w:sz w:val="20"/>
          <w:szCs w:val="22"/>
        </w:rPr>
        <w:t xml:space="preserve"> incomes at the median</w:t>
      </w:r>
      <w:r w:rsidRPr="002D472C">
        <w:rPr>
          <w:color w:val="000000"/>
          <w:sz w:val="20"/>
          <w:szCs w:val="22"/>
        </w:rPr>
        <w:t xml:space="preserve"> </w:t>
      </w:r>
    </w:p>
    <w:p w:rsidR="00E46063" w:rsidRDefault="00E46063" w:rsidP="00E46063">
      <w:pPr>
        <w:numPr>
          <w:ilvl w:val="0"/>
          <w:numId w:val="59"/>
        </w:numPr>
        <w:spacing w:after="60"/>
        <w:jc w:val="both"/>
        <w:rPr>
          <w:color w:val="000000"/>
          <w:sz w:val="20"/>
          <w:szCs w:val="22"/>
        </w:rPr>
      </w:pPr>
      <w:smartTag w:uri="urn:schemas-microsoft-com:office:smarttags" w:element="stockticker">
        <w:r w:rsidRPr="002D472C">
          <w:rPr>
            <w:color w:val="000000"/>
            <w:sz w:val="20"/>
            <w:szCs w:val="22"/>
          </w:rPr>
          <w:t>BHC</w:t>
        </w:r>
      </w:smartTag>
      <w:r w:rsidRPr="002D472C">
        <w:rPr>
          <w:color w:val="000000"/>
          <w:sz w:val="20"/>
          <w:szCs w:val="22"/>
        </w:rPr>
        <w:t xml:space="preserve"> incomes for low-income households </w:t>
      </w:r>
    </w:p>
    <w:p w:rsidR="00E46063" w:rsidRPr="002D472C" w:rsidRDefault="00E46063" w:rsidP="00E46063">
      <w:pPr>
        <w:numPr>
          <w:ilvl w:val="0"/>
          <w:numId w:val="59"/>
        </w:numPr>
        <w:jc w:val="both"/>
        <w:rPr>
          <w:color w:val="000000"/>
          <w:sz w:val="20"/>
        </w:rPr>
      </w:pPr>
      <w:r w:rsidRPr="002D472C">
        <w:rPr>
          <w:color w:val="000000"/>
          <w:sz w:val="20"/>
          <w:szCs w:val="22"/>
        </w:rPr>
        <w:t>housing costs for low-income households.</w:t>
      </w:r>
      <w:r>
        <w:rPr>
          <w:color w:val="000000"/>
          <w:sz w:val="20"/>
        </w:rPr>
        <w:t xml:space="preserve">  </w:t>
      </w:r>
    </w:p>
    <w:p w:rsidR="00E46063" w:rsidRDefault="00E46063" w:rsidP="00E46063">
      <w:pPr>
        <w:jc w:val="both"/>
        <w:rPr>
          <w:color w:val="000000"/>
          <w:sz w:val="20"/>
          <w:szCs w:val="22"/>
        </w:rPr>
      </w:pPr>
    </w:p>
    <w:p w:rsidR="00E46063" w:rsidRDefault="00E46063" w:rsidP="00E46063">
      <w:pPr>
        <w:jc w:val="both"/>
        <w:rPr>
          <w:sz w:val="20"/>
        </w:rPr>
      </w:pPr>
      <w:r>
        <w:rPr>
          <w:sz w:val="20"/>
        </w:rPr>
        <w:t xml:space="preserve">For example, the top row in Table F.2 indicates that when the median rises, then both </w:t>
      </w:r>
      <w:smartTag w:uri="urn:schemas-microsoft-com:office:smarttags" w:element="stockticker">
        <w:r>
          <w:rPr>
            <w:sz w:val="20"/>
          </w:rPr>
          <w:t>BHC</w:t>
        </w:r>
      </w:smartTag>
      <w:r>
        <w:rPr>
          <w:sz w:val="20"/>
        </w:rPr>
        <w:t xml:space="preserve"> and </w:t>
      </w:r>
      <w:smartTag w:uri="urn:schemas-microsoft-com:office:smarttags" w:element="stockticker">
        <w:r>
          <w:rPr>
            <w:sz w:val="20"/>
          </w:rPr>
          <w:t>AHC</w:t>
        </w:r>
      </w:smartTag>
      <w:r>
        <w:rPr>
          <w:sz w:val="20"/>
        </w:rPr>
        <w:t xml:space="preserve"> ‘moving line’ poverty rates will rise, provided everything else remains the same.  A rising median has no impact on poverty rates measured using a ‘fixed line’ approach. </w:t>
      </w:r>
    </w:p>
    <w:p w:rsidR="00E46063" w:rsidRDefault="00E46063" w:rsidP="00E46063">
      <w:pPr>
        <w:jc w:val="center"/>
        <w:rPr>
          <w:b/>
          <w:sz w:val="18"/>
          <w:szCs w:val="18"/>
        </w:rPr>
      </w:pPr>
    </w:p>
    <w:p w:rsidR="00E46063" w:rsidRPr="00B92212" w:rsidRDefault="00E46063" w:rsidP="00E46063">
      <w:pPr>
        <w:jc w:val="center"/>
        <w:rPr>
          <w:b/>
          <w:sz w:val="18"/>
          <w:szCs w:val="18"/>
        </w:rPr>
      </w:pPr>
      <w:r w:rsidRPr="00B92212">
        <w:rPr>
          <w:b/>
          <w:sz w:val="18"/>
          <w:szCs w:val="18"/>
        </w:rPr>
        <w:t xml:space="preserve">Table </w:t>
      </w:r>
      <w:r>
        <w:rPr>
          <w:b/>
          <w:sz w:val="18"/>
          <w:szCs w:val="18"/>
        </w:rPr>
        <w:t>F.2</w:t>
      </w:r>
    </w:p>
    <w:p w:rsidR="00E46063" w:rsidRPr="00B92212" w:rsidRDefault="00E46063" w:rsidP="00E46063">
      <w:pPr>
        <w:spacing w:after="120"/>
        <w:jc w:val="center"/>
        <w:rPr>
          <w:b/>
          <w:sz w:val="18"/>
          <w:szCs w:val="18"/>
        </w:rPr>
      </w:pPr>
      <w:r w:rsidRPr="00B92212">
        <w:rPr>
          <w:b/>
          <w:sz w:val="18"/>
          <w:szCs w:val="18"/>
        </w:rPr>
        <w:t xml:space="preserve">Impact of </w:t>
      </w:r>
      <w:r>
        <w:rPr>
          <w:b/>
          <w:sz w:val="18"/>
          <w:szCs w:val="18"/>
        </w:rPr>
        <w:t>selected</w:t>
      </w:r>
      <w:r w:rsidRPr="00B92212">
        <w:rPr>
          <w:b/>
          <w:sz w:val="18"/>
          <w:szCs w:val="18"/>
        </w:rPr>
        <w:t xml:space="preserve"> factors on different poverty measures, 2001 to 20</w:t>
      </w:r>
      <w:r>
        <w:rPr>
          <w:b/>
          <w:sz w:val="18"/>
          <w:szCs w:val="18"/>
        </w:rPr>
        <w:t>10</w:t>
      </w:r>
    </w:p>
    <w:tbl>
      <w:tblPr>
        <w:tblStyle w:val="TableGrid"/>
        <w:tblW w:w="0" w:type="auto"/>
        <w:tblInd w:w="468" w:type="dxa"/>
        <w:tblLook w:val="01E0"/>
      </w:tblPr>
      <w:tblGrid>
        <w:gridCol w:w="3510"/>
        <w:gridCol w:w="1080"/>
        <w:gridCol w:w="1170"/>
        <w:gridCol w:w="1170"/>
        <w:gridCol w:w="1170"/>
      </w:tblGrid>
      <w:tr w:rsidR="00E46063">
        <w:trPr>
          <w:trHeight w:val="305"/>
        </w:trPr>
        <w:tc>
          <w:tcPr>
            <w:tcW w:w="3510" w:type="dxa"/>
            <w:vAlign w:val="center"/>
          </w:tcPr>
          <w:p w:rsidR="00E46063" w:rsidRPr="00072281" w:rsidRDefault="00E46063" w:rsidP="00614C04">
            <w:pPr>
              <w:spacing w:before="40" w:after="40"/>
              <w:jc w:val="center"/>
              <w:rPr>
                <w:b/>
                <w:sz w:val="16"/>
                <w:szCs w:val="16"/>
              </w:rPr>
            </w:pPr>
            <w:r w:rsidRPr="00072281">
              <w:rPr>
                <w:b/>
                <w:noProof/>
                <w:sz w:val="16"/>
                <w:szCs w:val="16"/>
                <w:lang w:val="en-US"/>
              </w:rPr>
              <w:pict>
                <v:line id="_x0000_s1215" style="position:absolute;left:0;text-align:left;z-index:251663872" from="48.9pt,13.85pt" to="48.9pt,47.6pt">
                  <v:stroke dashstyle="dash" endarrow="block"/>
                </v:line>
              </w:pict>
            </w:r>
            <w:r w:rsidRPr="00072281">
              <w:rPr>
                <w:b/>
                <w:sz w:val="16"/>
                <w:szCs w:val="16"/>
              </w:rPr>
              <w:t>when these increase ….</w:t>
            </w:r>
          </w:p>
        </w:tc>
        <w:tc>
          <w:tcPr>
            <w:tcW w:w="4590" w:type="dxa"/>
            <w:gridSpan w:val="4"/>
            <w:vAlign w:val="center"/>
          </w:tcPr>
          <w:p w:rsidR="00E46063" w:rsidRPr="00072281" w:rsidRDefault="00E46063" w:rsidP="00614C04">
            <w:pPr>
              <w:spacing w:before="40" w:after="40"/>
              <w:jc w:val="center"/>
              <w:rPr>
                <w:b/>
                <w:sz w:val="16"/>
                <w:szCs w:val="16"/>
              </w:rPr>
            </w:pPr>
            <w:r w:rsidRPr="00072281">
              <w:rPr>
                <w:b/>
                <w:sz w:val="16"/>
                <w:szCs w:val="16"/>
              </w:rPr>
              <w:t>…. the impact on the measured poverty rate is …</w:t>
            </w:r>
          </w:p>
        </w:tc>
      </w:tr>
      <w:tr w:rsidR="00E46063">
        <w:tc>
          <w:tcPr>
            <w:tcW w:w="3510" w:type="dxa"/>
            <w:vAlign w:val="center"/>
          </w:tcPr>
          <w:p w:rsidR="00E46063" w:rsidRPr="001A4094" w:rsidRDefault="00E46063" w:rsidP="00614C04">
            <w:pPr>
              <w:spacing w:before="40" w:after="40"/>
              <w:jc w:val="both"/>
              <w:rPr>
                <w:sz w:val="16"/>
                <w:szCs w:val="16"/>
              </w:rPr>
            </w:pPr>
          </w:p>
        </w:tc>
        <w:tc>
          <w:tcPr>
            <w:tcW w:w="2250" w:type="dxa"/>
            <w:gridSpan w:val="2"/>
            <w:vAlign w:val="center"/>
          </w:tcPr>
          <w:p w:rsidR="00E46063" w:rsidRPr="001A4094" w:rsidRDefault="00E46063" w:rsidP="00614C04">
            <w:pPr>
              <w:spacing w:before="40" w:after="40"/>
              <w:jc w:val="center"/>
              <w:rPr>
                <w:sz w:val="16"/>
                <w:szCs w:val="16"/>
              </w:rPr>
            </w:pPr>
            <w:smartTag w:uri="urn:schemas-microsoft-com:office:smarttags" w:element="stockticker">
              <w:r w:rsidRPr="001A4094">
                <w:rPr>
                  <w:sz w:val="16"/>
                  <w:szCs w:val="16"/>
                </w:rPr>
                <w:t>BHC</w:t>
              </w:r>
            </w:smartTag>
          </w:p>
        </w:tc>
        <w:tc>
          <w:tcPr>
            <w:tcW w:w="2340" w:type="dxa"/>
            <w:gridSpan w:val="2"/>
            <w:vAlign w:val="center"/>
          </w:tcPr>
          <w:p w:rsidR="00E46063" w:rsidRPr="001A4094" w:rsidRDefault="00E46063" w:rsidP="00614C04">
            <w:pPr>
              <w:spacing w:before="40" w:after="40"/>
              <w:jc w:val="center"/>
              <w:rPr>
                <w:sz w:val="16"/>
                <w:szCs w:val="16"/>
              </w:rPr>
            </w:pPr>
            <w:smartTag w:uri="urn:schemas-microsoft-com:office:smarttags" w:element="stockticker">
              <w:r w:rsidRPr="001A4094">
                <w:rPr>
                  <w:sz w:val="16"/>
                  <w:szCs w:val="16"/>
                </w:rPr>
                <w:t>AHC</w:t>
              </w:r>
            </w:smartTag>
          </w:p>
        </w:tc>
      </w:tr>
      <w:tr w:rsidR="00E46063">
        <w:tc>
          <w:tcPr>
            <w:tcW w:w="3510" w:type="dxa"/>
            <w:vAlign w:val="center"/>
          </w:tcPr>
          <w:p w:rsidR="00E46063" w:rsidRPr="001A4094" w:rsidRDefault="00E46063" w:rsidP="00614C04">
            <w:pPr>
              <w:spacing w:before="40" w:after="40"/>
              <w:jc w:val="both"/>
              <w:rPr>
                <w:sz w:val="16"/>
                <w:szCs w:val="16"/>
              </w:rPr>
            </w:pPr>
          </w:p>
        </w:tc>
        <w:tc>
          <w:tcPr>
            <w:tcW w:w="1080" w:type="dxa"/>
            <w:vAlign w:val="center"/>
          </w:tcPr>
          <w:p w:rsidR="00E46063" w:rsidRPr="001A4094" w:rsidRDefault="00E46063" w:rsidP="00614C04">
            <w:pPr>
              <w:spacing w:before="40" w:after="40"/>
              <w:jc w:val="center"/>
              <w:rPr>
                <w:sz w:val="16"/>
                <w:szCs w:val="16"/>
              </w:rPr>
            </w:pPr>
            <w:r>
              <w:rPr>
                <w:sz w:val="16"/>
                <w:szCs w:val="16"/>
              </w:rPr>
              <w:t>fixed line (CV2007)</w:t>
            </w:r>
          </w:p>
        </w:tc>
        <w:tc>
          <w:tcPr>
            <w:tcW w:w="1170" w:type="dxa"/>
            <w:vAlign w:val="center"/>
          </w:tcPr>
          <w:p w:rsidR="00E46063" w:rsidRPr="001A4094" w:rsidRDefault="00E46063" w:rsidP="00614C04">
            <w:pPr>
              <w:spacing w:before="40" w:after="40"/>
              <w:jc w:val="center"/>
              <w:rPr>
                <w:sz w:val="16"/>
                <w:szCs w:val="16"/>
              </w:rPr>
            </w:pPr>
            <w:r>
              <w:rPr>
                <w:sz w:val="16"/>
                <w:szCs w:val="16"/>
              </w:rPr>
              <w:t>moving line (</w:t>
            </w:r>
            <w:smartTag w:uri="urn:schemas-microsoft-com:office:smarttags" w:element="stockticker">
              <w:r>
                <w:rPr>
                  <w:sz w:val="16"/>
                  <w:szCs w:val="16"/>
                </w:rPr>
                <w:t>REL</w:t>
              </w:r>
            </w:smartTag>
            <w:r>
              <w:rPr>
                <w:sz w:val="16"/>
                <w:szCs w:val="16"/>
              </w:rPr>
              <w:t>)</w:t>
            </w:r>
          </w:p>
        </w:tc>
        <w:tc>
          <w:tcPr>
            <w:tcW w:w="1170" w:type="dxa"/>
            <w:vAlign w:val="center"/>
          </w:tcPr>
          <w:p w:rsidR="00E46063" w:rsidRPr="001A4094" w:rsidRDefault="00E46063" w:rsidP="00614C04">
            <w:pPr>
              <w:spacing w:before="40" w:after="40"/>
              <w:jc w:val="center"/>
              <w:rPr>
                <w:sz w:val="16"/>
                <w:szCs w:val="16"/>
              </w:rPr>
            </w:pPr>
            <w:r>
              <w:rPr>
                <w:sz w:val="16"/>
                <w:szCs w:val="16"/>
              </w:rPr>
              <w:t>fixed line (CV2007)</w:t>
            </w:r>
          </w:p>
        </w:tc>
        <w:tc>
          <w:tcPr>
            <w:tcW w:w="1170" w:type="dxa"/>
            <w:vAlign w:val="center"/>
          </w:tcPr>
          <w:p w:rsidR="00E46063" w:rsidRPr="001A4094" w:rsidRDefault="00E46063" w:rsidP="00614C04">
            <w:pPr>
              <w:spacing w:before="40" w:after="40"/>
              <w:jc w:val="center"/>
              <w:rPr>
                <w:sz w:val="16"/>
                <w:szCs w:val="16"/>
              </w:rPr>
            </w:pPr>
            <w:r>
              <w:rPr>
                <w:sz w:val="16"/>
                <w:szCs w:val="16"/>
              </w:rPr>
              <w:t>moving line (</w:t>
            </w:r>
            <w:smartTag w:uri="urn:schemas-microsoft-com:office:smarttags" w:element="stockticker">
              <w:r>
                <w:rPr>
                  <w:sz w:val="16"/>
                  <w:szCs w:val="16"/>
                </w:rPr>
                <w:t>REL</w:t>
              </w:r>
            </w:smartTag>
            <w:r>
              <w:rPr>
                <w:sz w:val="16"/>
                <w:szCs w:val="16"/>
              </w:rPr>
              <w:t>)</w:t>
            </w:r>
          </w:p>
        </w:tc>
      </w:tr>
      <w:tr w:rsidR="00E46063">
        <w:tc>
          <w:tcPr>
            <w:tcW w:w="3510" w:type="dxa"/>
            <w:vAlign w:val="center"/>
          </w:tcPr>
          <w:p w:rsidR="00E46063" w:rsidRPr="001A4094" w:rsidRDefault="00E46063" w:rsidP="00614C04">
            <w:pPr>
              <w:tabs>
                <w:tab w:val="right" w:pos="3294"/>
              </w:tabs>
              <w:spacing w:before="60" w:after="60"/>
              <w:jc w:val="both"/>
              <w:rPr>
                <w:sz w:val="16"/>
                <w:szCs w:val="16"/>
              </w:rPr>
            </w:pPr>
            <w:smartTag w:uri="urn:schemas-microsoft-com:office:smarttags" w:element="stockticker">
              <w:r>
                <w:rPr>
                  <w:sz w:val="16"/>
                  <w:szCs w:val="16"/>
                </w:rPr>
                <w:t>BHC</w:t>
              </w:r>
            </w:smartTag>
            <w:r>
              <w:rPr>
                <w:sz w:val="16"/>
                <w:szCs w:val="16"/>
              </w:rPr>
              <w:t xml:space="preserve"> </w:t>
            </w:r>
            <w:r w:rsidRPr="001A4094">
              <w:rPr>
                <w:sz w:val="16"/>
                <w:szCs w:val="16"/>
              </w:rPr>
              <w:t>median</w:t>
            </w:r>
            <w:r>
              <w:rPr>
                <w:sz w:val="16"/>
                <w:szCs w:val="16"/>
              </w:rPr>
              <w:t xml:space="preserve"> / incomes around the median  </w:t>
            </w:r>
            <w:r>
              <w:rPr>
                <w:sz w:val="16"/>
                <w:szCs w:val="16"/>
              </w:rPr>
              <w:tab/>
            </w:r>
            <w:r w:rsidRPr="003875A6">
              <w:rPr>
                <w:b/>
                <w:sz w:val="16"/>
                <w:szCs w:val="16"/>
              </w:rPr>
              <w:sym w:font="Wingdings" w:char="F0E1"/>
            </w:r>
          </w:p>
        </w:tc>
        <w:tc>
          <w:tcPr>
            <w:tcW w:w="1080" w:type="dxa"/>
            <w:vAlign w:val="center"/>
          </w:tcPr>
          <w:p w:rsidR="00E46063" w:rsidRPr="001A4094" w:rsidRDefault="00E46063" w:rsidP="00614C04">
            <w:pPr>
              <w:spacing w:before="60" w:after="60"/>
              <w:jc w:val="center"/>
              <w:rPr>
                <w:sz w:val="16"/>
                <w:szCs w:val="16"/>
              </w:rPr>
            </w:pPr>
            <w:r w:rsidRPr="003875A6">
              <w:rPr>
                <w:sz w:val="14"/>
                <w:szCs w:val="16"/>
              </w:rPr>
              <w:t>no impact</w:t>
            </w:r>
          </w:p>
        </w:tc>
        <w:tc>
          <w:tcPr>
            <w:tcW w:w="1170" w:type="dxa"/>
            <w:vAlign w:val="center"/>
          </w:tcPr>
          <w:p w:rsidR="00E46063" w:rsidRPr="003875A6" w:rsidRDefault="00E46063" w:rsidP="00614C04">
            <w:pPr>
              <w:spacing w:before="60" w:after="60"/>
              <w:jc w:val="center"/>
              <w:rPr>
                <w:b/>
                <w:sz w:val="16"/>
                <w:szCs w:val="16"/>
              </w:rPr>
            </w:pPr>
            <w:r w:rsidRPr="003875A6">
              <w:rPr>
                <w:b/>
                <w:sz w:val="16"/>
                <w:szCs w:val="16"/>
              </w:rPr>
              <w:sym w:font="Wingdings" w:char="F0E1"/>
            </w:r>
          </w:p>
        </w:tc>
        <w:tc>
          <w:tcPr>
            <w:tcW w:w="1170" w:type="dxa"/>
            <w:vAlign w:val="center"/>
          </w:tcPr>
          <w:p w:rsidR="00E46063" w:rsidRPr="001A4094" w:rsidRDefault="00E46063" w:rsidP="00614C04">
            <w:pPr>
              <w:spacing w:before="60" w:after="60"/>
              <w:jc w:val="center"/>
              <w:rPr>
                <w:sz w:val="16"/>
                <w:szCs w:val="16"/>
              </w:rPr>
            </w:pPr>
            <w:r w:rsidRPr="003875A6">
              <w:rPr>
                <w:sz w:val="14"/>
                <w:szCs w:val="16"/>
              </w:rPr>
              <w:t>no impact</w:t>
            </w:r>
          </w:p>
        </w:tc>
        <w:tc>
          <w:tcPr>
            <w:tcW w:w="1170" w:type="dxa"/>
            <w:vAlign w:val="center"/>
          </w:tcPr>
          <w:p w:rsidR="00E46063" w:rsidRPr="003875A6" w:rsidRDefault="00E46063" w:rsidP="00614C04">
            <w:pPr>
              <w:spacing w:before="60" w:after="60"/>
              <w:jc w:val="center"/>
              <w:rPr>
                <w:b/>
                <w:sz w:val="16"/>
                <w:szCs w:val="16"/>
              </w:rPr>
            </w:pPr>
            <w:r w:rsidRPr="003875A6">
              <w:rPr>
                <w:b/>
                <w:sz w:val="16"/>
                <w:szCs w:val="16"/>
              </w:rPr>
              <w:sym w:font="Wingdings" w:char="F0E1"/>
            </w:r>
          </w:p>
        </w:tc>
      </w:tr>
      <w:tr w:rsidR="00E46063">
        <w:tc>
          <w:tcPr>
            <w:tcW w:w="3510" w:type="dxa"/>
            <w:vAlign w:val="center"/>
          </w:tcPr>
          <w:p w:rsidR="00E46063" w:rsidRPr="001A4094" w:rsidRDefault="00E46063" w:rsidP="00614C04">
            <w:pPr>
              <w:tabs>
                <w:tab w:val="right" w:pos="3294"/>
              </w:tabs>
              <w:spacing w:before="60" w:after="60"/>
              <w:jc w:val="both"/>
              <w:rPr>
                <w:sz w:val="16"/>
                <w:szCs w:val="16"/>
              </w:rPr>
            </w:pPr>
            <w:smartTag w:uri="urn:schemas-microsoft-com:office:smarttags" w:element="stockticker">
              <w:r w:rsidRPr="001A4094">
                <w:rPr>
                  <w:sz w:val="16"/>
                  <w:szCs w:val="16"/>
                </w:rPr>
                <w:t>BHC</w:t>
              </w:r>
            </w:smartTag>
            <w:r w:rsidRPr="001A4094">
              <w:rPr>
                <w:sz w:val="16"/>
                <w:szCs w:val="16"/>
              </w:rPr>
              <w:t xml:space="preserve"> incomes in the bottom quintile (20%)</w:t>
            </w:r>
            <w:r>
              <w:rPr>
                <w:sz w:val="16"/>
                <w:szCs w:val="16"/>
              </w:rPr>
              <w:t xml:space="preserve">  </w:t>
            </w:r>
            <w:r>
              <w:rPr>
                <w:sz w:val="16"/>
                <w:szCs w:val="16"/>
              </w:rPr>
              <w:tab/>
            </w:r>
            <w:r w:rsidRPr="003875A6">
              <w:rPr>
                <w:b/>
                <w:sz w:val="16"/>
                <w:szCs w:val="16"/>
              </w:rPr>
              <w:sym w:font="Wingdings" w:char="F0E1"/>
            </w:r>
          </w:p>
        </w:tc>
        <w:tc>
          <w:tcPr>
            <w:tcW w:w="1080" w:type="dxa"/>
            <w:vAlign w:val="center"/>
          </w:tcPr>
          <w:p w:rsidR="00E46063" w:rsidRPr="003875A6" w:rsidRDefault="00E46063" w:rsidP="00614C04">
            <w:pPr>
              <w:spacing w:before="60" w:after="60"/>
              <w:jc w:val="center"/>
              <w:rPr>
                <w:sz w:val="16"/>
                <w:szCs w:val="16"/>
              </w:rPr>
            </w:pPr>
            <w:r w:rsidRPr="003875A6">
              <w:rPr>
                <w:sz w:val="16"/>
                <w:szCs w:val="16"/>
              </w:rPr>
              <w:sym w:font="Wingdings 3" w:char="F0DC"/>
            </w:r>
          </w:p>
        </w:tc>
        <w:tc>
          <w:tcPr>
            <w:tcW w:w="1170" w:type="dxa"/>
            <w:vAlign w:val="center"/>
          </w:tcPr>
          <w:p w:rsidR="00E46063" w:rsidRPr="003875A6" w:rsidRDefault="00E46063" w:rsidP="00614C04">
            <w:pPr>
              <w:spacing w:before="60" w:after="60"/>
              <w:jc w:val="center"/>
              <w:rPr>
                <w:sz w:val="16"/>
                <w:szCs w:val="16"/>
              </w:rPr>
            </w:pPr>
            <w:r w:rsidRPr="003875A6">
              <w:rPr>
                <w:sz w:val="16"/>
                <w:szCs w:val="16"/>
              </w:rPr>
              <w:sym w:font="Wingdings 3" w:char="F0DC"/>
            </w:r>
          </w:p>
        </w:tc>
        <w:tc>
          <w:tcPr>
            <w:tcW w:w="1170" w:type="dxa"/>
            <w:vAlign w:val="center"/>
          </w:tcPr>
          <w:p w:rsidR="00E46063" w:rsidRPr="003875A6" w:rsidRDefault="00E46063" w:rsidP="00614C04">
            <w:pPr>
              <w:spacing w:before="60" w:after="60"/>
              <w:jc w:val="center"/>
              <w:rPr>
                <w:sz w:val="16"/>
                <w:szCs w:val="16"/>
              </w:rPr>
            </w:pPr>
            <w:r w:rsidRPr="003875A6">
              <w:rPr>
                <w:sz w:val="16"/>
                <w:szCs w:val="16"/>
              </w:rPr>
              <w:sym w:font="Wingdings 3" w:char="F0DC"/>
            </w:r>
          </w:p>
        </w:tc>
        <w:tc>
          <w:tcPr>
            <w:tcW w:w="1170" w:type="dxa"/>
            <w:vAlign w:val="center"/>
          </w:tcPr>
          <w:p w:rsidR="00E46063" w:rsidRPr="003875A6" w:rsidRDefault="00E46063" w:rsidP="00614C04">
            <w:pPr>
              <w:spacing w:before="60" w:after="60"/>
              <w:jc w:val="center"/>
              <w:rPr>
                <w:sz w:val="16"/>
                <w:szCs w:val="16"/>
              </w:rPr>
            </w:pPr>
            <w:r w:rsidRPr="003875A6">
              <w:rPr>
                <w:sz w:val="16"/>
                <w:szCs w:val="16"/>
              </w:rPr>
              <w:sym w:font="Wingdings 3" w:char="F0DC"/>
            </w:r>
          </w:p>
        </w:tc>
      </w:tr>
      <w:tr w:rsidR="00E46063">
        <w:tc>
          <w:tcPr>
            <w:tcW w:w="3510" w:type="dxa"/>
            <w:vAlign w:val="center"/>
          </w:tcPr>
          <w:p w:rsidR="00E46063" w:rsidRPr="001A4094" w:rsidRDefault="00E46063" w:rsidP="00614C04">
            <w:pPr>
              <w:tabs>
                <w:tab w:val="right" w:pos="3294"/>
              </w:tabs>
              <w:spacing w:before="60" w:after="60"/>
              <w:jc w:val="both"/>
              <w:rPr>
                <w:sz w:val="16"/>
                <w:szCs w:val="16"/>
              </w:rPr>
            </w:pPr>
            <w:r w:rsidRPr="001A4094">
              <w:rPr>
                <w:sz w:val="16"/>
                <w:szCs w:val="16"/>
              </w:rPr>
              <w:t>Housing costs</w:t>
            </w:r>
            <w:r>
              <w:rPr>
                <w:sz w:val="16"/>
                <w:szCs w:val="16"/>
              </w:rPr>
              <w:t xml:space="preserve"> (for low-income HHs)    </w:t>
            </w:r>
            <w:r>
              <w:rPr>
                <w:sz w:val="16"/>
                <w:szCs w:val="16"/>
              </w:rPr>
              <w:tab/>
            </w:r>
            <w:r w:rsidRPr="003875A6">
              <w:rPr>
                <w:b/>
                <w:sz w:val="16"/>
                <w:szCs w:val="16"/>
              </w:rPr>
              <w:sym w:font="Wingdings" w:char="F0E1"/>
            </w:r>
          </w:p>
        </w:tc>
        <w:tc>
          <w:tcPr>
            <w:tcW w:w="1080" w:type="dxa"/>
            <w:vAlign w:val="center"/>
          </w:tcPr>
          <w:p w:rsidR="00E46063" w:rsidRPr="003875A6" w:rsidRDefault="00E46063" w:rsidP="00614C04">
            <w:pPr>
              <w:spacing w:before="60" w:after="60"/>
              <w:jc w:val="center"/>
              <w:rPr>
                <w:sz w:val="14"/>
                <w:szCs w:val="16"/>
              </w:rPr>
            </w:pPr>
            <w:r w:rsidRPr="003875A6">
              <w:rPr>
                <w:sz w:val="14"/>
                <w:szCs w:val="16"/>
              </w:rPr>
              <w:t>no impact</w:t>
            </w:r>
          </w:p>
        </w:tc>
        <w:tc>
          <w:tcPr>
            <w:tcW w:w="1170" w:type="dxa"/>
            <w:vAlign w:val="center"/>
          </w:tcPr>
          <w:p w:rsidR="00E46063" w:rsidRPr="003875A6" w:rsidRDefault="00E46063" w:rsidP="00614C04">
            <w:pPr>
              <w:spacing w:before="60" w:after="60"/>
              <w:jc w:val="center"/>
              <w:rPr>
                <w:sz w:val="14"/>
                <w:szCs w:val="16"/>
              </w:rPr>
            </w:pPr>
            <w:r w:rsidRPr="003875A6">
              <w:rPr>
                <w:sz w:val="14"/>
                <w:szCs w:val="16"/>
              </w:rPr>
              <w:t>no impact</w:t>
            </w:r>
          </w:p>
        </w:tc>
        <w:tc>
          <w:tcPr>
            <w:tcW w:w="1170" w:type="dxa"/>
            <w:vAlign w:val="center"/>
          </w:tcPr>
          <w:p w:rsidR="00E46063" w:rsidRPr="003875A6" w:rsidRDefault="00E46063" w:rsidP="00614C04">
            <w:pPr>
              <w:spacing w:before="60" w:after="60"/>
              <w:jc w:val="center"/>
              <w:rPr>
                <w:b/>
                <w:sz w:val="16"/>
                <w:szCs w:val="16"/>
              </w:rPr>
            </w:pPr>
            <w:r w:rsidRPr="003875A6">
              <w:rPr>
                <w:b/>
                <w:sz w:val="16"/>
                <w:szCs w:val="16"/>
              </w:rPr>
              <w:sym w:font="Wingdings" w:char="F0E1"/>
            </w:r>
          </w:p>
        </w:tc>
        <w:tc>
          <w:tcPr>
            <w:tcW w:w="1170" w:type="dxa"/>
            <w:vAlign w:val="center"/>
          </w:tcPr>
          <w:p w:rsidR="00E46063" w:rsidRPr="003875A6" w:rsidRDefault="00E46063" w:rsidP="00614C04">
            <w:pPr>
              <w:spacing w:before="60" w:after="60"/>
              <w:jc w:val="center"/>
              <w:rPr>
                <w:b/>
                <w:sz w:val="16"/>
                <w:szCs w:val="16"/>
              </w:rPr>
            </w:pPr>
            <w:r w:rsidRPr="003875A6">
              <w:rPr>
                <w:b/>
                <w:sz w:val="16"/>
                <w:szCs w:val="16"/>
              </w:rPr>
              <w:sym w:font="Wingdings" w:char="F0E1"/>
            </w:r>
          </w:p>
        </w:tc>
      </w:tr>
    </w:tbl>
    <w:p w:rsidR="00E46063" w:rsidRDefault="00E46063" w:rsidP="00E46063">
      <w:pPr>
        <w:pStyle w:val="Heading3"/>
        <w:rPr>
          <w:sz w:val="24"/>
          <w:szCs w:val="28"/>
        </w:rPr>
      </w:pPr>
    </w:p>
    <w:p w:rsidR="00E46063" w:rsidRDefault="00E46063" w:rsidP="00E46063">
      <w:pPr>
        <w:jc w:val="both"/>
        <w:rPr>
          <w:color w:val="000000"/>
          <w:sz w:val="20"/>
          <w:szCs w:val="22"/>
        </w:rPr>
      </w:pPr>
      <w:r>
        <w:rPr>
          <w:color w:val="000000"/>
          <w:sz w:val="20"/>
          <w:szCs w:val="22"/>
        </w:rPr>
        <w:t>From HES 2001 to HES 2009, median incomes rose strongly mainly because of rising employment overall and the increasing employment hours in two-parent families.   There was little change from HES 2009 to HES 2010 but a sizeable (3%) fall from HES 2010 to HES 2011.</w:t>
      </w:r>
    </w:p>
    <w:p w:rsidR="00E46063" w:rsidRDefault="00E46063" w:rsidP="00E46063">
      <w:pPr>
        <w:jc w:val="both"/>
        <w:rPr>
          <w:color w:val="000000"/>
          <w:sz w:val="20"/>
          <w:szCs w:val="22"/>
        </w:rPr>
      </w:pPr>
    </w:p>
    <w:p w:rsidR="00E46063" w:rsidRDefault="00E46063" w:rsidP="00E46063">
      <w:pPr>
        <w:jc w:val="both"/>
        <w:rPr>
          <w:color w:val="000000"/>
          <w:sz w:val="20"/>
          <w:szCs w:val="22"/>
        </w:rPr>
      </w:pPr>
      <w:r>
        <w:rPr>
          <w:color w:val="000000"/>
          <w:sz w:val="20"/>
          <w:szCs w:val="22"/>
        </w:rPr>
        <w:t xml:space="preserve">From 2004 to 2007 the Working for Families (WFF) package raised real incomes for households with children with incomes below the median.  </w:t>
      </w:r>
    </w:p>
    <w:p w:rsidR="00E46063" w:rsidRDefault="00E46063" w:rsidP="00E46063">
      <w:pPr>
        <w:jc w:val="both"/>
        <w:rPr>
          <w:color w:val="000000"/>
          <w:sz w:val="20"/>
          <w:szCs w:val="22"/>
        </w:rPr>
      </w:pPr>
    </w:p>
    <w:p w:rsidR="00E46063" w:rsidRPr="001A2852" w:rsidRDefault="00E46063" w:rsidP="00E46063">
      <w:pPr>
        <w:jc w:val="both"/>
        <w:rPr>
          <w:color w:val="000000"/>
          <w:sz w:val="20"/>
          <w:szCs w:val="22"/>
        </w:rPr>
      </w:pPr>
      <w:r>
        <w:rPr>
          <w:color w:val="000000"/>
          <w:sz w:val="20"/>
          <w:szCs w:val="22"/>
        </w:rPr>
        <w:t xml:space="preserve">Net housing costs were reduced for many in low-income households from 2001 by the income-related rents policy.  </w:t>
      </w:r>
      <w:r>
        <w:rPr>
          <w:sz w:val="20"/>
        </w:rPr>
        <w:t xml:space="preserve">For the bottom quintile housing costs in 2007 and 2011 were similar to what they were in 2004.   From 2004 to 2009, the cost of housing relative to income continued to rise for households with dependent children and for those in households in the second and third quintiles. </w:t>
      </w:r>
    </w:p>
    <w:p w:rsidR="00E46063" w:rsidRDefault="00E46063" w:rsidP="00E46063">
      <w:pPr>
        <w:jc w:val="both"/>
        <w:rPr>
          <w:color w:val="000000"/>
          <w:sz w:val="20"/>
          <w:szCs w:val="22"/>
        </w:rPr>
      </w:pPr>
    </w:p>
    <w:p w:rsidR="00E46063" w:rsidRDefault="00E46063" w:rsidP="00E46063">
      <w:pPr>
        <w:jc w:val="both"/>
        <w:rPr>
          <w:color w:val="000000"/>
          <w:sz w:val="20"/>
          <w:szCs w:val="22"/>
        </w:rPr>
      </w:pPr>
      <w:r>
        <w:rPr>
          <w:color w:val="000000"/>
          <w:sz w:val="20"/>
          <w:szCs w:val="22"/>
        </w:rPr>
        <w:t>These factors plus the associated impacts shown across each row in the table can be used to give an intuitive account of the different tracks for the different poverty measures.  (See Section C also.)</w:t>
      </w:r>
    </w:p>
    <w:p w:rsidR="00E46063" w:rsidRDefault="00E46063" w:rsidP="00E46063">
      <w:pPr>
        <w:jc w:val="both"/>
        <w:rPr>
          <w:b/>
          <w:color w:val="000000"/>
          <w:sz w:val="20"/>
          <w:szCs w:val="22"/>
        </w:rPr>
      </w:pPr>
    </w:p>
    <w:p w:rsidR="00E46063" w:rsidRPr="007102F4" w:rsidRDefault="00E46063" w:rsidP="00E46063">
      <w:pPr>
        <w:jc w:val="both"/>
        <w:rPr>
          <w:b/>
          <w:color w:val="000000"/>
          <w:sz w:val="20"/>
          <w:szCs w:val="22"/>
        </w:rPr>
      </w:pPr>
      <w:r w:rsidRPr="007102F4">
        <w:rPr>
          <w:b/>
          <w:color w:val="000000"/>
          <w:sz w:val="20"/>
          <w:szCs w:val="22"/>
        </w:rPr>
        <w:t>The moving line a</w:t>
      </w:r>
      <w:r>
        <w:rPr>
          <w:b/>
          <w:color w:val="000000"/>
          <w:sz w:val="20"/>
          <w:szCs w:val="22"/>
        </w:rPr>
        <w:t>nd the fixed line approaches reflect two quite different notions of poverty</w:t>
      </w:r>
      <w:r w:rsidRPr="007102F4">
        <w:rPr>
          <w:b/>
          <w:color w:val="000000"/>
          <w:sz w:val="20"/>
          <w:szCs w:val="22"/>
        </w:rPr>
        <w:t xml:space="preserve"> </w:t>
      </w:r>
    </w:p>
    <w:p w:rsidR="00E46063" w:rsidRDefault="00E46063" w:rsidP="00E46063">
      <w:pPr>
        <w:jc w:val="both"/>
        <w:rPr>
          <w:color w:val="000000"/>
          <w:sz w:val="20"/>
          <w:szCs w:val="22"/>
        </w:rPr>
      </w:pPr>
    </w:p>
    <w:p w:rsidR="00E46063" w:rsidRDefault="00E46063" w:rsidP="00E46063">
      <w:pPr>
        <w:jc w:val="both"/>
        <w:rPr>
          <w:color w:val="000000"/>
          <w:sz w:val="20"/>
          <w:szCs w:val="22"/>
        </w:rPr>
      </w:pPr>
      <w:r>
        <w:rPr>
          <w:color w:val="000000"/>
          <w:sz w:val="20"/>
          <w:szCs w:val="22"/>
        </w:rPr>
        <w:t>The moving and fixed line approaches to updating the poverty line are both relative approaches – they have that in common.   The difference between them is the choice of reference point that each uses to establish ‘relative disadvantage’, the essence of the meaning of poverty in a richer nation.</w:t>
      </w:r>
    </w:p>
    <w:p w:rsidR="00E46063" w:rsidRDefault="00E46063" w:rsidP="00614C04">
      <w:pPr>
        <w:numPr>
          <w:ilvl w:val="0"/>
          <w:numId w:val="67"/>
        </w:numPr>
        <w:tabs>
          <w:tab w:val="clear" w:pos="1080"/>
          <w:tab w:val="num" w:pos="720"/>
        </w:tabs>
        <w:spacing w:before="120"/>
        <w:ind w:left="720"/>
        <w:jc w:val="both"/>
        <w:rPr>
          <w:color w:val="000000"/>
          <w:sz w:val="20"/>
          <w:szCs w:val="22"/>
        </w:rPr>
      </w:pPr>
      <w:r>
        <w:rPr>
          <w:color w:val="000000"/>
          <w:sz w:val="20"/>
          <w:szCs w:val="22"/>
        </w:rPr>
        <w:t>The moving line approach sets a poverty line relative to the median, relative to the income of the middle household in the income distribution.  This income changes from survey to survey – the poverty line ‘moves’.</w:t>
      </w:r>
    </w:p>
    <w:p w:rsidR="00E46063" w:rsidRDefault="00E46063" w:rsidP="00614C04">
      <w:pPr>
        <w:numPr>
          <w:ilvl w:val="0"/>
          <w:numId w:val="67"/>
        </w:numPr>
        <w:tabs>
          <w:tab w:val="clear" w:pos="1080"/>
          <w:tab w:val="num" w:pos="720"/>
        </w:tabs>
        <w:spacing w:before="120"/>
        <w:ind w:left="720"/>
        <w:jc w:val="both"/>
        <w:rPr>
          <w:color w:val="000000"/>
          <w:sz w:val="20"/>
          <w:szCs w:val="22"/>
        </w:rPr>
      </w:pPr>
      <w:r>
        <w:rPr>
          <w:color w:val="000000"/>
          <w:sz w:val="20"/>
          <w:szCs w:val="22"/>
        </w:rPr>
        <w:t>The fixed line approach sets the poverty line relative to a fixed standard, set in the reference year relative to the median that year or to some other community standard.  The poverty line is then held at that level in real terms – it is a ‘fixed line’, and its value is not influenced by the changing median in other years.</w:t>
      </w:r>
    </w:p>
    <w:p w:rsidR="00E46063" w:rsidRDefault="00E46063" w:rsidP="00E46063">
      <w:pPr>
        <w:pStyle w:val="Heading3"/>
        <w:rPr>
          <w:b w:val="0"/>
          <w:sz w:val="20"/>
        </w:rPr>
      </w:pPr>
    </w:p>
    <w:p w:rsidR="00E46063" w:rsidRPr="00022001" w:rsidRDefault="00E46063" w:rsidP="00E46063">
      <w:pPr>
        <w:pStyle w:val="Heading3"/>
        <w:jc w:val="both"/>
        <w:rPr>
          <w:b w:val="0"/>
          <w:sz w:val="20"/>
        </w:rPr>
      </w:pPr>
      <w:r w:rsidRPr="00022001">
        <w:rPr>
          <w:b w:val="0"/>
          <w:sz w:val="20"/>
        </w:rPr>
        <w:t>Each approach has its strengths and limitations, as discussed in Section E</w:t>
      </w:r>
      <w:r>
        <w:rPr>
          <w:b w:val="0"/>
          <w:sz w:val="20"/>
        </w:rPr>
        <w:t>.</w:t>
      </w:r>
      <w:r w:rsidRPr="00022001">
        <w:rPr>
          <w:b w:val="0"/>
          <w:sz w:val="20"/>
        </w:rPr>
        <w:t xml:space="preserve"> </w:t>
      </w:r>
      <w:r w:rsidRPr="00FC0578">
        <w:rPr>
          <w:b w:val="0"/>
          <w:sz w:val="20"/>
          <w:u w:val="single"/>
        </w:rPr>
        <w:t>This report takes the fixed line approach as the primary one for the short to medium term</w:t>
      </w:r>
      <w:r w:rsidRPr="00022001">
        <w:rPr>
          <w:b w:val="0"/>
          <w:sz w:val="20"/>
        </w:rPr>
        <w:t>, simply on the grounds that, at the very least, New Zealanders would want to know whether the incomes of low-income households are rising or falling in real terms, whatever is happening to the incomes of the non-poor.  The moving line approach did not and could not pick up the rising hardship of the early to mid 1990s</w:t>
      </w:r>
      <w:r>
        <w:rPr>
          <w:b w:val="0"/>
          <w:sz w:val="20"/>
        </w:rPr>
        <w:t>.  The fixed line measures could and did.</w:t>
      </w:r>
    </w:p>
    <w:p w:rsidR="00E46063" w:rsidRPr="00022001" w:rsidRDefault="00E46063" w:rsidP="00E46063">
      <w:pPr>
        <w:pStyle w:val="Heading3"/>
        <w:jc w:val="both"/>
        <w:rPr>
          <w:b w:val="0"/>
          <w:sz w:val="20"/>
        </w:rPr>
      </w:pPr>
    </w:p>
    <w:p w:rsidR="00E46063" w:rsidRPr="006E41BF" w:rsidRDefault="00E46063" w:rsidP="00E46063">
      <w:pPr>
        <w:pStyle w:val="Heading3"/>
        <w:jc w:val="both"/>
        <w:rPr>
          <w:sz w:val="24"/>
          <w:szCs w:val="28"/>
        </w:rPr>
      </w:pPr>
      <w:r>
        <w:rPr>
          <w:sz w:val="24"/>
          <w:szCs w:val="28"/>
        </w:rPr>
        <w:br w:type="page"/>
      </w:r>
      <w:r w:rsidRPr="006E41BF">
        <w:rPr>
          <w:sz w:val="24"/>
          <w:szCs w:val="28"/>
        </w:rPr>
        <w:lastRenderedPageBreak/>
        <w:t>Headline trends for whole population</w:t>
      </w:r>
    </w:p>
    <w:p w:rsidR="00E46063" w:rsidRPr="006E41BF" w:rsidRDefault="00E46063" w:rsidP="00E46063">
      <w:pPr>
        <w:pStyle w:val="Heading3"/>
        <w:rPr>
          <w:sz w:val="20"/>
          <w:szCs w:val="22"/>
        </w:rPr>
      </w:pPr>
    </w:p>
    <w:p w:rsidR="00E46063" w:rsidRPr="006E41BF" w:rsidRDefault="00E46063" w:rsidP="00E46063">
      <w:pPr>
        <w:rPr>
          <w:sz w:val="20"/>
          <w:u w:val="single"/>
        </w:rPr>
      </w:pPr>
      <w:r w:rsidRPr="006E41BF">
        <w:rPr>
          <w:sz w:val="20"/>
          <w:u w:val="single"/>
        </w:rPr>
        <w:t>Before Housing Costs (</w:t>
      </w:r>
      <w:smartTag w:uri="urn:schemas-microsoft-com:office:smarttags" w:element="stockticker">
        <w:r w:rsidRPr="006E41BF">
          <w:rPr>
            <w:sz w:val="20"/>
            <w:u w:val="single"/>
          </w:rPr>
          <w:t>BHC</w:t>
        </w:r>
      </w:smartTag>
      <w:r w:rsidRPr="006E41BF">
        <w:rPr>
          <w:sz w:val="20"/>
          <w:u w:val="single"/>
        </w:rPr>
        <w:t>)</w:t>
      </w:r>
    </w:p>
    <w:p w:rsidR="00E46063" w:rsidRPr="006E41BF" w:rsidRDefault="00E46063" w:rsidP="00E46063">
      <w:pPr>
        <w:ind w:left="270"/>
        <w:jc w:val="both"/>
        <w:rPr>
          <w:sz w:val="20"/>
          <w:szCs w:val="22"/>
        </w:rPr>
      </w:pPr>
    </w:p>
    <w:p w:rsidR="00E46063" w:rsidRDefault="00E46063" w:rsidP="00614C04">
      <w:pPr>
        <w:numPr>
          <w:ilvl w:val="0"/>
          <w:numId w:val="50"/>
        </w:numPr>
        <w:tabs>
          <w:tab w:val="clear" w:pos="720"/>
          <w:tab w:val="num" w:pos="540"/>
        </w:tabs>
        <w:ind w:left="540" w:hanging="270"/>
        <w:jc w:val="both"/>
        <w:rPr>
          <w:sz w:val="20"/>
          <w:szCs w:val="22"/>
        </w:rPr>
      </w:pPr>
      <w:r>
        <w:rPr>
          <w:sz w:val="20"/>
          <w:szCs w:val="22"/>
        </w:rPr>
        <w:t>The main feature of the trend in the overall population poverty rate from HES 2009 to HES 2011 is that there was very little change (whatever measure is used).  This is perhaps unexpected given the impact of the economic downturn and global financial crisis on the economy, employment and incomes and calls for an explanation:</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population poverty rates from 2009 to 2011 are all 18% or less on the standard measures used, so it is the trends in incomes in the lower quintile that are of primary interest</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 xml:space="preserve">the main source of income for around 65% of those in the lower quintile is a main benefit or NZS, and these all either had their incomes protected in real terms (working age) or even raised in real terms (NZS increased as a result of the impact of the income tax changes on the after-tax wage benchmark) </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for measured poverty rates to increase from one survey to the next there needs to be an increase in the number of people below the poverty line used</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on the 60% BHC fixed line measure (starting at 14% in 2009), the above factors mean that there is unlikely to be any change in measured poverty</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on the 60% BHC moving line measure, there is an additional factor – the median fell a little from HES 2009 to HES 2011, thus lowering the poverty line a little which if anything would lead to a reduction in measured poverty (there was a slight fall but this is not statistically significant)</w:t>
      </w:r>
    </w:p>
    <w:p w:rsidR="00E46063" w:rsidRDefault="00E46063" w:rsidP="00614C04">
      <w:pPr>
        <w:numPr>
          <w:ilvl w:val="0"/>
          <w:numId w:val="99"/>
        </w:numPr>
        <w:tabs>
          <w:tab w:val="clear" w:pos="720"/>
          <w:tab w:val="num" w:pos="1134"/>
        </w:tabs>
        <w:spacing w:before="60"/>
        <w:ind w:left="1134" w:hanging="357"/>
        <w:jc w:val="both"/>
        <w:rPr>
          <w:sz w:val="20"/>
          <w:szCs w:val="22"/>
        </w:rPr>
      </w:pPr>
      <w:r>
        <w:rPr>
          <w:sz w:val="20"/>
          <w:szCs w:val="22"/>
        </w:rPr>
        <w:t xml:space="preserve">the impact on incomes of the downturn and global financial crisis is seen mainly in the fall incomes of households in deciles 3-6, those above the poverty line with low to middle incomes (see </w:t>
      </w:r>
      <w:r w:rsidRPr="00E95CB8">
        <w:rPr>
          <w:b/>
          <w:sz w:val="20"/>
          <w:szCs w:val="22"/>
        </w:rPr>
        <w:t>Figure F.5</w:t>
      </w:r>
      <w:r>
        <w:rPr>
          <w:sz w:val="20"/>
          <w:szCs w:val="22"/>
        </w:rPr>
        <w:t xml:space="preserve"> below). </w:t>
      </w:r>
    </w:p>
    <w:p w:rsidR="00E46063" w:rsidRDefault="00E46063" w:rsidP="00E46063">
      <w:pPr>
        <w:ind w:left="270"/>
        <w:jc w:val="both"/>
        <w:rPr>
          <w:sz w:val="20"/>
          <w:szCs w:val="22"/>
        </w:rPr>
      </w:pPr>
    </w:p>
    <w:p w:rsidR="00E46063" w:rsidRDefault="00E46063" w:rsidP="00E46063">
      <w:pPr>
        <w:numPr>
          <w:ilvl w:val="0"/>
          <w:numId w:val="100"/>
        </w:numPr>
        <w:spacing w:before="60"/>
        <w:jc w:val="both"/>
        <w:rPr>
          <w:sz w:val="20"/>
          <w:szCs w:val="22"/>
        </w:rPr>
      </w:pPr>
      <w:r>
        <w:rPr>
          <w:sz w:val="20"/>
          <w:szCs w:val="22"/>
        </w:rPr>
        <w:t>When interpreting changes in reported incomes and measured poverty rates in relation to the economic downturn it is important to understand the precise times of interviews for the different surveys:</w:t>
      </w:r>
    </w:p>
    <w:p w:rsidR="00E46063" w:rsidRDefault="00E46063" w:rsidP="00614C04">
      <w:pPr>
        <w:numPr>
          <w:ilvl w:val="0"/>
          <w:numId w:val="68"/>
        </w:numPr>
        <w:tabs>
          <w:tab w:val="clear" w:pos="720"/>
          <w:tab w:val="num" w:pos="1080"/>
        </w:tabs>
        <w:spacing w:before="60"/>
        <w:ind w:left="1080" w:hanging="274"/>
        <w:jc w:val="both"/>
        <w:rPr>
          <w:sz w:val="20"/>
          <w:szCs w:val="22"/>
        </w:rPr>
      </w:pPr>
      <w:r>
        <w:rPr>
          <w:rFonts w:cs="Arial"/>
          <w:color w:val="000000"/>
          <w:sz w:val="20"/>
        </w:rPr>
        <w:t>t</w:t>
      </w:r>
      <w:r w:rsidRPr="006B4E60">
        <w:rPr>
          <w:rFonts w:cs="Arial"/>
          <w:color w:val="000000"/>
          <w:sz w:val="20"/>
        </w:rPr>
        <w:t>he interviews for the latest ‘201</w:t>
      </w:r>
      <w:r>
        <w:rPr>
          <w:rFonts w:cs="Arial"/>
          <w:color w:val="000000"/>
          <w:sz w:val="20"/>
        </w:rPr>
        <w:t>1</w:t>
      </w:r>
      <w:r w:rsidRPr="006B4E60">
        <w:rPr>
          <w:rFonts w:cs="Arial"/>
          <w:color w:val="000000"/>
          <w:sz w:val="20"/>
        </w:rPr>
        <w:t>’ figures were carried out from July 20</w:t>
      </w:r>
      <w:r>
        <w:rPr>
          <w:rFonts w:cs="Arial"/>
          <w:color w:val="000000"/>
          <w:sz w:val="20"/>
        </w:rPr>
        <w:t>10 to June 2011 (the ‘2011 HES’), and t</w:t>
      </w:r>
      <w:r w:rsidRPr="006B4E60">
        <w:rPr>
          <w:rFonts w:cs="Arial"/>
          <w:color w:val="000000"/>
          <w:sz w:val="20"/>
        </w:rPr>
        <w:t>he income question asked about incomes in the twelve months prior to interview</w:t>
      </w:r>
      <w:r>
        <w:rPr>
          <w:rFonts w:cs="Arial"/>
          <w:color w:val="000000"/>
          <w:sz w:val="20"/>
        </w:rPr>
        <w:t xml:space="preserve"> </w:t>
      </w:r>
      <w:r w:rsidRPr="006B4E60">
        <w:rPr>
          <w:rFonts w:cs="Arial"/>
          <w:color w:val="000000"/>
          <w:sz w:val="20"/>
        </w:rPr>
        <w:t xml:space="preserve"> –  </w:t>
      </w:r>
      <w:r>
        <w:rPr>
          <w:rFonts w:cs="Arial"/>
          <w:color w:val="000000"/>
          <w:sz w:val="20"/>
        </w:rPr>
        <w:t xml:space="preserve">this </w:t>
      </w:r>
      <w:r w:rsidRPr="006B4E60">
        <w:rPr>
          <w:rFonts w:cs="Arial"/>
          <w:color w:val="000000"/>
          <w:sz w:val="20"/>
        </w:rPr>
        <w:t>means that the income informa</w:t>
      </w:r>
      <w:r>
        <w:rPr>
          <w:rFonts w:cs="Arial"/>
          <w:color w:val="000000"/>
          <w:sz w:val="20"/>
        </w:rPr>
        <w:t>tion overall comes from the two-</w:t>
      </w:r>
      <w:r w:rsidRPr="006B4E60">
        <w:rPr>
          <w:rFonts w:cs="Arial"/>
          <w:color w:val="000000"/>
          <w:sz w:val="20"/>
        </w:rPr>
        <w:t>year period from July 200</w:t>
      </w:r>
      <w:r>
        <w:rPr>
          <w:rFonts w:cs="Arial"/>
          <w:color w:val="000000"/>
          <w:sz w:val="20"/>
        </w:rPr>
        <w:t>9</w:t>
      </w:r>
      <w:r w:rsidRPr="006B4E60">
        <w:rPr>
          <w:rFonts w:cs="Arial"/>
          <w:color w:val="000000"/>
          <w:sz w:val="20"/>
        </w:rPr>
        <w:t xml:space="preserve"> to June 201</w:t>
      </w:r>
      <w:r>
        <w:rPr>
          <w:rFonts w:cs="Arial"/>
          <w:color w:val="000000"/>
          <w:sz w:val="20"/>
        </w:rPr>
        <w:t>1,</w:t>
      </w:r>
      <w:r w:rsidRPr="006B4E60">
        <w:rPr>
          <w:rFonts w:cs="Arial"/>
          <w:color w:val="000000"/>
          <w:sz w:val="20"/>
        </w:rPr>
        <w:t xml:space="preserve"> on average from mid 20</w:t>
      </w:r>
      <w:r>
        <w:rPr>
          <w:rFonts w:cs="Arial"/>
          <w:color w:val="000000"/>
          <w:sz w:val="20"/>
        </w:rPr>
        <w:t>10</w:t>
      </w:r>
    </w:p>
    <w:p w:rsidR="00E46063" w:rsidRPr="003357DB" w:rsidRDefault="00E46063" w:rsidP="00614C04">
      <w:pPr>
        <w:numPr>
          <w:ilvl w:val="0"/>
          <w:numId w:val="68"/>
        </w:numPr>
        <w:tabs>
          <w:tab w:val="clear" w:pos="720"/>
          <w:tab w:val="num" w:pos="1080"/>
        </w:tabs>
        <w:spacing w:before="60"/>
        <w:ind w:left="1080" w:hanging="274"/>
        <w:jc w:val="both"/>
        <w:rPr>
          <w:sz w:val="20"/>
          <w:szCs w:val="22"/>
        </w:rPr>
      </w:pPr>
      <w:r>
        <w:rPr>
          <w:rFonts w:cs="Arial"/>
          <w:color w:val="000000"/>
          <w:sz w:val="20"/>
        </w:rPr>
        <w:t>the 2011 survey is therefore the first one to be able fully capture the impact</w:t>
      </w:r>
    </w:p>
    <w:p w:rsidR="00E46063" w:rsidRDefault="00E46063" w:rsidP="00614C04">
      <w:pPr>
        <w:numPr>
          <w:ilvl w:val="0"/>
          <w:numId w:val="68"/>
        </w:numPr>
        <w:tabs>
          <w:tab w:val="clear" w:pos="720"/>
          <w:tab w:val="num" w:pos="1080"/>
        </w:tabs>
        <w:spacing w:before="60"/>
        <w:ind w:left="1080" w:hanging="274"/>
        <w:jc w:val="both"/>
        <w:rPr>
          <w:sz w:val="20"/>
          <w:szCs w:val="22"/>
        </w:rPr>
      </w:pPr>
      <w:r>
        <w:rPr>
          <w:rFonts w:cs="Arial"/>
          <w:color w:val="000000"/>
          <w:sz w:val="20"/>
        </w:rPr>
        <w:t>t</w:t>
      </w:r>
      <w:r w:rsidRPr="006B4E60">
        <w:rPr>
          <w:rFonts w:cs="Arial"/>
          <w:color w:val="000000"/>
          <w:sz w:val="20"/>
        </w:rPr>
        <w:t>he 2010 survey</w:t>
      </w:r>
      <w:r>
        <w:rPr>
          <w:rFonts w:cs="Arial"/>
          <w:color w:val="000000"/>
          <w:sz w:val="20"/>
        </w:rPr>
        <w:t xml:space="preserve"> on the other hand</w:t>
      </w:r>
      <w:r w:rsidRPr="006B4E60">
        <w:rPr>
          <w:rFonts w:cs="Arial"/>
          <w:color w:val="000000"/>
          <w:sz w:val="20"/>
        </w:rPr>
        <w:t xml:space="preserve"> </w:t>
      </w:r>
      <w:r>
        <w:rPr>
          <w:rFonts w:cs="Arial"/>
          <w:color w:val="000000"/>
          <w:sz w:val="20"/>
        </w:rPr>
        <w:t>was</w:t>
      </w:r>
      <w:r w:rsidRPr="006B4E60">
        <w:rPr>
          <w:rFonts w:cs="Arial"/>
          <w:color w:val="000000"/>
          <w:sz w:val="20"/>
        </w:rPr>
        <w:t xml:space="preserve"> </w:t>
      </w:r>
      <w:r>
        <w:rPr>
          <w:rFonts w:cs="Arial"/>
          <w:color w:val="000000"/>
          <w:sz w:val="20"/>
        </w:rPr>
        <w:t>only able to</w:t>
      </w:r>
      <w:r w:rsidRPr="006B4E60">
        <w:rPr>
          <w:rFonts w:cs="Arial"/>
          <w:color w:val="000000"/>
          <w:sz w:val="20"/>
        </w:rPr>
        <w:t xml:space="preserve"> begin to capture the impact</w:t>
      </w:r>
      <w:r>
        <w:rPr>
          <w:rFonts w:cs="Arial"/>
          <w:color w:val="000000"/>
          <w:sz w:val="20"/>
        </w:rPr>
        <w:t>.</w:t>
      </w:r>
    </w:p>
    <w:p w:rsidR="00E46063" w:rsidRDefault="00E46063" w:rsidP="00E46063">
      <w:pPr>
        <w:ind w:left="270"/>
        <w:jc w:val="both"/>
        <w:rPr>
          <w:sz w:val="20"/>
          <w:szCs w:val="22"/>
        </w:rPr>
      </w:pPr>
    </w:p>
    <w:p w:rsidR="00E46063" w:rsidRDefault="00E46063" w:rsidP="00614C04">
      <w:pPr>
        <w:numPr>
          <w:ilvl w:val="0"/>
          <w:numId w:val="50"/>
        </w:numPr>
        <w:tabs>
          <w:tab w:val="clear" w:pos="720"/>
          <w:tab w:val="num" w:pos="540"/>
        </w:tabs>
        <w:ind w:left="540" w:hanging="270"/>
        <w:jc w:val="both"/>
        <w:rPr>
          <w:sz w:val="20"/>
          <w:szCs w:val="22"/>
        </w:rPr>
      </w:pPr>
      <w:r>
        <w:rPr>
          <w:sz w:val="20"/>
          <w:szCs w:val="22"/>
        </w:rPr>
        <w:t xml:space="preserve">The overall trends from 1982 to 2011 in </w:t>
      </w:r>
      <w:r w:rsidRPr="000A009C">
        <w:rPr>
          <w:b/>
          <w:sz w:val="20"/>
          <w:szCs w:val="22"/>
        </w:rPr>
        <w:t>Figure F.1</w:t>
      </w:r>
      <w:r>
        <w:rPr>
          <w:sz w:val="20"/>
          <w:szCs w:val="22"/>
        </w:rPr>
        <w:t xml:space="preserve"> clearly show the value and need to monitor poverty rates using both fixed line and moving line approaches. This is well illustrated by looking at two periods: the first half of the 1990s, and from 1994 to 2004.</w:t>
      </w:r>
    </w:p>
    <w:p w:rsidR="00E46063" w:rsidRDefault="00E46063" w:rsidP="00E46063">
      <w:pPr>
        <w:ind w:left="270"/>
        <w:jc w:val="both"/>
        <w:rPr>
          <w:sz w:val="20"/>
          <w:szCs w:val="22"/>
        </w:rPr>
      </w:pPr>
    </w:p>
    <w:p w:rsidR="00E46063" w:rsidRDefault="00E46063" w:rsidP="00614C04">
      <w:pPr>
        <w:numPr>
          <w:ilvl w:val="0"/>
          <w:numId w:val="50"/>
        </w:numPr>
        <w:tabs>
          <w:tab w:val="clear" w:pos="720"/>
          <w:tab w:val="num" w:pos="540"/>
        </w:tabs>
        <w:ind w:left="540" w:hanging="270"/>
        <w:jc w:val="both"/>
        <w:rPr>
          <w:sz w:val="20"/>
          <w:szCs w:val="22"/>
        </w:rPr>
      </w:pPr>
      <w:r>
        <w:rPr>
          <w:sz w:val="20"/>
          <w:szCs w:val="22"/>
        </w:rPr>
        <w:t>The first half of the 1990s:</w:t>
      </w:r>
    </w:p>
    <w:p w:rsidR="00E46063" w:rsidRPr="006E41BF" w:rsidRDefault="00E46063" w:rsidP="00614C04">
      <w:pPr>
        <w:numPr>
          <w:ilvl w:val="0"/>
          <w:numId w:val="72"/>
        </w:numPr>
        <w:tabs>
          <w:tab w:val="clear" w:pos="720"/>
          <w:tab w:val="num" w:pos="1080"/>
        </w:tabs>
        <w:spacing w:before="60"/>
        <w:ind w:left="1080" w:hanging="270"/>
        <w:jc w:val="both"/>
        <w:rPr>
          <w:sz w:val="20"/>
          <w:szCs w:val="22"/>
        </w:rPr>
      </w:pPr>
      <w:r>
        <w:rPr>
          <w:sz w:val="20"/>
          <w:szCs w:val="22"/>
        </w:rPr>
        <w:t>in this period there was a very large increase in the number of people in low-income households and a fall in median household incomes</w:t>
      </w:r>
    </w:p>
    <w:p w:rsidR="00E46063" w:rsidRDefault="00E46063" w:rsidP="00614C04">
      <w:pPr>
        <w:numPr>
          <w:ilvl w:val="0"/>
          <w:numId w:val="72"/>
        </w:numPr>
        <w:tabs>
          <w:tab w:val="clear" w:pos="720"/>
          <w:tab w:val="num" w:pos="1080"/>
        </w:tabs>
        <w:spacing w:before="60"/>
        <w:ind w:left="1080" w:hanging="270"/>
        <w:jc w:val="both"/>
        <w:rPr>
          <w:sz w:val="20"/>
          <w:szCs w:val="22"/>
        </w:rPr>
      </w:pPr>
      <w:r>
        <w:rPr>
          <w:sz w:val="20"/>
          <w:szCs w:val="22"/>
        </w:rPr>
        <w:t>on a moving line measure, the combined effect of these two changes meant that (relative) poverty rates remained fairly steady and provide no evidence of the growing extent of hardship among low-income households</w:t>
      </w:r>
    </w:p>
    <w:p w:rsidR="00E46063" w:rsidRDefault="00E46063" w:rsidP="00614C04">
      <w:pPr>
        <w:numPr>
          <w:ilvl w:val="0"/>
          <w:numId w:val="72"/>
        </w:numPr>
        <w:tabs>
          <w:tab w:val="clear" w:pos="720"/>
          <w:tab w:val="num" w:pos="1080"/>
        </w:tabs>
        <w:spacing w:before="60"/>
        <w:ind w:left="1080" w:hanging="270"/>
        <w:jc w:val="both"/>
        <w:rPr>
          <w:sz w:val="20"/>
          <w:szCs w:val="22"/>
        </w:rPr>
      </w:pPr>
      <w:r>
        <w:rPr>
          <w:sz w:val="20"/>
          <w:szCs w:val="22"/>
        </w:rPr>
        <w:t>on the other hand the fixed line measure gives a very clear indication that there were growing numbers of households with very low incomes.</w:t>
      </w:r>
    </w:p>
    <w:p w:rsidR="00E46063" w:rsidRDefault="00E46063" w:rsidP="00E46063">
      <w:pPr>
        <w:ind w:left="360"/>
        <w:jc w:val="both"/>
        <w:rPr>
          <w:sz w:val="20"/>
          <w:szCs w:val="22"/>
        </w:rPr>
      </w:pPr>
    </w:p>
    <w:p w:rsidR="00E46063" w:rsidRDefault="00E46063" w:rsidP="00614C04">
      <w:pPr>
        <w:numPr>
          <w:ilvl w:val="0"/>
          <w:numId w:val="73"/>
        </w:numPr>
        <w:tabs>
          <w:tab w:val="clear" w:pos="630"/>
          <w:tab w:val="num" w:pos="540"/>
        </w:tabs>
        <w:ind w:left="540" w:hanging="270"/>
        <w:jc w:val="both"/>
        <w:rPr>
          <w:sz w:val="20"/>
          <w:szCs w:val="22"/>
        </w:rPr>
      </w:pPr>
      <w:r>
        <w:rPr>
          <w:sz w:val="20"/>
          <w:szCs w:val="22"/>
        </w:rPr>
        <w:t>From 1994 to 2004:</w:t>
      </w:r>
    </w:p>
    <w:p w:rsidR="00E46063" w:rsidRDefault="00E46063" w:rsidP="00614C04">
      <w:pPr>
        <w:numPr>
          <w:ilvl w:val="0"/>
          <w:numId w:val="72"/>
        </w:numPr>
        <w:tabs>
          <w:tab w:val="clear" w:pos="720"/>
          <w:tab w:val="num" w:pos="1080"/>
        </w:tabs>
        <w:spacing w:before="60"/>
        <w:ind w:left="1080" w:hanging="270"/>
        <w:jc w:val="both"/>
        <w:rPr>
          <w:sz w:val="20"/>
          <w:szCs w:val="22"/>
        </w:rPr>
      </w:pPr>
      <w:r>
        <w:rPr>
          <w:sz w:val="20"/>
          <w:szCs w:val="22"/>
        </w:rPr>
        <w:t>in this period, there was a continuing decline in the poverty rate on the fixed line measure, but the moving line (relative) poverty rate steadily rose to a peak of 21% in 2004</w:t>
      </w:r>
    </w:p>
    <w:p w:rsidR="00E46063" w:rsidRDefault="00E46063" w:rsidP="00614C04">
      <w:pPr>
        <w:numPr>
          <w:ilvl w:val="0"/>
          <w:numId w:val="72"/>
        </w:numPr>
        <w:tabs>
          <w:tab w:val="clear" w:pos="720"/>
          <w:tab w:val="num" w:pos="1080"/>
        </w:tabs>
        <w:spacing w:before="60"/>
        <w:ind w:left="1080" w:hanging="270"/>
        <w:jc w:val="both"/>
        <w:rPr>
          <w:sz w:val="20"/>
          <w:szCs w:val="22"/>
        </w:rPr>
      </w:pPr>
      <w:r>
        <w:rPr>
          <w:sz w:val="20"/>
          <w:szCs w:val="22"/>
        </w:rPr>
        <w:lastRenderedPageBreak/>
        <w:t xml:space="preserve">the fall in the fixed line poverty rate reflects the falling unemployment, rising employment, rising real wages and increase in the number of two earner families with children </w:t>
      </w:r>
    </w:p>
    <w:p w:rsidR="00E46063" w:rsidRDefault="00E46063" w:rsidP="00614C04">
      <w:pPr>
        <w:numPr>
          <w:ilvl w:val="0"/>
          <w:numId w:val="72"/>
        </w:numPr>
        <w:tabs>
          <w:tab w:val="clear" w:pos="720"/>
          <w:tab w:val="num" w:pos="1080"/>
        </w:tabs>
        <w:spacing w:before="60"/>
        <w:ind w:left="1080" w:hanging="270"/>
        <w:jc w:val="both"/>
        <w:rPr>
          <w:sz w:val="20"/>
          <w:szCs w:val="22"/>
        </w:rPr>
      </w:pPr>
      <w:r>
        <w:rPr>
          <w:sz w:val="20"/>
          <w:szCs w:val="22"/>
        </w:rPr>
        <w:t>the rising moving line poverty rate reflects the fact that median income rose more quickly in real terms than the incomes of low-income households – the gap between</w:t>
      </w:r>
      <w:r w:rsidRPr="006E41BF">
        <w:rPr>
          <w:sz w:val="20"/>
          <w:szCs w:val="22"/>
        </w:rPr>
        <w:t xml:space="preserve"> middle-income and low-income households </w:t>
      </w:r>
      <w:r>
        <w:rPr>
          <w:sz w:val="20"/>
          <w:szCs w:val="22"/>
        </w:rPr>
        <w:t>increased from 1994 to 2004.</w:t>
      </w:r>
    </w:p>
    <w:p w:rsidR="00E46063" w:rsidRDefault="00E46063" w:rsidP="00E46063">
      <w:pPr>
        <w:spacing w:before="60"/>
        <w:ind w:left="810"/>
        <w:jc w:val="both"/>
        <w:rPr>
          <w:sz w:val="20"/>
          <w:szCs w:val="22"/>
        </w:rPr>
      </w:pPr>
    </w:p>
    <w:p w:rsidR="00E46063" w:rsidRPr="006E41BF" w:rsidRDefault="00E46063" w:rsidP="00614C04">
      <w:pPr>
        <w:numPr>
          <w:ilvl w:val="0"/>
          <w:numId w:val="50"/>
        </w:numPr>
        <w:tabs>
          <w:tab w:val="clear" w:pos="720"/>
          <w:tab w:val="num" w:pos="540"/>
        </w:tabs>
        <w:ind w:left="540" w:hanging="270"/>
        <w:jc w:val="both"/>
        <w:rPr>
          <w:sz w:val="20"/>
          <w:szCs w:val="22"/>
        </w:rPr>
      </w:pPr>
      <w:r w:rsidRPr="006E41BF">
        <w:rPr>
          <w:sz w:val="20"/>
          <w:szCs w:val="22"/>
        </w:rPr>
        <w:t>From 2004 to 200</w:t>
      </w:r>
      <w:r>
        <w:rPr>
          <w:sz w:val="20"/>
          <w:szCs w:val="22"/>
        </w:rPr>
        <w:t>7</w:t>
      </w:r>
      <w:r w:rsidRPr="006E41BF">
        <w:rPr>
          <w:sz w:val="20"/>
          <w:szCs w:val="22"/>
        </w:rPr>
        <w:t>, the u</w:t>
      </w:r>
      <w:r>
        <w:rPr>
          <w:sz w:val="20"/>
          <w:szCs w:val="22"/>
        </w:rPr>
        <w:t>pward trend of the moving line</w:t>
      </w:r>
      <w:r w:rsidRPr="006E41BF">
        <w:rPr>
          <w:sz w:val="20"/>
          <w:szCs w:val="22"/>
        </w:rPr>
        <w:t xml:space="preserve"> poverty rates reversed for the 60% measure and halted for the 50% measure</w:t>
      </w:r>
      <w:r>
        <w:rPr>
          <w:sz w:val="20"/>
          <w:szCs w:val="22"/>
        </w:rPr>
        <w:t xml:space="preserve"> (the WFF impact)</w:t>
      </w:r>
      <w:r w:rsidRPr="006E41BF">
        <w:rPr>
          <w:sz w:val="20"/>
          <w:szCs w:val="22"/>
        </w:rPr>
        <w:t>.</w:t>
      </w:r>
      <w:r>
        <w:rPr>
          <w:sz w:val="20"/>
          <w:szCs w:val="22"/>
        </w:rPr>
        <w:t xml:space="preserve">  The fixed line poverty rate continued to fall.</w:t>
      </w:r>
    </w:p>
    <w:p w:rsidR="00E46063" w:rsidRDefault="00E46063" w:rsidP="00E46063">
      <w:pPr>
        <w:ind w:left="270"/>
        <w:jc w:val="both"/>
        <w:rPr>
          <w:sz w:val="20"/>
          <w:szCs w:val="22"/>
        </w:rPr>
      </w:pPr>
    </w:p>
    <w:p w:rsidR="00E46063" w:rsidRDefault="00E46063" w:rsidP="00614C04">
      <w:pPr>
        <w:numPr>
          <w:ilvl w:val="0"/>
          <w:numId w:val="50"/>
        </w:numPr>
        <w:tabs>
          <w:tab w:val="clear" w:pos="720"/>
          <w:tab w:val="num" w:pos="540"/>
        </w:tabs>
        <w:ind w:left="540" w:hanging="270"/>
        <w:jc w:val="both"/>
        <w:rPr>
          <w:sz w:val="20"/>
          <w:szCs w:val="22"/>
        </w:rPr>
      </w:pPr>
      <w:r w:rsidRPr="001E6729">
        <w:rPr>
          <w:sz w:val="20"/>
          <w:szCs w:val="22"/>
        </w:rPr>
        <w:t>For</w:t>
      </w:r>
      <w:r w:rsidRPr="006E41BF">
        <w:rPr>
          <w:sz w:val="20"/>
          <w:szCs w:val="22"/>
        </w:rPr>
        <w:t xml:space="preserve"> 2007 to 200</w:t>
      </w:r>
      <w:r>
        <w:rPr>
          <w:sz w:val="20"/>
          <w:szCs w:val="22"/>
        </w:rPr>
        <w:t>9</w:t>
      </w:r>
      <w:r w:rsidRPr="006E41BF">
        <w:rPr>
          <w:sz w:val="20"/>
          <w:szCs w:val="22"/>
        </w:rPr>
        <w:t xml:space="preserve">, </w:t>
      </w:r>
      <w:smartTag w:uri="urn:schemas-microsoft-com:office:smarttags" w:element="stockticker">
        <w:r>
          <w:rPr>
            <w:sz w:val="20"/>
            <w:szCs w:val="22"/>
          </w:rPr>
          <w:t>BHC</w:t>
        </w:r>
      </w:smartTag>
      <w:r>
        <w:rPr>
          <w:sz w:val="20"/>
          <w:szCs w:val="22"/>
        </w:rPr>
        <w:t xml:space="preserve"> </w:t>
      </w:r>
      <w:r w:rsidRPr="006E41BF">
        <w:rPr>
          <w:sz w:val="20"/>
          <w:szCs w:val="22"/>
        </w:rPr>
        <w:t xml:space="preserve">income poverty rates </w:t>
      </w:r>
      <w:r>
        <w:rPr>
          <w:sz w:val="20"/>
          <w:szCs w:val="22"/>
        </w:rPr>
        <w:t xml:space="preserve">reduced </w:t>
      </w:r>
      <w:r w:rsidRPr="006E41BF">
        <w:rPr>
          <w:sz w:val="20"/>
          <w:szCs w:val="22"/>
        </w:rPr>
        <w:t xml:space="preserve">on </w:t>
      </w:r>
      <w:r>
        <w:rPr>
          <w:sz w:val="20"/>
          <w:szCs w:val="22"/>
        </w:rPr>
        <w:t>the fixed line measures, but remained much the same on moving line measures.  This means that:</w:t>
      </w:r>
    </w:p>
    <w:p w:rsidR="00E46063" w:rsidRDefault="00E46063" w:rsidP="00614C04">
      <w:pPr>
        <w:numPr>
          <w:ilvl w:val="0"/>
          <w:numId w:val="68"/>
        </w:numPr>
        <w:tabs>
          <w:tab w:val="clear" w:pos="720"/>
          <w:tab w:val="num" w:pos="1080"/>
        </w:tabs>
        <w:spacing w:before="60"/>
        <w:ind w:left="1080" w:hanging="274"/>
        <w:jc w:val="both"/>
        <w:rPr>
          <w:sz w:val="20"/>
          <w:szCs w:val="22"/>
        </w:rPr>
      </w:pPr>
      <w:r>
        <w:rPr>
          <w:sz w:val="20"/>
          <w:szCs w:val="22"/>
        </w:rPr>
        <w:t xml:space="preserve">real </w:t>
      </w:r>
      <w:smartTag w:uri="urn:schemas-microsoft-com:office:smarttags" w:element="stockticker">
        <w:r>
          <w:rPr>
            <w:sz w:val="20"/>
            <w:szCs w:val="22"/>
          </w:rPr>
          <w:t>BHC</w:t>
        </w:r>
      </w:smartTag>
      <w:r>
        <w:rPr>
          <w:sz w:val="20"/>
          <w:szCs w:val="22"/>
        </w:rPr>
        <w:t xml:space="preserve"> incomes rose for some low-income households, leading to fewer in poverty on the fixed line measure, and</w:t>
      </w:r>
    </w:p>
    <w:p w:rsidR="00E46063" w:rsidRDefault="00E46063" w:rsidP="00614C04">
      <w:pPr>
        <w:numPr>
          <w:ilvl w:val="0"/>
          <w:numId w:val="68"/>
        </w:numPr>
        <w:tabs>
          <w:tab w:val="clear" w:pos="720"/>
          <w:tab w:val="num" w:pos="1080"/>
        </w:tabs>
        <w:spacing w:before="60"/>
        <w:ind w:left="1080" w:hanging="274"/>
        <w:jc w:val="both"/>
        <w:rPr>
          <w:sz w:val="20"/>
          <w:szCs w:val="22"/>
        </w:rPr>
      </w:pPr>
      <w:r>
        <w:rPr>
          <w:sz w:val="20"/>
          <w:szCs w:val="22"/>
        </w:rPr>
        <w:t xml:space="preserve">this rise was about the same as the rise in the </w:t>
      </w:r>
      <w:smartTag w:uri="urn:schemas-microsoft-com:office:smarttags" w:element="stockticker">
        <w:r>
          <w:rPr>
            <w:sz w:val="20"/>
            <w:szCs w:val="22"/>
          </w:rPr>
          <w:t>BHC</w:t>
        </w:r>
      </w:smartTag>
      <w:r>
        <w:rPr>
          <w:sz w:val="20"/>
          <w:szCs w:val="22"/>
        </w:rPr>
        <w:t xml:space="preserve"> median leading to no change in poverty rates on the moving line measure. </w:t>
      </w:r>
      <w:r w:rsidRPr="006E41BF">
        <w:rPr>
          <w:sz w:val="20"/>
          <w:szCs w:val="22"/>
        </w:rPr>
        <w:t xml:space="preserve"> </w:t>
      </w:r>
    </w:p>
    <w:p w:rsidR="00E46063" w:rsidRPr="006E41BF" w:rsidRDefault="00E46063" w:rsidP="00E46063">
      <w:pPr>
        <w:ind w:left="270"/>
        <w:jc w:val="both"/>
        <w:rPr>
          <w:sz w:val="20"/>
          <w:szCs w:val="22"/>
        </w:rPr>
      </w:pPr>
    </w:p>
    <w:p w:rsidR="00E46063" w:rsidRPr="006E41BF" w:rsidRDefault="00E46063" w:rsidP="00614C04">
      <w:pPr>
        <w:numPr>
          <w:ilvl w:val="0"/>
          <w:numId w:val="50"/>
        </w:numPr>
        <w:tabs>
          <w:tab w:val="clear" w:pos="720"/>
          <w:tab w:val="num" w:pos="540"/>
        </w:tabs>
        <w:ind w:left="540" w:hanging="270"/>
        <w:jc w:val="both"/>
        <w:rPr>
          <w:sz w:val="20"/>
          <w:szCs w:val="22"/>
        </w:rPr>
      </w:pPr>
      <w:r>
        <w:rPr>
          <w:sz w:val="20"/>
          <w:szCs w:val="22"/>
        </w:rPr>
        <w:t>Comparisons of moving and fixed line trends over</w:t>
      </w:r>
      <w:r w:rsidRPr="006E41BF">
        <w:rPr>
          <w:sz w:val="20"/>
          <w:szCs w:val="22"/>
        </w:rPr>
        <w:t xml:space="preserve"> a longer time-scale</w:t>
      </w:r>
      <w:r>
        <w:rPr>
          <w:sz w:val="20"/>
          <w:szCs w:val="22"/>
        </w:rPr>
        <w:t xml:space="preserve"> (1982 to 2007)</w:t>
      </w:r>
      <w:r w:rsidRPr="006E41BF">
        <w:rPr>
          <w:sz w:val="20"/>
          <w:szCs w:val="22"/>
        </w:rPr>
        <w:t>:</w:t>
      </w:r>
    </w:p>
    <w:p w:rsidR="00E46063" w:rsidRPr="006E41BF" w:rsidRDefault="00E46063" w:rsidP="00614C04">
      <w:pPr>
        <w:numPr>
          <w:ilvl w:val="0"/>
          <w:numId w:val="58"/>
        </w:numPr>
        <w:tabs>
          <w:tab w:val="clear" w:pos="720"/>
          <w:tab w:val="num" w:pos="1080"/>
        </w:tabs>
        <w:spacing w:before="60"/>
        <w:ind w:left="1080" w:hanging="274"/>
        <w:jc w:val="both"/>
        <w:rPr>
          <w:sz w:val="20"/>
          <w:szCs w:val="22"/>
        </w:rPr>
      </w:pPr>
      <w:r>
        <w:rPr>
          <w:sz w:val="20"/>
          <w:szCs w:val="22"/>
        </w:rPr>
        <w:t>the 60% fixed line CV-98 poverty rate</w:t>
      </w:r>
      <w:r w:rsidRPr="006E41BF">
        <w:rPr>
          <w:sz w:val="20"/>
          <w:szCs w:val="22"/>
        </w:rPr>
        <w:t xml:space="preserve"> in 200</w:t>
      </w:r>
      <w:r>
        <w:rPr>
          <w:sz w:val="20"/>
          <w:szCs w:val="22"/>
        </w:rPr>
        <w:t>7 (11%)</w:t>
      </w:r>
      <w:r w:rsidRPr="006E41BF">
        <w:rPr>
          <w:sz w:val="20"/>
          <w:szCs w:val="22"/>
        </w:rPr>
        <w:t xml:space="preserve"> </w:t>
      </w:r>
      <w:r>
        <w:rPr>
          <w:sz w:val="20"/>
          <w:szCs w:val="22"/>
        </w:rPr>
        <w:t xml:space="preserve">was a little </w:t>
      </w:r>
      <w:r w:rsidRPr="006E41BF">
        <w:rPr>
          <w:sz w:val="20"/>
          <w:szCs w:val="22"/>
        </w:rPr>
        <w:t xml:space="preserve">below what </w:t>
      </w:r>
      <w:r>
        <w:rPr>
          <w:sz w:val="20"/>
          <w:szCs w:val="22"/>
        </w:rPr>
        <w:t>it was</w:t>
      </w:r>
      <w:r w:rsidRPr="006E41BF">
        <w:rPr>
          <w:sz w:val="20"/>
          <w:szCs w:val="22"/>
        </w:rPr>
        <w:t xml:space="preserve"> in the 1980s</w:t>
      </w:r>
      <w:r>
        <w:rPr>
          <w:sz w:val="20"/>
          <w:szCs w:val="22"/>
        </w:rPr>
        <w:t xml:space="preserve"> (12 to 14%)</w:t>
      </w:r>
    </w:p>
    <w:p w:rsidR="00E46063" w:rsidRPr="006E41BF" w:rsidRDefault="00E46063" w:rsidP="00614C04">
      <w:pPr>
        <w:numPr>
          <w:ilvl w:val="0"/>
          <w:numId w:val="58"/>
        </w:numPr>
        <w:tabs>
          <w:tab w:val="clear" w:pos="720"/>
          <w:tab w:val="num" w:pos="1080"/>
        </w:tabs>
        <w:spacing w:before="60"/>
        <w:ind w:left="1080" w:hanging="274"/>
        <w:jc w:val="both"/>
        <w:rPr>
          <w:sz w:val="20"/>
          <w:szCs w:val="22"/>
        </w:rPr>
      </w:pPr>
      <w:r>
        <w:rPr>
          <w:sz w:val="20"/>
          <w:szCs w:val="22"/>
        </w:rPr>
        <w:t>the large decline in 60% fixed line poverty rates from 1994 (26%) to 2007 (11%) reflects the significant rise of incomes in real terms for low-income households (see Tables D.2 and D.3)</w:t>
      </w:r>
    </w:p>
    <w:p w:rsidR="00E46063" w:rsidRDefault="00E46063" w:rsidP="00614C04">
      <w:pPr>
        <w:numPr>
          <w:ilvl w:val="0"/>
          <w:numId w:val="58"/>
        </w:numPr>
        <w:tabs>
          <w:tab w:val="clear" w:pos="720"/>
          <w:tab w:val="num" w:pos="1080"/>
        </w:tabs>
        <w:spacing w:before="60"/>
        <w:ind w:left="1080" w:hanging="274"/>
        <w:jc w:val="both"/>
        <w:rPr>
          <w:sz w:val="20"/>
          <w:szCs w:val="22"/>
        </w:rPr>
      </w:pPr>
      <w:r>
        <w:rPr>
          <w:sz w:val="20"/>
          <w:szCs w:val="22"/>
        </w:rPr>
        <w:t>in contrast, moving line</w:t>
      </w:r>
      <w:r w:rsidRPr="006E41BF">
        <w:rPr>
          <w:sz w:val="20"/>
          <w:szCs w:val="22"/>
        </w:rPr>
        <w:t xml:space="preserve"> poverty rates </w:t>
      </w:r>
      <w:r>
        <w:rPr>
          <w:sz w:val="20"/>
          <w:szCs w:val="22"/>
        </w:rPr>
        <w:t>were</w:t>
      </w:r>
      <w:r w:rsidRPr="006E41BF">
        <w:rPr>
          <w:sz w:val="20"/>
          <w:szCs w:val="22"/>
        </w:rPr>
        <w:t xml:space="preserve"> still higher in 200</w:t>
      </w:r>
      <w:r>
        <w:rPr>
          <w:sz w:val="20"/>
          <w:szCs w:val="22"/>
        </w:rPr>
        <w:t>7</w:t>
      </w:r>
      <w:r w:rsidRPr="006E41BF">
        <w:rPr>
          <w:sz w:val="20"/>
          <w:szCs w:val="22"/>
        </w:rPr>
        <w:t xml:space="preserve"> than in the 1980s and the 1990s</w:t>
      </w:r>
      <w:r>
        <w:rPr>
          <w:sz w:val="20"/>
          <w:szCs w:val="22"/>
        </w:rPr>
        <w:t xml:space="preserve"> (even after WFF)</w:t>
      </w:r>
      <w:r w:rsidRPr="006E41BF">
        <w:rPr>
          <w:sz w:val="20"/>
          <w:szCs w:val="22"/>
        </w:rPr>
        <w:t xml:space="preserve">, reflecting the </w:t>
      </w:r>
      <w:r>
        <w:rPr>
          <w:sz w:val="20"/>
          <w:szCs w:val="22"/>
        </w:rPr>
        <w:t xml:space="preserve">net </w:t>
      </w:r>
      <w:r w:rsidRPr="006E41BF">
        <w:rPr>
          <w:sz w:val="20"/>
          <w:szCs w:val="22"/>
        </w:rPr>
        <w:t>widening of the gap between middle-income and low-income households that occurred between 199</w:t>
      </w:r>
      <w:r>
        <w:rPr>
          <w:sz w:val="20"/>
          <w:szCs w:val="22"/>
        </w:rPr>
        <w:t>4</w:t>
      </w:r>
      <w:r w:rsidRPr="006E41BF">
        <w:rPr>
          <w:sz w:val="20"/>
          <w:szCs w:val="22"/>
        </w:rPr>
        <w:t xml:space="preserve"> and 200</w:t>
      </w:r>
      <w:r>
        <w:rPr>
          <w:sz w:val="20"/>
          <w:szCs w:val="22"/>
        </w:rPr>
        <w:t>7</w:t>
      </w:r>
      <w:r w:rsidRPr="006E41BF">
        <w:rPr>
          <w:sz w:val="20"/>
          <w:szCs w:val="22"/>
        </w:rPr>
        <w:t xml:space="preserve"> (see </w:t>
      </w:r>
      <w:r>
        <w:rPr>
          <w:sz w:val="20"/>
          <w:szCs w:val="22"/>
        </w:rPr>
        <w:t>Figure</w:t>
      </w:r>
      <w:r w:rsidRPr="006E41BF">
        <w:rPr>
          <w:sz w:val="20"/>
          <w:szCs w:val="22"/>
        </w:rPr>
        <w:t xml:space="preserve"> D.7).</w:t>
      </w:r>
    </w:p>
    <w:p w:rsidR="00E46063" w:rsidRPr="006E41BF" w:rsidRDefault="00E46063" w:rsidP="00E46063">
      <w:pPr>
        <w:jc w:val="both"/>
        <w:rPr>
          <w:sz w:val="20"/>
          <w:szCs w:val="22"/>
        </w:rPr>
      </w:pPr>
    </w:p>
    <w:p w:rsidR="00E46063" w:rsidRPr="006E41BF" w:rsidRDefault="00E46063" w:rsidP="00E46063">
      <w:pPr>
        <w:rPr>
          <w:sz w:val="20"/>
          <w:u w:val="single"/>
        </w:rPr>
      </w:pPr>
      <w:r w:rsidRPr="006E41BF">
        <w:rPr>
          <w:sz w:val="20"/>
          <w:u w:val="single"/>
        </w:rPr>
        <w:t>After Housing Costs (</w:t>
      </w:r>
      <w:smartTag w:uri="urn:schemas-microsoft-com:office:smarttags" w:element="stockticker">
        <w:r w:rsidRPr="006E41BF">
          <w:rPr>
            <w:sz w:val="20"/>
            <w:u w:val="single"/>
          </w:rPr>
          <w:t>AHC</w:t>
        </w:r>
      </w:smartTag>
      <w:r w:rsidRPr="006E41BF">
        <w:rPr>
          <w:sz w:val="20"/>
          <w:u w:val="single"/>
        </w:rPr>
        <w:t>)</w:t>
      </w:r>
    </w:p>
    <w:p w:rsidR="00E46063" w:rsidRPr="006E41BF" w:rsidRDefault="00E46063" w:rsidP="00E46063">
      <w:pPr>
        <w:ind w:left="270"/>
        <w:jc w:val="both"/>
        <w:rPr>
          <w:sz w:val="20"/>
          <w:szCs w:val="22"/>
        </w:rPr>
      </w:pPr>
    </w:p>
    <w:p w:rsidR="00E46063" w:rsidRPr="005F1335" w:rsidRDefault="00E46063" w:rsidP="00E46063">
      <w:pPr>
        <w:numPr>
          <w:ilvl w:val="0"/>
          <w:numId w:val="50"/>
        </w:numPr>
        <w:spacing w:before="120"/>
        <w:jc w:val="both"/>
        <w:rPr>
          <w:rFonts w:cs="Arial"/>
          <w:sz w:val="20"/>
        </w:rPr>
      </w:pPr>
      <w:r>
        <w:rPr>
          <w:rFonts w:cs="Arial"/>
          <w:sz w:val="20"/>
        </w:rPr>
        <w:t>U</w:t>
      </w:r>
      <w:r w:rsidRPr="005F1335">
        <w:rPr>
          <w:rFonts w:cs="Arial"/>
          <w:sz w:val="20"/>
        </w:rPr>
        <w:t xml:space="preserve">sing the </w:t>
      </w:r>
      <w:smartTag w:uri="urn:schemas-microsoft-com:office:smarttags" w:element="stockticker">
        <w:r w:rsidRPr="005F1335">
          <w:rPr>
            <w:rFonts w:cs="Arial"/>
            <w:sz w:val="20"/>
          </w:rPr>
          <w:t>AHC</w:t>
        </w:r>
      </w:smartTag>
      <w:r w:rsidRPr="005F1335">
        <w:rPr>
          <w:rFonts w:cs="Arial"/>
          <w:sz w:val="20"/>
        </w:rPr>
        <w:t xml:space="preserve"> </w:t>
      </w:r>
      <w:r w:rsidRPr="00E50BB2">
        <w:rPr>
          <w:rFonts w:cs="Arial"/>
          <w:sz w:val="20"/>
          <w:u w:val="single"/>
        </w:rPr>
        <w:t>fixed line measure</w:t>
      </w:r>
      <w:r w:rsidRPr="005F1335">
        <w:rPr>
          <w:rFonts w:cs="Arial"/>
          <w:sz w:val="20"/>
        </w:rPr>
        <w:t xml:space="preserve"> (60% of median), the poverty rate for the population as a whole fell from 2007 (18%) to 2009 (15%), continuing the downward trend that began from 1994</w:t>
      </w:r>
      <w:r>
        <w:rPr>
          <w:rFonts w:cs="Arial"/>
          <w:sz w:val="20"/>
        </w:rPr>
        <w:t>.  From 2009 to 2011 the rate remained much the same (16% in 2011).</w:t>
      </w:r>
    </w:p>
    <w:p w:rsidR="00E46063" w:rsidRPr="00E0459C" w:rsidRDefault="00E46063" w:rsidP="00E46063">
      <w:pPr>
        <w:numPr>
          <w:ilvl w:val="0"/>
          <w:numId w:val="50"/>
        </w:numPr>
        <w:spacing w:before="120"/>
        <w:jc w:val="both"/>
        <w:rPr>
          <w:rFonts w:cs="Arial"/>
          <w:color w:val="000000"/>
          <w:sz w:val="20"/>
        </w:rPr>
      </w:pPr>
      <w:r>
        <w:rPr>
          <w:rFonts w:cs="Arial"/>
          <w:color w:val="000000"/>
          <w:sz w:val="20"/>
        </w:rPr>
        <w:t xml:space="preserve">Fixed line </w:t>
      </w:r>
      <w:smartTag w:uri="urn:schemas-microsoft-com:office:smarttags" w:element="stockticker">
        <w:r>
          <w:rPr>
            <w:rFonts w:cs="Arial"/>
            <w:color w:val="000000"/>
            <w:sz w:val="20"/>
          </w:rPr>
          <w:t>AHC</w:t>
        </w:r>
      </w:smartTag>
      <w:r>
        <w:rPr>
          <w:rFonts w:cs="Arial"/>
          <w:color w:val="000000"/>
          <w:sz w:val="20"/>
        </w:rPr>
        <w:t xml:space="preserve"> (CV-98) poverty rates were higher in 2007 than in the 1980s, even though </w:t>
      </w:r>
      <w:smartTag w:uri="urn:schemas-microsoft-com:office:smarttags" w:element="stockticker">
        <w:r>
          <w:rPr>
            <w:rFonts w:cs="Arial"/>
            <w:color w:val="000000"/>
            <w:sz w:val="20"/>
          </w:rPr>
          <w:t>BHC</w:t>
        </w:r>
      </w:smartTag>
      <w:r>
        <w:rPr>
          <w:rFonts w:cs="Arial"/>
          <w:color w:val="000000"/>
          <w:sz w:val="20"/>
        </w:rPr>
        <w:t xml:space="preserve"> incomes were higher in real terms for low-income households.  The reason for this is that h</w:t>
      </w:r>
      <w:r w:rsidRPr="00E0459C">
        <w:rPr>
          <w:rFonts w:cs="Arial"/>
          <w:color w:val="000000"/>
          <w:sz w:val="20"/>
        </w:rPr>
        <w:t xml:space="preserve">ousing costs </w:t>
      </w:r>
      <w:r>
        <w:rPr>
          <w:rFonts w:cs="Arial"/>
          <w:color w:val="000000"/>
          <w:sz w:val="20"/>
        </w:rPr>
        <w:t>made up</w:t>
      </w:r>
      <w:r w:rsidRPr="00E0459C">
        <w:rPr>
          <w:rFonts w:cs="Arial"/>
          <w:color w:val="000000"/>
          <w:sz w:val="20"/>
        </w:rPr>
        <w:t xml:space="preserve"> a much greater proportion of household income for low-income households in 200</w:t>
      </w:r>
      <w:r>
        <w:rPr>
          <w:rFonts w:cs="Arial"/>
          <w:color w:val="000000"/>
          <w:sz w:val="20"/>
        </w:rPr>
        <w:t>7</w:t>
      </w:r>
      <w:r w:rsidRPr="00E0459C">
        <w:rPr>
          <w:rFonts w:cs="Arial"/>
          <w:color w:val="000000"/>
          <w:sz w:val="20"/>
        </w:rPr>
        <w:t xml:space="preserve"> than in 1982</w:t>
      </w:r>
      <w:r>
        <w:rPr>
          <w:rFonts w:cs="Arial"/>
          <w:color w:val="000000"/>
          <w:sz w:val="20"/>
        </w:rPr>
        <w:t>.  T</w:t>
      </w:r>
      <w:r w:rsidRPr="00E0459C">
        <w:rPr>
          <w:rFonts w:cs="Arial"/>
          <w:color w:val="000000"/>
          <w:sz w:val="20"/>
        </w:rPr>
        <w:t xml:space="preserve">his increase </w:t>
      </w:r>
      <w:r>
        <w:rPr>
          <w:rFonts w:cs="Arial"/>
          <w:color w:val="000000"/>
          <w:sz w:val="20"/>
        </w:rPr>
        <w:t xml:space="preserve">more than </w:t>
      </w:r>
      <w:r w:rsidRPr="00E0459C">
        <w:rPr>
          <w:rFonts w:cs="Arial"/>
          <w:color w:val="000000"/>
          <w:sz w:val="20"/>
        </w:rPr>
        <w:t xml:space="preserve">cancelled out the gains in </w:t>
      </w:r>
      <w:smartTag w:uri="urn:schemas-microsoft-com:office:smarttags" w:element="stockticker">
        <w:r w:rsidRPr="00E0459C">
          <w:rPr>
            <w:rFonts w:cs="Arial"/>
            <w:color w:val="000000"/>
            <w:sz w:val="20"/>
          </w:rPr>
          <w:t>BHC</w:t>
        </w:r>
      </w:smartTag>
      <w:r w:rsidRPr="00E0459C">
        <w:rPr>
          <w:rFonts w:cs="Arial"/>
          <w:color w:val="000000"/>
          <w:sz w:val="20"/>
        </w:rPr>
        <w:t xml:space="preserve"> incomes for low-income HHs, leaving fixed line poverty rates </w:t>
      </w:r>
      <w:r>
        <w:rPr>
          <w:rFonts w:cs="Arial"/>
          <w:color w:val="000000"/>
          <w:sz w:val="20"/>
        </w:rPr>
        <w:t>higher</w:t>
      </w:r>
      <w:r w:rsidRPr="00E0459C">
        <w:rPr>
          <w:rFonts w:cs="Arial"/>
          <w:color w:val="000000"/>
          <w:sz w:val="20"/>
        </w:rPr>
        <w:t xml:space="preserve"> in 200</w:t>
      </w:r>
      <w:r>
        <w:rPr>
          <w:rFonts w:cs="Arial"/>
          <w:color w:val="000000"/>
          <w:sz w:val="20"/>
        </w:rPr>
        <w:t>7</w:t>
      </w:r>
      <w:r w:rsidRPr="00E0459C">
        <w:rPr>
          <w:rFonts w:cs="Arial"/>
          <w:color w:val="000000"/>
          <w:sz w:val="20"/>
        </w:rPr>
        <w:t xml:space="preserve"> </w:t>
      </w:r>
      <w:r>
        <w:rPr>
          <w:rFonts w:cs="Arial"/>
          <w:color w:val="000000"/>
          <w:sz w:val="20"/>
        </w:rPr>
        <w:t>than</w:t>
      </w:r>
      <w:r w:rsidRPr="00E0459C">
        <w:rPr>
          <w:rFonts w:cs="Arial"/>
          <w:color w:val="000000"/>
          <w:sz w:val="20"/>
        </w:rPr>
        <w:t xml:space="preserve"> in 1982</w:t>
      </w:r>
      <w:r>
        <w:rPr>
          <w:rFonts w:cs="Arial"/>
          <w:color w:val="000000"/>
          <w:sz w:val="20"/>
        </w:rPr>
        <w:t>.</w:t>
      </w:r>
    </w:p>
    <w:p w:rsidR="00E46063" w:rsidRPr="005F1335" w:rsidRDefault="00E46063" w:rsidP="00E46063">
      <w:pPr>
        <w:numPr>
          <w:ilvl w:val="0"/>
          <w:numId w:val="50"/>
        </w:numPr>
        <w:spacing w:before="120"/>
        <w:jc w:val="both"/>
        <w:rPr>
          <w:rFonts w:cs="Arial"/>
          <w:sz w:val="20"/>
        </w:rPr>
      </w:pPr>
      <w:r>
        <w:rPr>
          <w:rFonts w:cs="Arial"/>
          <w:sz w:val="20"/>
        </w:rPr>
        <w:t>U</w:t>
      </w:r>
      <w:r w:rsidRPr="005F1335">
        <w:rPr>
          <w:rFonts w:cs="Arial"/>
          <w:sz w:val="20"/>
        </w:rPr>
        <w:t xml:space="preserve">sing the </w:t>
      </w:r>
      <w:smartTag w:uri="urn:schemas-microsoft-com:office:smarttags" w:element="stockticker">
        <w:r w:rsidRPr="005F1335">
          <w:rPr>
            <w:rFonts w:cs="Arial"/>
            <w:sz w:val="20"/>
          </w:rPr>
          <w:t>AHC</w:t>
        </w:r>
      </w:smartTag>
      <w:r w:rsidRPr="005F1335">
        <w:rPr>
          <w:rFonts w:cs="Arial"/>
          <w:sz w:val="20"/>
        </w:rPr>
        <w:t xml:space="preserve"> </w:t>
      </w:r>
      <w:r w:rsidRPr="00E50BB2">
        <w:rPr>
          <w:rFonts w:cs="Arial"/>
          <w:sz w:val="20"/>
          <w:u w:val="single"/>
        </w:rPr>
        <w:t>moving line measure</w:t>
      </w:r>
      <w:r>
        <w:rPr>
          <w:rFonts w:cs="Arial"/>
          <w:sz w:val="20"/>
        </w:rPr>
        <w:t xml:space="preserve"> (60%),</w:t>
      </w:r>
      <w:r w:rsidRPr="005F1335">
        <w:rPr>
          <w:rFonts w:cs="Arial"/>
          <w:sz w:val="20"/>
        </w:rPr>
        <w:t>the population poverty rate remained steady at 18% from 2007 to 20</w:t>
      </w:r>
      <w:r>
        <w:rPr>
          <w:rFonts w:cs="Arial"/>
          <w:sz w:val="20"/>
        </w:rPr>
        <w:t>11</w:t>
      </w:r>
      <w:r w:rsidRPr="005F1335">
        <w:rPr>
          <w:rFonts w:cs="Arial"/>
          <w:sz w:val="20"/>
        </w:rPr>
        <w:t>, much the same as it was through the mid 1990s, but double what it was in 198</w:t>
      </w:r>
      <w:r>
        <w:rPr>
          <w:rFonts w:cs="Arial"/>
          <w:sz w:val="20"/>
        </w:rPr>
        <w:t>2</w:t>
      </w:r>
      <w:r w:rsidRPr="005F1335">
        <w:rPr>
          <w:rFonts w:cs="Arial"/>
          <w:sz w:val="20"/>
        </w:rPr>
        <w:t xml:space="preserve"> (9%)</w:t>
      </w:r>
      <w:r>
        <w:rPr>
          <w:rFonts w:cs="Arial"/>
          <w:sz w:val="20"/>
        </w:rPr>
        <w:t>.</w:t>
      </w:r>
    </w:p>
    <w:p w:rsidR="00E46063" w:rsidRPr="005F1335" w:rsidRDefault="00E46063" w:rsidP="00E46063">
      <w:pPr>
        <w:numPr>
          <w:ilvl w:val="0"/>
          <w:numId w:val="50"/>
        </w:numPr>
        <w:spacing w:before="120"/>
        <w:jc w:val="both"/>
        <w:rPr>
          <w:rFonts w:cs="Arial"/>
          <w:sz w:val="20"/>
        </w:rPr>
      </w:pPr>
      <w:r>
        <w:rPr>
          <w:rFonts w:cs="Arial"/>
          <w:sz w:val="20"/>
        </w:rPr>
        <w:t xml:space="preserve">Since 1994, </w:t>
      </w:r>
      <w:smartTag w:uri="urn:schemas-microsoft-com:office:smarttags" w:element="stockticker">
        <w:r w:rsidRPr="005F1335">
          <w:rPr>
            <w:rFonts w:cs="Arial"/>
            <w:sz w:val="20"/>
          </w:rPr>
          <w:t>AHC</w:t>
        </w:r>
      </w:smartTag>
      <w:r w:rsidRPr="005F1335">
        <w:rPr>
          <w:rFonts w:cs="Arial"/>
          <w:sz w:val="20"/>
        </w:rPr>
        <w:t xml:space="preserve"> incomes for low-income </w:t>
      </w:r>
      <w:r>
        <w:rPr>
          <w:rFonts w:cs="Arial"/>
          <w:sz w:val="20"/>
        </w:rPr>
        <w:t>household</w:t>
      </w:r>
      <w:r w:rsidRPr="005F1335">
        <w:rPr>
          <w:rFonts w:cs="Arial"/>
          <w:sz w:val="20"/>
        </w:rPr>
        <w:t>s have risen at about the same rate</w:t>
      </w:r>
      <w:r>
        <w:rPr>
          <w:rFonts w:cs="Arial"/>
          <w:sz w:val="20"/>
        </w:rPr>
        <w:t xml:space="preserve"> (on average)</w:t>
      </w:r>
      <w:r w:rsidRPr="005F1335">
        <w:rPr>
          <w:rFonts w:cs="Arial"/>
          <w:sz w:val="20"/>
        </w:rPr>
        <w:t xml:space="preserve"> as the rise in the median, thus producing no change to the moving line poverty rate</w:t>
      </w:r>
      <w:r>
        <w:rPr>
          <w:rFonts w:cs="Arial"/>
          <w:sz w:val="20"/>
        </w:rPr>
        <w:t xml:space="preserve"> from 1994 to 2011 (steady in the 18% to 20% range).</w:t>
      </w:r>
    </w:p>
    <w:p w:rsidR="00E46063" w:rsidRDefault="00E46063" w:rsidP="00E46063">
      <w:pPr>
        <w:ind w:left="270"/>
        <w:jc w:val="both"/>
        <w:rPr>
          <w:sz w:val="20"/>
          <w:szCs w:val="22"/>
        </w:rPr>
      </w:pPr>
    </w:p>
    <w:p w:rsidR="00E46063" w:rsidRPr="006E41BF" w:rsidRDefault="00E46063" w:rsidP="00E46063">
      <w:pPr>
        <w:jc w:val="both"/>
        <w:rPr>
          <w:sz w:val="20"/>
          <w:szCs w:val="22"/>
        </w:rPr>
      </w:pPr>
    </w:p>
    <w:p w:rsidR="00E46063" w:rsidRDefault="00E46063" w:rsidP="00E46063">
      <w:pPr>
        <w:jc w:val="both"/>
        <w:rPr>
          <w:b/>
          <w:sz w:val="20"/>
          <w:szCs w:val="22"/>
        </w:rPr>
      </w:pPr>
    </w:p>
    <w:p w:rsidR="00E46063" w:rsidRPr="00E437F4" w:rsidRDefault="00E46063" w:rsidP="00E46063">
      <w:pPr>
        <w:jc w:val="both"/>
        <w:rPr>
          <w:b/>
          <w:szCs w:val="22"/>
        </w:rPr>
      </w:pPr>
      <w:r w:rsidRPr="006E41BF">
        <w:rPr>
          <w:b/>
          <w:sz w:val="20"/>
          <w:szCs w:val="22"/>
        </w:rPr>
        <w:br w:type="page"/>
      </w:r>
      <w:r>
        <w:rPr>
          <w:b/>
          <w:sz w:val="20"/>
          <w:szCs w:val="22"/>
        </w:rPr>
        <w:lastRenderedPageBreak/>
        <w:br w:type="page"/>
      </w:r>
      <w:r w:rsidRPr="00E437F4">
        <w:rPr>
          <w:b/>
          <w:szCs w:val="22"/>
        </w:rPr>
        <w:lastRenderedPageBreak/>
        <w:t>Proportion of all individuals below selected thresholds (</w:t>
      </w:r>
      <w:smartTag w:uri="urn:schemas-microsoft-com:office:smarttags" w:element="stockticker">
        <w:r w:rsidRPr="00E437F4">
          <w:rPr>
            <w:b/>
            <w:szCs w:val="22"/>
          </w:rPr>
          <w:t>BHC</w:t>
        </w:r>
      </w:smartTag>
      <w:r w:rsidRPr="00E437F4">
        <w:rPr>
          <w:b/>
          <w:szCs w:val="22"/>
        </w:rPr>
        <w:t>)</w:t>
      </w:r>
    </w:p>
    <w:p w:rsidR="00E46063" w:rsidRPr="009B6841" w:rsidRDefault="00E46063" w:rsidP="00E46063"/>
    <w:p w:rsidR="00E46063" w:rsidRPr="000F1F84" w:rsidRDefault="00E46063" w:rsidP="00E46063">
      <w:pPr>
        <w:pStyle w:val="Heading3"/>
        <w:jc w:val="center"/>
        <w:rPr>
          <w:sz w:val="18"/>
          <w:szCs w:val="20"/>
        </w:rPr>
      </w:pPr>
      <w:bookmarkStart w:id="107" w:name="_Toc106002525"/>
      <w:bookmarkStart w:id="108" w:name="_Toc106071866"/>
      <w:bookmarkStart w:id="109" w:name="_Toc115142524"/>
      <w:r w:rsidRPr="000F1F84">
        <w:rPr>
          <w:sz w:val="18"/>
          <w:szCs w:val="20"/>
        </w:rPr>
        <w:t>Figure F.1</w:t>
      </w:r>
    </w:p>
    <w:p w:rsidR="00E46063" w:rsidRPr="000F1F84" w:rsidRDefault="00E46063" w:rsidP="00E46063">
      <w:pPr>
        <w:jc w:val="center"/>
        <w:rPr>
          <w:b/>
          <w:sz w:val="18"/>
        </w:rPr>
      </w:pPr>
      <w:r w:rsidRPr="000F1F84">
        <w:rPr>
          <w:b/>
          <w:sz w:val="18"/>
        </w:rPr>
        <w:t>Proportion of whole population below selected thresholds (</w:t>
      </w:r>
      <w:smartTag w:uri="urn:schemas-microsoft-com:office:smarttags" w:element="stockticker">
        <w:r w:rsidRPr="000F1F84">
          <w:rPr>
            <w:b/>
            <w:sz w:val="18"/>
          </w:rPr>
          <w:t>BHC</w:t>
        </w:r>
      </w:smartTag>
      <w:r w:rsidRPr="000F1F84">
        <w:rPr>
          <w:b/>
          <w:sz w:val="18"/>
        </w:rPr>
        <w:t>):</w:t>
      </w:r>
    </w:p>
    <w:p w:rsidR="00E46063" w:rsidRPr="000F1F84" w:rsidRDefault="00E46063" w:rsidP="00E46063">
      <w:pPr>
        <w:jc w:val="center"/>
        <w:rPr>
          <w:b/>
          <w:sz w:val="18"/>
        </w:rPr>
      </w:pPr>
      <w:r w:rsidRPr="000F1F84">
        <w:rPr>
          <w:b/>
          <w:sz w:val="18"/>
        </w:rPr>
        <w:t>fixed line (CV) and moving line (</w:t>
      </w:r>
      <w:smartTag w:uri="urn:schemas-microsoft-com:office:smarttags" w:element="stockticker">
        <w:r w:rsidRPr="000F1F84">
          <w:rPr>
            <w:b/>
            <w:sz w:val="18"/>
          </w:rPr>
          <w:t>REL</w:t>
        </w:r>
      </w:smartTag>
      <w:r w:rsidRPr="000F1F84">
        <w:rPr>
          <w:b/>
          <w:sz w:val="18"/>
        </w:rPr>
        <w:t>) approaches compared</w:t>
      </w:r>
    </w:p>
    <w:p w:rsidR="00E46063" w:rsidRPr="0082677A" w:rsidRDefault="00EC0BE0" w:rsidP="00E46063">
      <w:pPr>
        <w:jc w:val="center"/>
      </w:pPr>
      <w:r>
        <w:rPr>
          <w:noProof/>
          <w:lang w:val="en-US"/>
        </w:rPr>
        <w:drawing>
          <wp:inline distT="0" distB="0" distL="0" distR="0">
            <wp:extent cx="4457700" cy="3000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srcRect/>
                    <a:stretch>
                      <a:fillRect/>
                    </a:stretch>
                  </pic:blipFill>
                  <pic:spPr bwMode="auto">
                    <a:xfrm>
                      <a:off x="0" y="0"/>
                      <a:ext cx="4457700" cy="3000375"/>
                    </a:xfrm>
                    <a:prstGeom prst="rect">
                      <a:avLst/>
                    </a:prstGeom>
                    <a:noFill/>
                    <a:ln w="9525">
                      <a:noFill/>
                      <a:miter lim="800000"/>
                      <a:headEnd/>
                      <a:tailEnd/>
                    </a:ln>
                  </pic:spPr>
                </pic:pic>
              </a:graphicData>
            </a:graphic>
          </wp:inline>
        </w:drawing>
      </w:r>
    </w:p>
    <w:p w:rsidR="00E46063" w:rsidRPr="00F551E9" w:rsidRDefault="00E46063" w:rsidP="00E46063"/>
    <w:p w:rsidR="00E46063" w:rsidRPr="000F1F84" w:rsidRDefault="00E46063" w:rsidP="00E46063">
      <w:pPr>
        <w:pStyle w:val="Heading3"/>
        <w:jc w:val="center"/>
        <w:rPr>
          <w:sz w:val="18"/>
          <w:szCs w:val="20"/>
        </w:rPr>
      </w:pPr>
      <w:r w:rsidRPr="000F1F84">
        <w:rPr>
          <w:sz w:val="18"/>
          <w:szCs w:val="20"/>
        </w:rPr>
        <w:t>Table F.</w:t>
      </w:r>
      <w:r>
        <w:rPr>
          <w:sz w:val="18"/>
          <w:szCs w:val="20"/>
        </w:rPr>
        <w:t>3</w:t>
      </w:r>
    </w:p>
    <w:p w:rsidR="00E46063" w:rsidRPr="000F1F84" w:rsidRDefault="00E46063" w:rsidP="00E46063">
      <w:pPr>
        <w:spacing w:after="120"/>
        <w:jc w:val="center"/>
        <w:rPr>
          <w:b/>
          <w:sz w:val="18"/>
        </w:rPr>
      </w:pPr>
      <w:r w:rsidRPr="000F1F84">
        <w:rPr>
          <w:b/>
          <w:sz w:val="18"/>
        </w:rPr>
        <w:t>Percentage of whole population below selected thresholds (</w:t>
      </w:r>
      <w:smartTag w:uri="urn:schemas-microsoft-com:office:smarttags" w:element="stockticker">
        <w:r w:rsidRPr="000F1F84">
          <w:rPr>
            <w:b/>
            <w:sz w:val="18"/>
          </w:rPr>
          <w:t>BHC</w:t>
        </w:r>
      </w:smartTag>
      <w:r w:rsidRPr="000F1F84">
        <w:rPr>
          <w:b/>
          <w:sz w:val="18"/>
        </w:rPr>
        <w:t>)</w:t>
      </w:r>
    </w:p>
    <w:tbl>
      <w:tblPr>
        <w:tblStyle w:val="TableGrid"/>
        <w:tblW w:w="0" w:type="auto"/>
        <w:jc w:val="center"/>
        <w:tblInd w:w="522" w:type="dxa"/>
        <w:tblLook w:val="01E0"/>
      </w:tblPr>
      <w:tblGrid>
        <w:gridCol w:w="1350"/>
        <w:gridCol w:w="1080"/>
        <w:gridCol w:w="954"/>
        <w:gridCol w:w="1233"/>
        <w:gridCol w:w="1260"/>
        <w:gridCol w:w="990"/>
      </w:tblGrid>
      <w:tr w:rsidR="00E46063">
        <w:trPr>
          <w:trHeight w:val="350"/>
          <w:jc w:val="center"/>
        </w:trPr>
        <w:tc>
          <w:tcPr>
            <w:tcW w:w="1350" w:type="dxa"/>
            <w:vAlign w:val="center"/>
          </w:tcPr>
          <w:p w:rsidR="00E46063" w:rsidRPr="001C3AE7" w:rsidRDefault="00E46063" w:rsidP="00614C04">
            <w:pPr>
              <w:pStyle w:val="Heading3"/>
              <w:jc w:val="center"/>
              <w:rPr>
                <w:sz w:val="14"/>
                <w:szCs w:val="16"/>
              </w:rPr>
            </w:pPr>
            <w:r w:rsidRPr="001C3AE7">
              <w:rPr>
                <w:sz w:val="14"/>
                <w:szCs w:val="16"/>
              </w:rPr>
              <w:t>Threshold type</w:t>
            </w:r>
          </w:p>
        </w:tc>
        <w:tc>
          <w:tcPr>
            <w:tcW w:w="2034" w:type="dxa"/>
            <w:gridSpan w:val="2"/>
            <w:tcMar>
              <w:left w:w="29" w:type="dxa"/>
              <w:right w:w="29" w:type="dxa"/>
            </w:tcMar>
            <w:vAlign w:val="center"/>
          </w:tcPr>
          <w:p w:rsidR="00E46063" w:rsidRPr="001C3AE7" w:rsidRDefault="00E46063" w:rsidP="00614C04">
            <w:pPr>
              <w:pStyle w:val="Heading3"/>
              <w:rPr>
                <w:sz w:val="14"/>
                <w:szCs w:val="16"/>
              </w:rPr>
            </w:pPr>
            <w:r w:rsidRPr="001C3AE7">
              <w:rPr>
                <w:sz w:val="14"/>
                <w:szCs w:val="16"/>
              </w:rPr>
              <w:sym w:font="Wingdings" w:char="F0E8"/>
            </w:r>
            <w:r w:rsidRPr="001C3AE7">
              <w:rPr>
                <w:sz w:val="14"/>
                <w:szCs w:val="16"/>
              </w:rPr>
              <w:t xml:space="preserve">          Constant value</w:t>
            </w:r>
          </w:p>
        </w:tc>
        <w:tc>
          <w:tcPr>
            <w:tcW w:w="2493" w:type="dxa"/>
            <w:gridSpan w:val="2"/>
            <w:tcMar>
              <w:left w:w="14" w:type="dxa"/>
              <w:right w:w="14" w:type="dxa"/>
            </w:tcMar>
            <w:vAlign w:val="center"/>
          </w:tcPr>
          <w:p w:rsidR="00E46063" w:rsidRPr="001C3AE7" w:rsidRDefault="00E46063" w:rsidP="00614C04">
            <w:pPr>
              <w:pStyle w:val="Heading3"/>
              <w:jc w:val="center"/>
              <w:rPr>
                <w:sz w:val="14"/>
                <w:szCs w:val="16"/>
              </w:rPr>
            </w:pPr>
            <w:r w:rsidRPr="001C3AE7">
              <w:rPr>
                <w:sz w:val="14"/>
                <w:szCs w:val="16"/>
              </w:rPr>
              <w:t>Relative to contemporary median</w:t>
            </w:r>
          </w:p>
        </w:tc>
        <w:tc>
          <w:tcPr>
            <w:tcW w:w="990" w:type="dxa"/>
            <w:vMerge w:val="restart"/>
            <w:shd w:val="clear" w:color="auto" w:fill="auto"/>
            <w:vAlign w:val="center"/>
          </w:tcPr>
          <w:p w:rsidR="00E46063" w:rsidRPr="001C3AE7" w:rsidRDefault="00E46063" w:rsidP="00614C04">
            <w:pPr>
              <w:pStyle w:val="Heading3"/>
              <w:jc w:val="center"/>
              <w:rPr>
                <w:sz w:val="14"/>
                <w:szCs w:val="18"/>
              </w:rPr>
            </w:pPr>
            <w:r w:rsidRPr="001C3AE7">
              <w:rPr>
                <w:sz w:val="14"/>
                <w:szCs w:val="16"/>
              </w:rPr>
              <w:t>Population (million</w:t>
            </w:r>
            <w:r w:rsidRPr="001C3AE7">
              <w:rPr>
                <w:sz w:val="14"/>
                <w:szCs w:val="18"/>
              </w:rPr>
              <w:t>)</w:t>
            </w:r>
          </w:p>
        </w:tc>
      </w:tr>
      <w:tr w:rsidR="00E46063">
        <w:trPr>
          <w:trHeight w:hRule="exact" w:val="460"/>
          <w:jc w:val="center"/>
        </w:trPr>
        <w:tc>
          <w:tcPr>
            <w:tcW w:w="1350" w:type="dxa"/>
            <w:vAlign w:val="center"/>
          </w:tcPr>
          <w:p w:rsidR="00E46063" w:rsidRPr="001C3AE7" w:rsidRDefault="00E46063" w:rsidP="00614C04">
            <w:pPr>
              <w:pStyle w:val="Heading3"/>
              <w:jc w:val="center"/>
              <w:rPr>
                <w:b w:val="0"/>
                <w:sz w:val="14"/>
                <w:szCs w:val="18"/>
              </w:rPr>
            </w:pPr>
            <w:r>
              <w:rPr>
                <w:b w:val="0"/>
                <w:sz w:val="14"/>
                <w:szCs w:val="18"/>
              </w:rPr>
              <w:t>HES year</w:t>
            </w:r>
          </w:p>
        </w:tc>
        <w:tc>
          <w:tcPr>
            <w:tcW w:w="1080" w:type="dxa"/>
            <w:vAlign w:val="center"/>
          </w:tcPr>
          <w:p w:rsidR="00E46063" w:rsidRPr="001C3AE7" w:rsidRDefault="00E46063" w:rsidP="00614C04">
            <w:pPr>
              <w:pStyle w:val="Heading3"/>
              <w:jc w:val="center"/>
              <w:rPr>
                <w:sz w:val="14"/>
                <w:szCs w:val="16"/>
              </w:rPr>
            </w:pPr>
            <w:r w:rsidRPr="001C3AE7">
              <w:rPr>
                <w:sz w:val="14"/>
                <w:szCs w:val="16"/>
              </w:rPr>
              <w:t xml:space="preserve">60%  1998 median </w:t>
            </w:r>
          </w:p>
        </w:tc>
        <w:tc>
          <w:tcPr>
            <w:tcW w:w="954" w:type="dxa"/>
            <w:vAlign w:val="center"/>
          </w:tcPr>
          <w:p w:rsidR="00E46063" w:rsidRPr="001C3AE7" w:rsidRDefault="00E46063" w:rsidP="00614C04">
            <w:pPr>
              <w:pStyle w:val="Heading3"/>
              <w:jc w:val="center"/>
              <w:rPr>
                <w:sz w:val="14"/>
                <w:szCs w:val="16"/>
              </w:rPr>
            </w:pPr>
            <w:r w:rsidRPr="001C3AE7">
              <w:rPr>
                <w:sz w:val="14"/>
                <w:szCs w:val="16"/>
              </w:rPr>
              <w:t>60%  2007 median</w:t>
            </w:r>
          </w:p>
        </w:tc>
        <w:tc>
          <w:tcPr>
            <w:tcW w:w="1233" w:type="dxa"/>
            <w:vAlign w:val="center"/>
          </w:tcPr>
          <w:p w:rsidR="00E46063" w:rsidRPr="001C3AE7" w:rsidRDefault="00E46063" w:rsidP="00614C04">
            <w:pPr>
              <w:pStyle w:val="Heading3"/>
              <w:jc w:val="center"/>
              <w:rPr>
                <w:sz w:val="14"/>
                <w:szCs w:val="16"/>
              </w:rPr>
            </w:pPr>
            <w:r w:rsidRPr="001C3AE7">
              <w:rPr>
                <w:sz w:val="14"/>
                <w:szCs w:val="16"/>
              </w:rPr>
              <w:t>50%  contemp median</w:t>
            </w:r>
          </w:p>
        </w:tc>
        <w:tc>
          <w:tcPr>
            <w:tcW w:w="1260" w:type="dxa"/>
            <w:vAlign w:val="center"/>
          </w:tcPr>
          <w:p w:rsidR="00E46063" w:rsidRPr="001C3AE7" w:rsidRDefault="00E46063" w:rsidP="00614C04">
            <w:pPr>
              <w:pStyle w:val="Heading3"/>
              <w:jc w:val="center"/>
              <w:rPr>
                <w:sz w:val="14"/>
                <w:szCs w:val="16"/>
              </w:rPr>
            </w:pPr>
            <w:r w:rsidRPr="001C3AE7">
              <w:rPr>
                <w:sz w:val="14"/>
                <w:szCs w:val="16"/>
              </w:rPr>
              <w:t>60%  contemp median</w:t>
            </w:r>
          </w:p>
        </w:tc>
        <w:tc>
          <w:tcPr>
            <w:tcW w:w="990" w:type="dxa"/>
            <w:vMerge/>
            <w:shd w:val="clear" w:color="auto" w:fill="auto"/>
            <w:vAlign w:val="center"/>
          </w:tcPr>
          <w:p w:rsidR="00E46063" w:rsidRPr="001C3AE7" w:rsidRDefault="00E46063" w:rsidP="00614C04">
            <w:pPr>
              <w:pStyle w:val="Heading3"/>
              <w:jc w:val="center"/>
              <w:rPr>
                <w:b w:val="0"/>
                <w:sz w:val="14"/>
                <w:szCs w:val="18"/>
              </w:rPr>
            </w:pP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1982</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7</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3.03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1984</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7</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3.06</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1986</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6</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13</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3.07</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1988</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5</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13</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3.11</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1990</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5</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13</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3.15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1992</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24</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8</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15</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3.23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1994</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7</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15</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3.32</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1996</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8</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3.43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1998</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7</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16</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3.54</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2001</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27</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8</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18</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3.80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2004</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25</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10</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21</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3.96</w:t>
            </w:r>
          </w:p>
        </w:tc>
      </w:tr>
      <w:tr w:rsidR="00E46063">
        <w:trPr>
          <w:trHeight w:hRule="exact" w:val="245"/>
          <w:jc w:val="center"/>
        </w:trPr>
        <w:tc>
          <w:tcPr>
            <w:tcW w:w="135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2007</w:t>
            </w:r>
          </w:p>
        </w:tc>
        <w:tc>
          <w:tcPr>
            <w:tcW w:w="108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11</w:t>
            </w:r>
          </w:p>
        </w:tc>
        <w:tc>
          <w:tcPr>
            <w:tcW w:w="954"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18</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10</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18</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4.13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2009</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7</w:t>
            </w:r>
          </w:p>
        </w:tc>
        <w:tc>
          <w:tcPr>
            <w:tcW w:w="954"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9</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18</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4.21</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2010</w:t>
            </w:r>
          </w:p>
        </w:tc>
        <w:tc>
          <w:tcPr>
            <w:tcW w:w="108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8</w:t>
            </w:r>
          </w:p>
        </w:tc>
        <w:tc>
          <w:tcPr>
            <w:tcW w:w="954"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14</w:t>
            </w:r>
          </w:p>
        </w:tc>
        <w:tc>
          <w:tcPr>
            <w:tcW w:w="1233"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9</w:t>
            </w:r>
          </w:p>
        </w:tc>
        <w:tc>
          <w:tcPr>
            <w:tcW w:w="126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18</w:t>
            </w:r>
          </w:p>
        </w:tc>
        <w:tc>
          <w:tcPr>
            <w:tcW w:w="99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4.26</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Pr>
                <w:b w:val="0"/>
                <w:sz w:val="14"/>
                <w:szCs w:val="16"/>
              </w:rPr>
              <w:t>2011</w:t>
            </w:r>
          </w:p>
        </w:tc>
        <w:tc>
          <w:tcPr>
            <w:tcW w:w="1080" w:type="dxa"/>
            <w:vAlign w:val="center"/>
          </w:tcPr>
          <w:p w:rsidR="00E46063" w:rsidRPr="001C3AE7" w:rsidRDefault="00E46063" w:rsidP="00614C04">
            <w:pPr>
              <w:pStyle w:val="Heading3"/>
              <w:spacing w:before="40" w:after="40"/>
              <w:jc w:val="center"/>
              <w:rPr>
                <w:b w:val="0"/>
                <w:sz w:val="14"/>
                <w:szCs w:val="16"/>
              </w:rPr>
            </w:pPr>
            <w:r>
              <w:rPr>
                <w:b w:val="0"/>
                <w:sz w:val="14"/>
                <w:szCs w:val="16"/>
              </w:rPr>
              <w:t>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14</w:t>
            </w:r>
          </w:p>
        </w:tc>
        <w:tc>
          <w:tcPr>
            <w:tcW w:w="1233" w:type="dxa"/>
            <w:vAlign w:val="center"/>
          </w:tcPr>
          <w:p w:rsidR="00E46063" w:rsidRPr="001C3AE7" w:rsidRDefault="00E46063" w:rsidP="00614C04">
            <w:pPr>
              <w:pStyle w:val="Heading3"/>
              <w:spacing w:before="40" w:after="40"/>
              <w:jc w:val="center"/>
              <w:rPr>
                <w:b w:val="0"/>
                <w:sz w:val="14"/>
                <w:szCs w:val="16"/>
              </w:rPr>
            </w:pPr>
            <w:r>
              <w:rPr>
                <w:b w:val="0"/>
                <w:sz w:val="14"/>
                <w:szCs w:val="16"/>
              </w:rPr>
              <w:t>9</w:t>
            </w:r>
          </w:p>
        </w:tc>
        <w:tc>
          <w:tcPr>
            <w:tcW w:w="1260" w:type="dxa"/>
            <w:vAlign w:val="center"/>
          </w:tcPr>
          <w:p w:rsidR="00E46063" w:rsidRPr="001C3AE7" w:rsidRDefault="00E46063" w:rsidP="00614C04">
            <w:pPr>
              <w:pStyle w:val="Heading3"/>
              <w:spacing w:before="40" w:after="40"/>
              <w:jc w:val="center"/>
              <w:rPr>
                <w:b w:val="0"/>
                <w:sz w:val="14"/>
                <w:szCs w:val="16"/>
              </w:rPr>
            </w:pPr>
            <w:r>
              <w:rPr>
                <w:b w:val="0"/>
                <w:sz w:val="14"/>
                <w:szCs w:val="16"/>
              </w:rPr>
              <w:t>17</w:t>
            </w:r>
          </w:p>
        </w:tc>
        <w:tc>
          <w:tcPr>
            <w:tcW w:w="990" w:type="dxa"/>
            <w:vAlign w:val="center"/>
          </w:tcPr>
          <w:p w:rsidR="00E46063" w:rsidRPr="001C3AE7" w:rsidRDefault="00E46063" w:rsidP="00614C04">
            <w:pPr>
              <w:pStyle w:val="Heading3"/>
              <w:spacing w:before="40" w:after="40"/>
              <w:jc w:val="center"/>
              <w:rPr>
                <w:b w:val="0"/>
                <w:sz w:val="14"/>
                <w:szCs w:val="16"/>
              </w:rPr>
            </w:pPr>
            <w:r>
              <w:rPr>
                <w:b w:val="0"/>
                <w:sz w:val="14"/>
                <w:szCs w:val="16"/>
              </w:rPr>
              <w:t>4.31</w:t>
            </w:r>
          </w:p>
        </w:tc>
      </w:tr>
    </w:tbl>
    <w:p w:rsidR="00E46063" w:rsidRDefault="00E46063" w:rsidP="00E46063">
      <w:pPr>
        <w:tabs>
          <w:tab w:val="left" w:pos="1080"/>
        </w:tabs>
        <w:ind w:left="1080" w:right="911" w:hanging="540"/>
        <w:jc w:val="both"/>
        <w:rPr>
          <w:color w:val="000000"/>
          <w:sz w:val="18"/>
          <w:szCs w:val="18"/>
        </w:rPr>
      </w:pPr>
    </w:p>
    <w:p w:rsidR="00E46063" w:rsidRDefault="00E46063" w:rsidP="00E46063">
      <w:pPr>
        <w:tabs>
          <w:tab w:val="left" w:pos="990"/>
        </w:tabs>
        <w:spacing w:line="200" w:lineRule="exact"/>
        <w:ind w:left="993" w:right="907" w:hanging="547"/>
        <w:jc w:val="both"/>
        <w:rPr>
          <w:color w:val="000000"/>
          <w:sz w:val="16"/>
          <w:szCs w:val="16"/>
        </w:rPr>
      </w:pPr>
    </w:p>
    <w:p w:rsidR="00E46063" w:rsidRPr="000F1F84" w:rsidRDefault="00E46063" w:rsidP="00E46063">
      <w:pPr>
        <w:tabs>
          <w:tab w:val="left" w:pos="990"/>
        </w:tabs>
        <w:ind w:left="993" w:right="907" w:hanging="547"/>
        <w:jc w:val="both"/>
        <w:rPr>
          <w:color w:val="000000"/>
          <w:sz w:val="16"/>
          <w:szCs w:val="16"/>
        </w:rPr>
      </w:pPr>
      <w:r w:rsidRPr="000F1F84">
        <w:rPr>
          <w:color w:val="000000"/>
          <w:sz w:val="16"/>
          <w:szCs w:val="16"/>
        </w:rPr>
        <w:t xml:space="preserve">Note: </w:t>
      </w:r>
      <w:r>
        <w:rPr>
          <w:color w:val="000000"/>
          <w:sz w:val="16"/>
          <w:szCs w:val="16"/>
        </w:rPr>
        <w:tab/>
      </w:r>
      <w:r w:rsidRPr="000F1F84">
        <w:rPr>
          <w:color w:val="000000"/>
          <w:sz w:val="16"/>
          <w:szCs w:val="16"/>
        </w:rPr>
        <w:t xml:space="preserve">In real terms, the </w:t>
      </w:r>
      <w:smartTag w:uri="urn:schemas-microsoft-com:office:smarttags" w:element="stockticker">
        <w:r>
          <w:rPr>
            <w:color w:val="000000"/>
            <w:sz w:val="16"/>
            <w:szCs w:val="16"/>
          </w:rPr>
          <w:t>BHC</w:t>
        </w:r>
      </w:smartTag>
      <w:r>
        <w:rPr>
          <w:color w:val="000000"/>
          <w:sz w:val="16"/>
          <w:szCs w:val="16"/>
        </w:rPr>
        <w:t xml:space="preserve"> </w:t>
      </w:r>
      <w:r w:rsidRPr="000F1F84">
        <w:rPr>
          <w:color w:val="000000"/>
          <w:sz w:val="16"/>
          <w:szCs w:val="16"/>
        </w:rPr>
        <w:t xml:space="preserve">median in 1998 was close to what it was in </w:t>
      </w:r>
      <w:r>
        <w:rPr>
          <w:color w:val="000000"/>
          <w:sz w:val="16"/>
          <w:szCs w:val="16"/>
        </w:rPr>
        <w:t>1982</w:t>
      </w:r>
      <w:r w:rsidRPr="000F1F84">
        <w:rPr>
          <w:color w:val="000000"/>
          <w:sz w:val="16"/>
          <w:szCs w:val="16"/>
        </w:rPr>
        <w:t>.  There is therefore a good case for using 1998 as the reference year</w:t>
      </w:r>
      <w:r>
        <w:rPr>
          <w:color w:val="000000"/>
          <w:sz w:val="16"/>
          <w:szCs w:val="16"/>
        </w:rPr>
        <w:t xml:space="preserve"> for producing ‘fixed line’ poverty rates back to 1982, as well as for the more traditional application from 1998 forwards to later years. </w:t>
      </w:r>
      <w:r w:rsidRPr="000F1F84">
        <w:rPr>
          <w:color w:val="000000"/>
          <w:sz w:val="16"/>
          <w:szCs w:val="16"/>
        </w:rPr>
        <w:t xml:space="preserve">  By 2007 the median was 16% up on 1998 and by 2009 26%.  This</w:t>
      </w:r>
      <w:r>
        <w:rPr>
          <w:color w:val="000000"/>
          <w:sz w:val="16"/>
          <w:szCs w:val="16"/>
        </w:rPr>
        <w:t xml:space="preserve"> large change</w:t>
      </w:r>
      <w:r w:rsidRPr="000F1F84">
        <w:rPr>
          <w:color w:val="000000"/>
          <w:sz w:val="16"/>
          <w:szCs w:val="16"/>
        </w:rPr>
        <w:t xml:space="preserve"> led to the reference year being changed to 2007.  Reporting on poverty figures back to 1982 using 2007 as the reference year tells us what proportion were ‘poor’ back then relative to a standard set in 2007.  While this is interesting, it has no value for giving a fair and useful picture of the extent of hardship ‘back then’ relative to the standards prevailing at the time.  2007 CV figures are therefore not given for earlier years.  1998 CV figures are given for 2007 </w:t>
      </w:r>
      <w:r>
        <w:rPr>
          <w:color w:val="000000"/>
          <w:sz w:val="16"/>
          <w:szCs w:val="16"/>
        </w:rPr>
        <w:t>and later</w:t>
      </w:r>
      <w:r w:rsidRPr="000F1F84">
        <w:rPr>
          <w:color w:val="000000"/>
          <w:sz w:val="16"/>
          <w:szCs w:val="16"/>
        </w:rPr>
        <w:t xml:space="preserve"> to provide comparison for a few years.  The intention is to draw a line on this series </w:t>
      </w:r>
      <w:r>
        <w:rPr>
          <w:color w:val="000000"/>
          <w:sz w:val="16"/>
          <w:szCs w:val="16"/>
        </w:rPr>
        <w:t>after the 2011 HES</w:t>
      </w:r>
      <w:r w:rsidRPr="000F1F84">
        <w:rPr>
          <w:color w:val="000000"/>
          <w:sz w:val="16"/>
          <w:szCs w:val="16"/>
        </w:rPr>
        <w:t xml:space="preserve">.  As </w:t>
      </w:r>
      <w:r>
        <w:rPr>
          <w:color w:val="000000"/>
          <w:sz w:val="16"/>
          <w:szCs w:val="16"/>
        </w:rPr>
        <w:t>the poverty figures in Table F.3 show</w:t>
      </w:r>
      <w:r w:rsidRPr="000F1F84">
        <w:rPr>
          <w:color w:val="000000"/>
          <w:sz w:val="16"/>
          <w:szCs w:val="16"/>
        </w:rPr>
        <w:t xml:space="preserve">, the value of the CV-98 threshold </w:t>
      </w:r>
      <w:r>
        <w:rPr>
          <w:color w:val="000000"/>
          <w:sz w:val="16"/>
          <w:szCs w:val="16"/>
        </w:rPr>
        <w:t>had in 2009 and 2010 dropped</w:t>
      </w:r>
      <w:r w:rsidRPr="000F1F84">
        <w:rPr>
          <w:color w:val="000000"/>
          <w:sz w:val="16"/>
          <w:szCs w:val="16"/>
        </w:rPr>
        <w:t xml:space="preserve"> below</w:t>
      </w:r>
      <w:r>
        <w:rPr>
          <w:color w:val="000000"/>
          <w:sz w:val="16"/>
          <w:szCs w:val="16"/>
        </w:rPr>
        <w:t xml:space="preserve"> 50% of the contemporary median.</w:t>
      </w:r>
    </w:p>
    <w:p w:rsidR="00E46063" w:rsidRDefault="00E46063" w:rsidP="00E46063">
      <w:pPr>
        <w:pStyle w:val="Heading3"/>
        <w:rPr>
          <w:szCs w:val="22"/>
        </w:rPr>
      </w:pPr>
      <w:r>
        <w:rPr>
          <w:szCs w:val="22"/>
        </w:rPr>
        <w:lastRenderedPageBreak/>
        <w:t>Proportion of all individuals below selected thresholds (</w:t>
      </w:r>
      <w:smartTag w:uri="urn:schemas-microsoft-com:office:smarttags" w:element="stockticker">
        <w:r>
          <w:rPr>
            <w:szCs w:val="22"/>
          </w:rPr>
          <w:t>AHC</w:t>
        </w:r>
      </w:smartTag>
      <w:r>
        <w:rPr>
          <w:szCs w:val="22"/>
        </w:rPr>
        <w:t>)</w:t>
      </w:r>
    </w:p>
    <w:p w:rsidR="00E46063" w:rsidRDefault="00E46063" w:rsidP="00E46063">
      <w:pPr>
        <w:pStyle w:val="Heading3"/>
        <w:jc w:val="center"/>
        <w:rPr>
          <w:sz w:val="20"/>
          <w:szCs w:val="20"/>
        </w:rPr>
      </w:pPr>
    </w:p>
    <w:p w:rsidR="00E46063" w:rsidRPr="00491764" w:rsidRDefault="00E46063" w:rsidP="00E46063">
      <w:pPr>
        <w:pStyle w:val="Heading3"/>
        <w:jc w:val="center"/>
        <w:rPr>
          <w:sz w:val="18"/>
          <w:szCs w:val="20"/>
        </w:rPr>
      </w:pPr>
      <w:r w:rsidRPr="00491764">
        <w:rPr>
          <w:sz w:val="18"/>
          <w:szCs w:val="20"/>
        </w:rPr>
        <w:t>Figure F.2</w:t>
      </w:r>
    </w:p>
    <w:p w:rsidR="00E46063" w:rsidRPr="00491764" w:rsidRDefault="00E46063" w:rsidP="00E46063">
      <w:pPr>
        <w:jc w:val="center"/>
        <w:rPr>
          <w:b/>
          <w:sz w:val="18"/>
        </w:rPr>
      </w:pPr>
      <w:r w:rsidRPr="00491764">
        <w:rPr>
          <w:b/>
          <w:sz w:val="18"/>
        </w:rPr>
        <w:t>Proportion of whole population below selected thresholds (</w:t>
      </w:r>
      <w:smartTag w:uri="urn:schemas-microsoft-com:office:smarttags" w:element="stockticker">
        <w:r w:rsidRPr="00491764">
          <w:rPr>
            <w:b/>
            <w:sz w:val="18"/>
          </w:rPr>
          <w:t>AHC</w:t>
        </w:r>
      </w:smartTag>
      <w:r w:rsidRPr="00491764">
        <w:rPr>
          <w:b/>
          <w:sz w:val="18"/>
        </w:rPr>
        <w:t>):</w:t>
      </w:r>
    </w:p>
    <w:p w:rsidR="00E46063" w:rsidRPr="00491764" w:rsidRDefault="00E46063" w:rsidP="00E46063">
      <w:pPr>
        <w:jc w:val="center"/>
        <w:rPr>
          <w:b/>
          <w:sz w:val="18"/>
        </w:rPr>
      </w:pPr>
      <w:r w:rsidRPr="00491764">
        <w:rPr>
          <w:b/>
          <w:sz w:val="18"/>
        </w:rPr>
        <w:t>fixed line (CV) and moving line (</w:t>
      </w:r>
      <w:smartTag w:uri="urn:schemas-microsoft-com:office:smarttags" w:element="stockticker">
        <w:r w:rsidRPr="00491764">
          <w:rPr>
            <w:b/>
            <w:sz w:val="18"/>
          </w:rPr>
          <w:t>REL</w:t>
        </w:r>
      </w:smartTag>
      <w:r w:rsidRPr="00491764">
        <w:rPr>
          <w:b/>
          <w:sz w:val="18"/>
        </w:rPr>
        <w:t>) approaches compared</w:t>
      </w:r>
    </w:p>
    <w:p w:rsidR="00E46063" w:rsidRPr="0082677A" w:rsidRDefault="00EC0BE0" w:rsidP="00E46063">
      <w:pPr>
        <w:jc w:val="center"/>
      </w:pPr>
      <w:r>
        <w:rPr>
          <w:noProof/>
          <w:lang w:val="en-US"/>
        </w:rPr>
        <w:drawing>
          <wp:inline distT="0" distB="0" distL="0" distR="0">
            <wp:extent cx="4581525" cy="3076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srcRect/>
                    <a:stretch>
                      <a:fillRect/>
                    </a:stretch>
                  </pic:blipFill>
                  <pic:spPr bwMode="auto">
                    <a:xfrm>
                      <a:off x="0" y="0"/>
                      <a:ext cx="4581525" cy="3076575"/>
                    </a:xfrm>
                    <a:prstGeom prst="rect">
                      <a:avLst/>
                    </a:prstGeom>
                    <a:noFill/>
                    <a:ln w="9525">
                      <a:noFill/>
                      <a:miter lim="800000"/>
                      <a:headEnd/>
                      <a:tailEnd/>
                    </a:ln>
                  </pic:spPr>
                </pic:pic>
              </a:graphicData>
            </a:graphic>
          </wp:inline>
        </w:drawing>
      </w:r>
    </w:p>
    <w:p w:rsidR="00E46063" w:rsidRPr="00D92912" w:rsidRDefault="00E46063" w:rsidP="00E46063"/>
    <w:p w:rsidR="00E46063" w:rsidRPr="000F1F84" w:rsidRDefault="00E46063" w:rsidP="00E46063">
      <w:pPr>
        <w:pStyle w:val="Heading3"/>
        <w:jc w:val="center"/>
        <w:rPr>
          <w:sz w:val="18"/>
          <w:szCs w:val="20"/>
        </w:rPr>
      </w:pPr>
      <w:r w:rsidRPr="000F1F84">
        <w:rPr>
          <w:sz w:val="18"/>
          <w:szCs w:val="20"/>
        </w:rPr>
        <w:t>Table F</w:t>
      </w:r>
      <w:r>
        <w:rPr>
          <w:sz w:val="18"/>
          <w:szCs w:val="20"/>
        </w:rPr>
        <w:t>.4</w:t>
      </w:r>
    </w:p>
    <w:p w:rsidR="00E46063" w:rsidRPr="000F1F84" w:rsidRDefault="00E46063" w:rsidP="00E46063">
      <w:pPr>
        <w:spacing w:after="120"/>
        <w:jc w:val="center"/>
        <w:rPr>
          <w:b/>
          <w:sz w:val="18"/>
        </w:rPr>
      </w:pPr>
      <w:r w:rsidRPr="000F1F84">
        <w:rPr>
          <w:b/>
          <w:sz w:val="18"/>
        </w:rPr>
        <w:t>Percentage of whole population below selected thresholds (</w:t>
      </w:r>
      <w:smartTag w:uri="urn:schemas-microsoft-com:office:smarttags" w:element="stockticker">
        <w:r>
          <w:rPr>
            <w:b/>
            <w:sz w:val="18"/>
          </w:rPr>
          <w:t>A</w:t>
        </w:r>
        <w:r w:rsidRPr="000F1F84">
          <w:rPr>
            <w:b/>
            <w:sz w:val="18"/>
          </w:rPr>
          <w:t>HC</w:t>
        </w:r>
      </w:smartTag>
      <w:r w:rsidRPr="000F1F84">
        <w:rPr>
          <w:b/>
          <w:sz w:val="18"/>
        </w:rPr>
        <w:t>)</w:t>
      </w:r>
    </w:p>
    <w:tbl>
      <w:tblPr>
        <w:tblStyle w:val="TableGrid"/>
        <w:tblW w:w="0" w:type="auto"/>
        <w:jc w:val="center"/>
        <w:tblInd w:w="522" w:type="dxa"/>
        <w:tblLook w:val="01E0"/>
      </w:tblPr>
      <w:tblGrid>
        <w:gridCol w:w="1350"/>
        <w:gridCol w:w="1080"/>
        <w:gridCol w:w="954"/>
        <w:gridCol w:w="1233"/>
        <w:gridCol w:w="1260"/>
        <w:gridCol w:w="990"/>
      </w:tblGrid>
      <w:tr w:rsidR="00E46063">
        <w:trPr>
          <w:trHeight w:val="350"/>
          <w:jc w:val="center"/>
        </w:trPr>
        <w:tc>
          <w:tcPr>
            <w:tcW w:w="1350" w:type="dxa"/>
            <w:vAlign w:val="center"/>
          </w:tcPr>
          <w:p w:rsidR="00E46063" w:rsidRPr="001C3AE7" w:rsidRDefault="00E46063" w:rsidP="00614C04">
            <w:pPr>
              <w:pStyle w:val="Heading3"/>
              <w:jc w:val="center"/>
              <w:rPr>
                <w:sz w:val="14"/>
                <w:szCs w:val="16"/>
              </w:rPr>
            </w:pPr>
            <w:r w:rsidRPr="001C3AE7">
              <w:rPr>
                <w:sz w:val="14"/>
                <w:szCs w:val="16"/>
              </w:rPr>
              <w:t>Threshold type</w:t>
            </w:r>
          </w:p>
        </w:tc>
        <w:tc>
          <w:tcPr>
            <w:tcW w:w="2034" w:type="dxa"/>
            <w:gridSpan w:val="2"/>
            <w:tcMar>
              <w:left w:w="29" w:type="dxa"/>
              <w:right w:w="29" w:type="dxa"/>
            </w:tcMar>
            <w:vAlign w:val="center"/>
          </w:tcPr>
          <w:p w:rsidR="00E46063" w:rsidRPr="001C3AE7" w:rsidRDefault="00E46063" w:rsidP="00614C04">
            <w:pPr>
              <w:pStyle w:val="Heading3"/>
              <w:rPr>
                <w:sz w:val="14"/>
                <w:szCs w:val="16"/>
              </w:rPr>
            </w:pPr>
            <w:r w:rsidRPr="001C3AE7">
              <w:rPr>
                <w:sz w:val="14"/>
                <w:szCs w:val="16"/>
              </w:rPr>
              <w:sym w:font="Wingdings" w:char="F0E8"/>
            </w:r>
            <w:r w:rsidRPr="001C3AE7">
              <w:rPr>
                <w:sz w:val="14"/>
                <w:szCs w:val="16"/>
              </w:rPr>
              <w:t xml:space="preserve">          Constant value</w:t>
            </w:r>
          </w:p>
        </w:tc>
        <w:tc>
          <w:tcPr>
            <w:tcW w:w="2493" w:type="dxa"/>
            <w:gridSpan w:val="2"/>
            <w:tcMar>
              <w:left w:w="14" w:type="dxa"/>
              <w:right w:w="14" w:type="dxa"/>
            </w:tcMar>
            <w:vAlign w:val="center"/>
          </w:tcPr>
          <w:p w:rsidR="00E46063" w:rsidRPr="001C3AE7" w:rsidRDefault="00E46063" w:rsidP="00614C04">
            <w:pPr>
              <w:pStyle w:val="Heading3"/>
              <w:jc w:val="center"/>
              <w:rPr>
                <w:sz w:val="14"/>
                <w:szCs w:val="16"/>
              </w:rPr>
            </w:pPr>
            <w:r w:rsidRPr="001C3AE7">
              <w:rPr>
                <w:sz w:val="14"/>
                <w:szCs w:val="16"/>
              </w:rPr>
              <w:t>Relative to contemporary median</w:t>
            </w:r>
          </w:p>
        </w:tc>
        <w:tc>
          <w:tcPr>
            <w:tcW w:w="990" w:type="dxa"/>
            <w:vMerge w:val="restart"/>
            <w:shd w:val="clear" w:color="auto" w:fill="auto"/>
            <w:vAlign w:val="center"/>
          </w:tcPr>
          <w:p w:rsidR="00E46063" w:rsidRPr="001C3AE7" w:rsidRDefault="00E46063" w:rsidP="00614C04">
            <w:pPr>
              <w:pStyle w:val="Heading3"/>
              <w:jc w:val="center"/>
              <w:rPr>
                <w:sz w:val="14"/>
                <w:szCs w:val="18"/>
              </w:rPr>
            </w:pPr>
            <w:r w:rsidRPr="001C3AE7">
              <w:rPr>
                <w:sz w:val="14"/>
                <w:szCs w:val="16"/>
              </w:rPr>
              <w:t>Population (million</w:t>
            </w:r>
            <w:r w:rsidRPr="001C3AE7">
              <w:rPr>
                <w:sz w:val="14"/>
                <w:szCs w:val="18"/>
              </w:rPr>
              <w:t>)</w:t>
            </w:r>
          </w:p>
        </w:tc>
      </w:tr>
      <w:tr w:rsidR="00E46063">
        <w:trPr>
          <w:trHeight w:hRule="exact" w:val="460"/>
          <w:jc w:val="center"/>
        </w:trPr>
        <w:tc>
          <w:tcPr>
            <w:tcW w:w="1350" w:type="dxa"/>
            <w:vAlign w:val="center"/>
          </w:tcPr>
          <w:p w:rsidR="00E46063" w:rsidRPr="001C3AE7" w:rsidRDefault="00E46063" w:rsidP="00614C04">
            <w:pPr>
              <w:pStyle w:val="Heading3"/>
              <w:jc w:val="center"/>
              <w:rPr>
                <w:b w:val="0"/>
                <w:sz w:val="14"/>
                <w:szCs w:val="18"/>
              </w:rPr>
            </w:pPr>
            <w:r>
              <w:rPr>
                <w:b w:val="0"/>
                <w:sz w:val="14"/>
                <w:szCs w:val="18"/>
              </w:rPr>
              <w:t>HES year</w:t>
            </w:r>
          </w:p>
        </w:tc>
        <w:tc>
          <w:tcPr>
            <w:tcW w:w="1080" w:type="dxa"/>
            <w:vAlign w:val="center"/>
          </w:tcPr>
          <w:p w:rsidR="00E46063" w:rsidRPr="001C3AE7" w:rsidRDefault="00E46063" w:rsidP="00614C04">
            <w:pPr>
              <w:pStyle w:val="Heading3"/>
              <w:jc w:val="center"/>
              <w:rPr>
                <w:sz w:val="14"/>
                <w:szCs w:val="16"/>
              </w:rPr>
            </w:pPr>
            <w:r w:rsidRPr="001C3AE7">
              <w:rPr>
                <w:sz w:val="14"/>
                <w:szCs w:val="16"/>
              </w:rPr>
              <w:t xml:space="preserve">60%  1998 median </w:t>
            </w:r>
          </w:p>
        </w:tc>
        <w:tc>
          <w:tcPr>
            <w:tcW w:w="954" w:type="dxa"/>
            <w:vAlign w:val="center"/>
          </w:tcPr>
          <w:p w:rsidR="00E46063" w:rsidRPr="001C3AE7" w:rsidRDefault="00E46063" w:rsidP="00614C04">
            <w:pPr>
              <w:pStyle w:val="Heading3"/>
              <w:jc w:val="center"/>
              <w:rPr>
                <w:sz w:val="14"/>
                <w:szCs w:val="16"/>
              </w:rPr>
            </w:pPr>
            <w:r w:rsidRPr="001C3AE7">
              <w:rPr>
                <w:sz w:val="14"/>
                <w:szCs w:val="16"/>
              </w:rPr>
              <w:t>60%  2007 median</w:t>
            </w:r>
          </w:p>
        </w:tc>
        <w:tc>
          <w:tcPr>
            <w:tcW w:w="1233" w:type="dxa"/>
            <w:vAlign w:val="center"/>
          </w:tcPr>
          <w:p w:rsidR="00E46063" w:rsidRPr="001C3AE7" w:rsidRDefault="00E46063" w:rsidP="00614C04">
            <w:pPr>
              <w:pStyle w:val="Heading3"/>
              <w:jc w:val="center"/>
              <w:rPr>
                <w:sz w:val="14"/>
                <w:szCs w:val="16"/>
              </w:rPr>
            </w:pPr>
            <w:r w:rsidRPr="001C3AE7">
              <w:rPr>
                <w:sz w:val="14"/>
                <w:szCs w:val="16"/>
              </w:rPr>
              <w:t>50%  contemp median</w:t>
            </w:r>
          </w:p>
        </w:tc>
        <w:tc>
          <w:tcPr>
            <w:tcW w:w="1260" w:type="dxa"/>
            <w:vAlign w:val="center"/>
          </w:tcPr>
          <w:p w:rsidR="00E46063" w:rsidRPr="001C3AE7" w:rsidRDefault="00E46063" w:rsidP="00614C04">
            <w:pPr>
              <w:pStyle w:val="Heading3"/>
              <w:jc w:val="center"/>
              <w:rPr>
                <w:sz w:val="14"/>
                <w:szCs w:val="16"/>
              </w:rPr>
            </w:pPr>
            <w:r w:rsidRPr="001C3AE7">
              <w:rPr>
                <w:sz w:val="14"/>
                <w:szCs w:val="16"/>
              </w:rPr>
              <w:t>60%  contemp median</w:t>
            </w:r>
          </w:p>
        </w:tc>
        <w:tc>
          <w:tcPr>
            <w:tcW w:w="990" w:type="dxa"/>
            <w:vMerge/>
            <w:shd w:val="clear" w:color="auto" w:fill="auto"/>
            <w:vAlign w:val="center"/>
          </w:tcPr>
          <w:p w:rsidR="00E46063" w:rsidRPr="001C3AE7" w:rsidRDefault="00E46063" w:rsidP="00614C04">
            <w:pPr>
              <w:pStyle w:val="Heading3"/>
              <w:jc w:val="center"/>
              <w:rPr>
                <w:b w:val="0"/>
                <w:sz w:val="14"/>
                <w:szCs w:val="18"/>
              </w:rPr>
            </w:pP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1982</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6</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9</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3.03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1984</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6</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9</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3.06</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1986</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5</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7</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3.07</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1988</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6</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10</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3.11</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1990</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11</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6</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11</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3.15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1992</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21</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11</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17</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3.23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1994</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23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19</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3.32</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1996</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21</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18</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3.43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1998</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18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18</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3.54</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2001</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19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25</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20</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3.80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2004</w:t>
            </w:r>
          </w:p>
        </w:tc>
        <w:tc>
          <w:tcPr>
            <w:tcW w:w="1080" w:type="dxa"/>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17</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22</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14</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20</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3.96</w:t>
            </w:r>
          </w:p>
        </w:tc>
      </w:tr>
      <w:tr w:rsidR="00E46063">
        <w:trPr>
          <w:trHeight w:hRule="exact" w:val="245"/>
          <w:jc w:val="center"/>
        </w:trPr>
        <w:tc>
          <w:tcPr>
            <w:tcW w:w="135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2007</w:t>
            </w:r>
          </w:p>
        </w:tc>
        <w:tc>
          <w:tcPr>
            <w:tcW w:w="1080" w:type="dxa"/>
            <w:tcBorders>
              <w:top w:val="single" w:sz="12" w:space="0" w:color="auto"/>
            </w:tcBorders>
            <w:vAlign w:val="center"/>
          </w:tcPr>
          <w:p w:rsidR="00E46063" w:rsidRPr="00190143" w:rsidRDefault="00E46063" w:rsidP="00614C04">
            <w:pPr>
              <w:pStyle w:val="Heading3"/>
              <w:spacing w:before="40" w:after="40"/>
              <w:jc w:val="center"/>
              <w:rPr>
                <w:b w:val="0"/>
                <w:sz w:val="14"/>
                <w:szCs w:val="16"/>
              </w:rPr>
            </w:pPr>
            <w:r w:rsidRPr="00190143">
              <w:rPr>
                <w:b w:val="0"/>
                <w:sz w:val="14"/>
                <w:szCs w:val="16"/>
              </w:rPr>
              <w:t>13</w:t>
            </w:r>
          </w:p>
        </w:tc>
        <w:tc>
          <w:tcPr>
            <w:tcW w:w="954"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Pr>
                <w:b w:val="0"/>
                <w:sz w:val="14"/>
                <w:szCs w:val="16"/>
              </w:rPr>
              <w:t>18</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18</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4.13</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2009</w:t>
            </w:r>
          </w:p>
        </w:tc>
        <w:tc>
          <w:tcPr>
            <w:tcW w:w="1080" w:type="dxa"/>
            <w:vAlign w:val="center"/>
          </w:tcPr>
          <w:p w:rsidR="00E46063" w:rsidRPr="00190143" w:rsidRDefault="00E46063" w:rsidP="00614C04">
            <w:pPr>
              <w:pStyle w:val="Heading3"/>
              <w:spacing w:before="40" w:after="40"/>
              <w:jc w:val="center"/>
              <w:rPr>
                <w:b w:val="0"/>
                <w:sz w:val="14"/>
                <w:szCs w:val="16"/>
              </w:rPr>
            </w:pPr>
            <w:r>
              <w:rPr>
                <w:b w:val="0"/>
                <w:sz w:val="14"/>
                <w:szCs w:val="16"/>
              </w:rPr>
              <w:t>12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15</w:t>
            </w:r>
          </w:p>
        </w:tc>
        <w:tc>
          <w:tcPr>
            <w:tcW w:w="1233"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13</w:t>
            </w:r>
          </w:p>
        </w:tc>
        <w:tc>
          <w:tcPr>
            <w:tcW w:w="126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18</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4.21</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2010</w:t>
            </w:r>
          </w:p>
        </w:tc>
        <w:tc>
          <w:tcPr>
            <w:tcW w:w="1080" w:type="dxa"/>
            <w:vAlign w:val="center"/>
          </w:tcPr>
          <w:p w:rsidR="00E46063" w:rsidRPr="00190143" w:rsidRDefault="00E46063" w:rsidP="00614C04">
            <w:pPr>
              <w:pStyle w:val="Heading3"/>
              <w:spacing w:before="40" w:after="40"/>
              <w:jc w:val="center"/>
              <w:rPr>
                <w:b w:val="0"/>
                <w:sz w:val="14"/>
                <w:szCs w:val="16"/>
              </w:rPr>
            </w:pPr>
            <w:r>
              <w:rPr>
                <w:b w:val="0"/>
                <w:sz w:val="14"/>
                <w:szCs w:val="16"/>
              </w:rPr>
              <w:t>10</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15</w:t>
            </w:r>
          </w:p>
        </w:tc>
        <w:tc>
          <w:tcPr>
            <w:tcW w:w="1233" w:type="dxa"/>
            <w:vAlign w:val="center"/>
          </w:tcPr>
          <w:p w:rsidR="00E46063" w:rsidRPr="00BA660B" w:rsidRDefault="00E46063" w:rsidP="00614C04">
            <w:pPr>
              <w:pStyle w:val="Heading3"/>
              <w:spacing w:before="40" w:after="40"/>
              <w:jc w:val="center"/>
              <w:rPr>
                <w:b w:val="0"/>
                <w:sz w:val="14"/>
                <w:szCs w:val="16"/>
              </w:rPr>
            </w:pPr>
            <w:r>
              <w:rPr>
                <w:b w:val="0"/>
                <w:sz w:val="14"/>
                <w:szCs w:val="16"/>
              </w:rPr>
              <w:t>11</w:t>
            </w:r>
          </w:p>
        </w:tc>
        <w:tc>
          <w:tcPr>
            <w:tcW w:w="1260" w:type="dxa"/>
            <w:vAlign w:val="center"/>
          </w:tcPr>
          <w:p w:rsidR="00E46063" w:rsidRPr="00BA660B" w:rsidRDefault="00E46063" w:rsidP="00614C04">
            <w:pPr>
              <w:pStyle w:val="Heading3"/>
              <w:spacing w:before="40" w:after="40"/>
              <w:jc w:val="center"/>
              <w:rPr>
                <w:b w:val="0"/>
                <w:sz w:val="14"/>
                <w:szCs w:val="16"/>
              </w:rPr>
            </w:pPr>
            <w:r>
              <w:rPr>
                <w:b w:val="0"/>
                <w:sz w:val="14"/>
                <w:szCs w:val="16"/>
              </w:rPr>
              <w:t>18</w:t>
            </w:r>
          </w:p>
        </w:tc>
        <w:tc>
          <w:tcPr>
            <w:tcW w:w="990" w:type="dxa"/>
            <w:vAlign w:val="center"/>
          </w:tcPr>
          <w:p w:rsidR="00E46063" w:rsidRPr="00BA660B" w:rsidRDefault="00E46063" w:rsidP="00614C04">
            <w:pPr>
              <w:pStyle w:val="Heading3"/>
              <w:spacing w:before="40" w:after="40"/>
              <w:jc w:val="center"/>
              <w:rPr>
                <w:b w:val="0"/>
                <w:sz w:val="14"/>
                <w:szCs w:val="16"/>
              </w:rPr>
            </w:pPr>
            <w:r w:rsidRPr="00BA660B">
              <w:rPr>
                <w:b w:val="0"/>
                <w:sz w:val="14"/>
                <w:szCs w:val="16"/>
              </w:rPr>
              <w:t>4.26</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Pr>
                <w:b w:val="0"/>
                <w:sz w:val="14"/>
                <w:szCs w:val="16"/>
              </w:rPr>
              <w:t>2011</w:t>
            </w:r>
          </w:p>
        </w:tc>
        <w:tc>
          <w:tcPr>
            <w:tcW w:w="1080" w:type="dxa"/>
            <w:vAlign w:val="center"/>
          </w:tcPr>
          <w:p w:rsidR="00E46063" w:rsidRDefault="00E46063" w:rsidP="00614C04">
            <w:pPr>
              <w:pStyle w:val="Heading3"/>
              <w:spacing w:before="40" w:after="40"/>
              <w:jc w:val="center"/>
              <w:rPr>
                <w:b w:val="0"/>
                <w:sz w:val="14"/>
                <w:szCs w:val="16"/>
              </w:rPr>
            </w:pPr>
            <w:r>
              <w:rPr>
                <w:b w:val="0"/>
                <w:sz w:val="14"/>
                <w:szCs w:val="16"/>
              </w:rPr>
              <w:t>12</w:t>
            </w:r>
          </w:p>
        </w:tc>
        <w:tc>
          <w:tcPr>
            <w:tcW w:w="954" w:type="dxa"/>
            <w:vAlign w:val="center"/>
          </w:tcPr>
          <w:p w:rsidR="00E46063" w:rsidRDefault="00E46063" w:rsidP="00614C04">
            <w:pPr>
              <w:pStyle w:val="Heading3"/>
              <w:spacing w:before="40" w:after="40"/>
              <w:jc w:val="center"/>
              <w:rPr>
                <w:b w:val="0"/>
                <w:sz w:val="14"/>
                <w:szCs w:val="16"/>
              </w:rPr>
            </w:pPr>
            <w:r>
              <w:rPr>
                <w:b w:val="0"/>
                <w:sz w:val="14"/>
                <w:szCs w:val="16"/>
              </w:rPr>
              <w:t>16</w:t>
            </w:r>
          </w:p>
        </w:tc>
        <w:tc>
          <w:tcPr>
            <w:tcW w:w="1233" w:type="dxa"/>
            <w:vAlign w:val="center"/>
          </w:tcPr>
          <w:p w:rsidR="00E46063" w:rsidRDefault="00E46063" w:rsidP="00614C04">
            <w:pPr>
              <w:pStyle w:val="Heading3"/>
              <w:spacing w:before="40" w:after="40"/>
              <w:jc w:val="center"/>
              <w:rPr>
                <w:b w:val="0"/>
                <w:sz w:val="14"/>
                <w:szCs w:val="16"/>
              </w:rPr>
            </w:pPr>
            <w:r>
              <w:rPr>
                <w:b w:val="0"/>
                <w:sz w:val="14"/>
                <w:szCs w:val="16"/>
              </w:rPr>
              <w:t>13</w:t>
            </w:r>
          </w:p>
        </w:tc>
        <w:tc>
          <w:tcPr>
            <w:tcW w:w="1260" w:type="dxa"/>
            <w:vAlign w:val="center"/>
          </w:tcPr>
          <w:p w:rsidR="00E46063" w:rsidRDefault="00E46063" w:rsidP="00614C04">
            <w:pPr>
              <w:pStyle w:val="Heading3"/>
              <w:spacing w:before="40" w:after="40"/>
              <w:jc w:val="center"/>
              <w:rPr>
                <w:b w:val="0"/>
                <w:sz w:val="14"/>
                <w:szCs w:val="16"/>
              </w:rPr>
            </w:pPr>
            <w:r>
              <w:rPr>
                <w:b w:val="0"/>
                <w:sz w:val="14"/>
                <w:szCs w:val="16"/>
              </w:rPr>
              <w:t>19</w:t>
            </w:r>
          </w:p>
        </w:tc>
        <w:tc>
          <w:tcPr>
            <w:tcW w:w="990" w:type="dxa"/>
            <w:vAlign w:val="center"/>
          </w:tcPr>
          <w:p w:rsidR="00E46063" w:rsidRPr="00BA660B" w:rsidRDefault="00E46063" w:rsidP="00614C04">
            <w:pPr>
              <w:pStyle w:val="Heading3"/>
              <w:spacing w:before="40" w:after="40"/>
              <w:jc w:val="center"/>
              <w:rPr>
                <w:b w:val="0"/>
                <w:sz w:val="14"/>
                <w:szCs w:val="16"/>
              </w:rPr>
            </w:pPr>
            <w:r>
              <w:rPr>
                <w:b w:val="0"/>
                <w:sz w:val="14"/>
                <w:szCs w:val="16"/>
              </w:rPr>
              <w:t>4.31</w:t>
            </w:r>
          </w:p>
        </w:tc>
      </w:tr>
    </w:tbl>
    <w:p w:rsidR="00E46063" w:rsidRDefault="00E46063" w:rsidP="00E46063">
      <w:pPr>
        <w:tabs>
          <w:tab w:val="left" w:pos="1080"/>
        </w:tabs>
        <w:ind w:left="1080" w:right="911" w:hanging="540"/>
        <w:jc w:val="both"/>
        <w:rPr>
          <w:color w:val="000000"/>
          <w:sz w:val="18"/>
          <w:szCs w:val="18"/>
        </w:rPr>
      </w:pPr>
    </w:p>
    <w:p w:rsidR="00E46063" w:rsidRDefault="00E46063" w:rsidP="00E46063">
      <w:pPr>
        <w:tabs>
          <w:tab w:val="left" w:pos="990"/>
        </w:tabs>
        <w:spacing w:line="200" w:lineRule="exact"/>
        <w:ind w:left="993" w:right="907" w:hanging="547"/>
        <w:jc w:val="both"/>
        <w:rPr>
          <w:color w:val="000000"/>
          <w:sz w:val="16"/>
          <w:szCs w:val="16"/>
        </w:rPr>
      </w:pPr>
    </w:p>
    <w:p w:rsidR="00E46063" w:rsidRDefault="00E46063" w:rsidP="00E46063">
      <w:pPr>
        <w:tabs>
          <w:tab w:val="left" w:pos="990"/>
        </w:tabs>
        <w:ind w:left="993" w:right="907" w:hanging="547"/>
        <w:jc w:val="both"/>
        <w:rPr>
          <w:sz w:val="16"/>
          <w:szCs w:val="16"/>
        </w:rPr>
      </w:pPr>
      <w:r w:rsidRPr="000F1F84">
        <w:rPr>
          <w:color w:val="000000"/>
          <w:sz w:val="16"/>
          <w:szCs w:val="16"/>
        </w:rPr>
        <w:t xml:space="preserve">Note: </w:t>
      </w:r>
      <w:r w:rsidRPr="000B119F">
        <w:rPr>
          <w:color w:val="000000"/>
          <w:sz w:val="16"/>
          <w:szCs w:val="16"/>
        </w:rPr>
        <w:tab/>
      </w:r>
      <w:smartTag w:uri="urn:schemas-microsoft-com:office:smarttags" w:element="stockticker">
        <w:r w:rsidRPr="000B119F">
          <w:rPr>
            <w:sz w:val="16"/>
            <w:szCs w:val="16"/>
          </w:rPr>
          <w:t>AHC</w:t>
        </w:r>
      </w:smartTag>
      <w:r w:rsidRPr="000B119F">
        <w:rPr>
          <w:sz w:val="16"/>
          <w:szCs w:val="16"/>
        </w:rPr>
        <w:t xml:space="preserve"> thresholds are calculated by deducting 25% from the corresponding </w:t>
      </w:r>
      <w:smartTag w:uri="urn:schemas-microsoft-com:office:smarttags" w:element="stockticker">
        <w:r w:rsidRPr="000B119F">
          <w:rPr>
            <w:sz w:val="16"/>
            <w:szCs w:val="16"/>
          </w:rPr>
          <w:t>BHC</w:t>
        </w:r>
      </w:smartTag>
      <w:r w:rsidRPr="000B119F">
        <w:rPr>
          <w:sz w:val="16"/>
          <w:szCs w:val="16"/>
        </w:rPr>
        <w:t xml:space="preserve"> threshold as an allowance for housing costs.  Each household’s </w:t>
      </w:r>
      <w:smartTag w:uri="urn:schemas-microsoft-com:office:smarttags" w:element="stockticker">
        <w:r w:rsidRPr="000B119F">
          <w:rPr>
            <w:sz w:val="16"/>
            <w:szCs w:val="16"/>
          </w:rPr>
          <w:t>AHC</w:t>
        </w:r>
      </w:smartTag>
      <w:r w:rsidRPr="000B119F">
        <w:rPr>
          <w:sz w:val="16"/>
          <w:szCs w:val="16"/>
        </w:rPr>
        <w:t xml:space="preserve"> income is then assessed against the chosen threshold.</w:t>
      </w:r>
    </w:p>
    <w:p w:rsidR="00E46063" w:rsidRDefault="00E46063" w:rsidP="00E46063">
      <w:pPr>
        <w:tabs>
          <w:tab w:val="left" w:pos="990"/>
        </w:tabs>
        <w:ind w:left="993" w:right="907" w:hanging="547"/>
        <w:jc w:val="both"/>
        <w:rPr>
          <w:sz w:val="16"/>
          <w:szCs w:val="16"/>
        </w:rPr>
      </w:pPr>
    </w:p>
    <w:p w:rsidR="00E46063" w:rsidRPr="000F1F84" w:rsidRDefault="00E46063" w:rsidP="00E46063">
      <w:pPr>
        <w:tabs>
          <w:tab w:val="left" w:pos="990"/>
        </w:tabs>
        <w:ind w:left="993" w:right="907" w:hanging="547"/>
        <w:jc w:val="both"/>
        <w:rPr>
          <w:color w:val="000000"/>
          <w:sz w:val="16"/>
          <w:szCs w:val="16"/>
        </w:rPr>
      </w:pPr>
      <w:r>
        <w:rPr>
          <w:sz w:val="16"/>
          <w:szCs w:val="16"/>
        </w:rPr>
        <w:tab/>
        <w:t>See the note under Table F.3 for information on the choice of reference year (1998 or 2007) for the CV figures.</w:t>
      </w:r>
    </w:p>
    <w:p w:rsidR="00E46063" w:rsidRPr="006E41BF" w:rsidRDefault="00E46063" w:rsidP="00E46063">
      <w:pPr>
        <w:pStyle w:val="Heading3"/>
        <w:jc w:val="both"/>
        <w:rPr>
          <w:sz w:val="24"/>
          <w:szCs w:val="28"/>
        </w:rPr>
      </w:pPr>
      <w:r>
        <w:rPr>
          <w:sz w:val="24"/>
          <w:szCs w:val="28"/>
        </w:rPr>
        <w:br w:type="page"/>
      </w:r>
      <w:r w:rsidRPr="006E41BF">
        <w:rPr>
          <w:sz w:val="24"/>
          <w:szCs w:val="28"/>
        </w:rPr>
        <w:lastRenderedPageBreak/>
        <w:t>Headline trends for children</w:t>
      </w:r>
    </w:p>
    <w:p w:rsidR="00E46063" w:rsidRPr="006E41BF" w:rsidRDefault="00E46063" w:rsidP="00E46063">
      <w:pPr>
        <w:rPr>
          <w:sz w:val="20"/>
        </w:rPr>
      </w:pPr>
    </w:p>
    <w:p w:rsidR="00E46063" w:rsidRPr="006E41BF" w:rsidRDefault="00E46063" w:rsidP="00E46063">
      <w:pPr>
        <w:rPr>
          <w:sz w:val="20"/>
        </w:rPr>
      </w:pPr>
    </w:p>
    <w:p w:rsidR="00E46063" w:rsidRPr="006E41BF" w:rsidRDefault="00E46063" w:rsidP="00E46063">
      <w:pPr>
        <w:rPr>
          <w:sz w:val="20"/>
          <w:u w:val="single"/>
        </w:rPr>
      </w:pPr>
      <w:r w:rsidRPr="006E41BF">
        <w:rPr>
          <w:sz w:val="20"/>
          <w:u w:val="single"/>
        </w:rPr>
        <w:t>Before Housing Costs (</w:t>
      </w:r>
      <w:smartTag w:uri="urn:schemas-microsoft-com:office:smarttags" w:element="stockticker">
        <w:r w:rsidRPr="006E41BF">
          <w:rPr>
            <w:sz w:val="20"/>
            <w:u w:val="single"/>
          </w:rPr>
          <w:t>BHC</w:t>
        </w:r>
      </w:smartTag>
      <w:r w:rsidRPr="006E41BF">
        <w:rPr>
          <w:sz w:val="20"/>
          <w:u w:val="single"/>
        </w:rPr>
        <w:t>)</w:t>
      </w:r>
    </w:p>
    <w:p w:rsidR="00E46063" w:rsidRPr="006E41BF" w:rsidRDefault="00E46063" w:rsidP="00E46063">
      <w:pPr>
        <w:ind w:left="270"/>
        <w:jc w:val="both"/>
        <w:rPr>
          <w:sz w:val="20"/>
          <w:szCs w:val="22"/>
        </w:rPr>
      </w:pPr>
    </w:p>
    <w:p w:rsidR="00E46063" w:rsidRDefault="00E46063" w:rsidP="00614C04">
      <w:pPr>
        <w:numPr>
          <w:ilvl w:val="0"/>
          <w:numId w:val="50"/>
        </w:numPr>
        <w:tabs>
          <w:tab w:val="clear" w:pos="720"/>
          <w:tab w:val="num" w:pos="540"/>
        </w:tabs>
        <w:ind w:left="540" w:hanging="270"/>
        <w:jc w:val="both"/>
        <w:rPr>
          <w:sz w:val="20"/>
          <w:szCs w:val="22"/>
        </w:rPr>
      </w:pPr>
      <w:r w:rsidRPr="006E41BF">
        <w:rPr>
          <w:sz w:val="20"/>
          <w:szCs w:val="22"/>
        </w:rPr>
        <w:t xml:space="preserve">On </w:t>
      </w:r>
      <w:r>
        <w:rPr>
          <w:sz w:val="20"/>
          <w:szCs w:val="22"/>
        </w:rPr>
        <w:t xml:space="preserve">both the 60% fixed line measure (using 2007 as the reference year), and on the 60% moving line measure, child poverty rates were remained much the same from 2009 to 2011 at around 15% and 19% respectively. </w:t>
      </w:r>
    </w:p>
    <w:p w:rsidR="00E46063" w:rsidRPr="006E41BF" w:rsidRDefault="00E46063" w:rsidP="00614C04">
      <w:pPr>
        <w:numPr>
          <w:ilvl w:val="0"/>
          <w:numId w:val="50"/>
        </w:numPr>
        <w:tabs>
          <w:tab w:val="clear" w:pos="720"/>
          <w:tab w:val="num" w:pos="540"/>
        </w:tabs>
        <w:spacing w:before="120"/>
        <w:ind w:left="548" w:hanging="274"/>
        <w:jc w:val="both"/>
        <w:rPr>
          <w:sz w:val="20"/>
          <w:szCs w:val="22"/>
        </w:rPr>
      </w:pPr>
      <w:r>
        <w:rPr>
          <w:sz w:val="20"/>
          <w:szCs w:val="22"/>
        </w:rPr>
        <w:t>On a longer timescale for the moving line measure:</w:t>
      </w:r>
    </w:p>
    <w:p w:rsidR="00E46063" w:rsidRPr="006E41BF" w:rsidRDefault="00E46063" w:rsidP="00614C04">
      <w:pPr>
        <w:numPr>
          <w:ilvl w:val="0"/>
          <w:numId w:val="52"/>
        </w:numPr>
        <w:tabs>
          <w:tab w:val="clear" w:pos="720"/>
          <w:tab w:val="num" w:pos="1080"/>
        </w:tabs>
        <w:spacing w:before="60"/>
        <w:ind w:left="1080" w:hanging="274"/>
        <w:jc w:val="both"/>
        <w:rPr>
          <w:sz w:val="20"/>
        </w:rPr>
      </w:pPr>
      <w:r w:rsidRPr="006E41BF">
        <w:rPr>
          <w:sz w:val="20"/>
          <w:szCs w:val="22"/>
        </w:rPr>
        <w:t xml:space="preserve">The rise in </w:t>
      </w:r>
      <w:r>
        <w:rPr>
          <w:sz w:val="20"/>
          <w:szCs w:val="22"/>
        </w:rPr>
        <w:t>moving line</w:t>
      </w:r>
      <w:r w:rsidRPr="006E41BF">
        <w:rPr>
          <w:sz w:val="20"/>
          <w:szCs w:val="22"/>
        </w:rPr>
        <w:t xml:space="preserve"> </w:t>
      </w:r>
      <w:r>
        <w:rPr>
          <w:sz w:val="20"/>
          <w:szCs w:val="22"/>
        </w:rPr>
        <w:t xml:space="preserve">child </w:t>
      </w:r>
      <w:r w:rsidRPr="006E41BF">
        <w:rPr>
          <w:sz w:val="20"/>
          <w:szCs w:val="22"/>
        </w:rPr>
        <w:t>poverty rates from 1990 to 1992 was driven by two factors</w:t>
      </w:r>
      <w:r>
        <w:rPr>
          <w:sz w:val="20"/>
          <w:szCs w:val="22"/>
        </w:rPr>
        <w:t>:</w:t>
      </w:r>
      <w:r w:rsidRPr="006E41BF">
        <w:rPr>
          <w:sz w:val="20"/>
          <w:szCs w:val="22"/>
        </w:rPr>
        <w:t xml:space="preserve"> the rise in unemployment, and the 1991 benefit rate cuts which decreased real incomes for beneficiaries by a greater amount than the median fell in the period.  </w:t>
      </w:r>
    </w:p>
    <w:p w:rsidR="00E46063" w:rsidRPr="006E41BF" w:rsidRDefault="00E46063" w:rsidP="00614C04">
      <w:pPr>
        <w:numPr>
          <w:ilvl w:val="0"/>
          <w:numId w:val="52"/>
        </w:numPr>
        <w:tabs>
          <w:tab w:val="clear" w:pos="720"/>
          <w:tab w:val="num" w:pos="1080"/>
        </w:tabs>
        <w:spacing w:before="60"/>
        <w:ind w:left="1080" w:hanging="274"/>
        <w:jc w:val="both"/>
        <w:rPr>
          <w:sz w:val="20"/>
        </w:rPr>
      </w:pPr>
      <w:r w:rsidRPr="006E41BF">
        <w:rPr>
          <w:sz w:val="20"/>
          <w:szCs w:val="22"/>
        </w:rPr>
        <w:t xml:space="preserve">From 1992 to 1998 the </w:t>
      </w:r>
      <w:r>
        <w:rPr>
          <w:sz w:val="20"/>
          <w:szCs w:val="22"/>
        </w:rPr>
        <w:t>60% of median moving line</w:t>
      </w:r>
      <w:r w:rsidRPr="006E41BF">
        <w:rPr>
          <w:sz w:val="20"/>
          <w:szCs w:val="22"/>
        </w:rPr>
        <w:t xml:space="preserve"> poverty rate for children fell as unemployment rates fell</w:t>
      </w:r>
      <w:r>
        <w:rPr>
          <w:sz w:val="20"/>
          <w:szCs w:val="22"/>
        </w:rPr>
        <w:t xml:space="preserve"> and incomes for those around the poverty line rose more quickly than the median in the period.</w:t>
      </w:r>
    </w:p>
    <w:p w:rsidR="00E46063" w:rsidRPr="006E41BF" w:rsidRDefault="00E46063" w:rsidP="00614C04">
      <w:pPr>
        <w:numPr>
          <w:ilvl w:val="0"/>
          <w:numId w:val="52"/>
        </w:numPr>
        <w:tabs>
          <w:tab w:val="clear" w:pos="720"/>
          <w:tab w:val="num" w:pos="1080"/>
        </w:tabs>
        <w:spacing w:before="60"/>
        <w:ind w:left="1080" w:hanging="274"/>
        <w:jc w:val="both"/>
        <w:rPr>
          <w:sz w:val="20"/>
        </w:rPr>
      </w:pPr>
      <w:r>
        <w:rPr>
          <w:sz w:val="20"/>
          <w:szCs w:val="22"/>
        </w:rPr>
        <w:t>From</w:t>
      </w:r>
      <w:r w:rsidRPr="006E41BF">
        <w:rPr>
          <w:sz w:val="20"/>
          <w:szCs w:val="22"/>
        </w:rPr>
        <w:t xml:space="preserve"> 1998 </w:t>
      </w:r>
      <w:r>
        <w:rPr>
          <w:sz w:val="20"/>
          <w:szCs w:val="22"/>
        </w:rPr>
        <w:t xml:space="preserve">the median continued to grow in real terms, but the incomes of </w:t>
      </w:r>
      <w:r w:rsidRPr="006E41BF">
        <w:rPr>
          <w:sz w:val="20"/>
          <w:szCs w:val="22"/>
        </w:rPr>
        <w:t xml:space="preserve">many low-income households with children remained fairly static </w:t>
      </w:r>
      <w:r>
        <w:rPr>
          <w:sz w:val="20"/>
          <w:szCs w:val="22"/>
        </w:rPr>
        <w:t>through to 2004.  This meant that the moving line child poverty rate</w:t>
      </w:r>
      <w:r w:rsidRPr="006E41BF">
        <w:rPr>
          <w:sz w:val="20"/>
          <w:szCs w:val="22"/>
        </w:rPr>
        <w:t xml:space="preserve"> rose</w:t>
      </w:r>
      <w:r>
        <w:rPr>
          <w:sz w:val="20"/>
          <w:szCs w:val="22"/>
        </w:rPr>
        <w:t xml:space="preserve"> to 2004</w:t>
      </w:r>
      <w:r w:rsidRPr="006E41BF">
        <w:rPr>
          <w:sz w:val="20"/>
          <w:szCs w:val="22"/>
        </w:rPr>
        <w:t>, indicating that low-income households with children were on average further from the median in 2004 than in 1998.</w:t>
      </w:r>
    </w:p>
    <w:p w:rsidR="00E46063" w:rsidRDefault="00E46063" w:rsidP="00614C04">
      <w:pPr>
        <w:numPr>
          <w:ilvl w:val="0"/>
          <w:numId w:val="52"/>
        </w:numPr>
        <w:tabs>
          <w:tab w:val="clear" w:pos="720"/>
          <w:tab w:val="num" w:pos="1080"/>
        </w:tabs>
        <w:spacing w:before="60"/>
        <w:ind w:left="1080" w:hanging="274"/>
        <w:jc w:val="both"/>
        <w:rPr>
          <w:sz w:val="20"/>
        </w:rPr>
      </w:pPr>
      <w:r w:rsidRPr="006E41BF">
        <w:rPr>
          <w:sz w:val="20"/>
          <w:szCs w:val="22"/>
        </w:rPr>
        <w:t>From 2004 to 200</w:t>
      </w:r>
      <w:r>
        <w:rPr>
          <w:sz w:val="20"/>
          <w:szCs w:val="22"/>
        </w:rPr>
        <w:t>7</w:t>
      </w:r>
      <w:r w:rsidRPr="006E41BF">
        <w:rPr>
          <w:sz w:val="20"/>
          <w:szCs w:val="22"/>
        </w:rPr>
        <w:t>, this trend was reversed, with rates falling from 26% to 2</w:t>
      </w:r>
      <w:r>
        <w:rPr>
          <w:sz w:val="20"/>
          <w:szCs w:val="22"/>
        </w:rPr>
        <w:t>0% (60% threshold), reflecting the impact of the WFF package which transferred considerable financial support to households with children on low to middle incomes.  As almost all the extra WFF money went to households below the median, the median itself was largely unaffected.</w:t>
      </w:r>
      <w:r>
        <w:rPr>
          <w:rStyle w:val="FootnoteReference"/>
          <w:sz w:val="20"/>
          <w:szCs w:val="22"/>
        </w:rPr>
        <w:footnoteReference w:id="63"/>
      </w:r>
      <w:r>
        <w:rPr>
          <w:sz w:val="20"/>
          <w:szCs w:val="22"/>
        </w:rPr>
        <w:t xml:space="preserve"> </w:t>
      </w:r>
    </w:p>
    <w:p w:rsidR="00E46063" w:rsidRPr="006E41BF" w:rsidRDefault="00E46063" w:rsidP="00614C04">
      <w:pPr>
        <w:numPr>
          <w:ilvl w:val="0"/>
          <w:numId w:val="52"/>
        </w:numPr>
        <w:tabs>
          <w:tab w:val="clear" w:pos="720"/>
          <w:tab w:val="num" w:pos="1080"/>
        </w:tabs>
        <w:spacing w:before="60"/>
        <w:ind w:left="1080" w:hanging="274"/>
        <w:jc w:val="both"/>
        <w:rPr>
          <w:sz w:val="20"/>
        </w:rPr>
      </w:pPr>
      <w:r>
        <w:rPr>
          <w:sz w:val="20"/>
          <w:szCs w:val="22"/>
        </w:rPr>
        <w:t>the 60% and 50% of median BHC m</w:t>
      </w:r>
      <w:r w:rsidRPr="006E41BF">
        <w:rPr>
          <w:sz w:val="20"/>
          <w:szCs w:val="22"/>
        </w:rPr>
        <w:t xml:space="preserve">oving line </w:t>
      </w:r>
      <w:r>
        <w:rPr>
          <w:sz w:val="20"/>
          <w:szCs w:val="22"/>
        </w:rPr>
        <w:t xml:space="preserve">child </w:t>
      </w:r>
      <w:r w:rsidRPr="006E41BF">
        <w:rPr>
          <w:sz w:val="20"/>
          <w:szCs w:val="22"/>
        </w:rPr>
        <w:t>poverty rate</w:t>
      </w:r>
      <w:r>
        <w:rPr>
          <w:sz w:val="20"/>
          <w:szCs w:val="22"/>
        </w:rPr>
        <w:t>s</w:t>
      </w:r>
      <w:r w:rsidRPr="006E41BF">
        <w:rPr>
          <w:sz w:val="20"/>
          <w:szCs w:val="22"/>
        </w:rPr>
        <w:t xml:space="preserve"> in 20</w:t>
      </w:r>
      <w:r>
        <w:rPr>
          <w:sz w:val="20"/>
          <w:szCs w:val="22"/>
        </w:rPr>
        <w:t>11</w:t>
      </w:r>
      <w:r w:rsidRPr="006E41BF">
        <w:rPr>
          <w:sz w:val="20"/>
          <w:szCs w:val="22"/>
        </w:rPr>
        <w:t xml:space="preserve"> w</w:t>
      </w:r>
      <w:r>
        <w:rPr>
          <w:sz w:val="20"/>
          <w:szCs w:val="22"/>
        </w:rPr>
        <w:t>ere</w:t>
      </w:r>
      <w:r w:rsidRPr="006E41BF">
        <w:rPr>
          <w:sz w:val="20"/>
          <w:szCs w:val="22"/>
        </w:rPr>
        <w:t xml:space="preserve"> </w:t>
      </w:r>
      <w:r>
        <w:rPr>
          <w:sz w:val="20"/>
          <w:szCs w:val="22"/>
        </w:rPr>
        <w:t>around the same as</w:t>
      </w:r>
      <w:r w:rsidRPr="006E41BF">
        <w:rPr>
          <w:sz w:val="20"/>
          <w:szCs w:val="22"/>
        </w:rPr>
        <w:t xml:space="preserve"> what </w:t>
      </w:r>
      <w:r>
        <w:rPr>
          <w:sz w:val="20"/>
          <w:szCs w:val="22"/>
        </w:rPr>
        <w:t>they were</w:t>
      </w:r>
      <w:r w:rsidRPr="006E41BF">
        <w:rPr>
          <w:sz w:val="20"/>
          <w:szCs w:val="22"/>
        </w:rPr>
        <w:t xml:space="preserve"> in the 1980s</w:t>
      </w:r>
      <w:r>
        <w:rPr>
          <w:sz w:val="20"/>
          <w:szCs w:val="22"/>
        </w:rPr>
        <w:t xml:space="preserve"> (19-20%, and 11% respectively)</w:t>
      </w:r>
      <w:r w:rsidRPr="006E41BF">
        <w:rPr>
          <w:sz w:val="20"/>
          <w:szCs w:val="22"/>
        </w:rPr>
        <w:t xml:space="preserve">. </w:t>
      </w:r>
    </w:p>
    <w:p w:rsidR="00E46063" w:rsidRDefault="00E46063" w:rsidP="00614C04">
      <w:pPr>
        <w:numPr>
          <w:ilvl w:val="0"/>
          <w:numId w:val="50"/>
        </w:numPr>
        <w:tabs>
          <w:tab w:val="clear" w:pos="720"/>
          <w:tab w:val="num" w:pos="540"/>
        </w:tabs>
        <w:spacing w:before="120"/>
        <w:ind w:left="548" w:hanging="274"/>
        <w:jc w:val="both"/>
        <w:rPr>
          <w:sz w:val="20"/>
          <w:szCs w:val="22"/>
        </w:rPr>
      </w:pPr>
      <w:r>
        <w:rPr>
          <w:sz w:val="20"/>
          <w:szCs w:val="22"/>
        </w:rPr>
        <w:t>On the fixed line measure</w:t>
      </w:r>
      <w:r w:rsidRPr="006E41BF">
        <w:rPr>
          <w:sz w:val="20"/>
          <w:szCs w:val="22"/>
        </w:rPr>
        <w:t>, poverty rates decline when fewer households have incomes below a threshold held fixed in real terms, irrespective of what is happening elsewher</w:t>
      </w:r>
      <w:r>
        <w:rPr>
          <w:sz w:val="20"/>
          <w:szCs w:val="22"/>
        </w:rPr>
        <w:t xml:space="preserve">e in the distribution.  </w:t>
      </w:r>
    </w:p>
    <w:p w:rsidR="00E46063" w:rsidRDefault="00E46063" w:rsidP="00614C04">
      <w:pPr>
        <w:numPr>
          <w:ilvl w:val="0"/>
          <w:numId w:val="69"/>
        </w:numPr>
        <w:tabs>
          <w:tab w:val="clear" w:pos="720"/>
          <w:tab w:val="num" w:pos="1080"/>
        </w:tabs>
        <w:spacing w:before="60"/>
        <w:ind w:left="1080" w:hanging="274"/>
        <w:jc w:val="both"/>
        <w:rPr>
          <w:sz w:val="20"/>
          <w:szCs w:val="22"/>
        </w:rPr>
      </w:pPr>
      <w:r>
        <w:rPr>
          <w:sz w:val="20"/>
          <w:szCs w:val="22"/>
        </w:rPr>
        <w:t xml:space="preserve">Using the </w:t>
      </w:r>
      <w:r w:rsidRPr="006E41BF">
        <w:rPr>
          <w:sz w:val="20"/>
          <w:szCs w:val="22"/>
        </w:rPr>
        <w:t xml:space="preserve">60% </w:t>
      </w:r>
      <w:smartTag w:uri="urn:schemas-microsoft-com:office:smarttags" w:element="stockticker">
        <w:r>
          <w:rPr>
            <w:sz w:val="20"/>
            <w:szCs w:val="22"/>
          </w:rPr>
          <w:t>BHC</w:t>
        </w:r>
      </w:smartTag>
      <w:r>
        <w:rPr>
          <w:sz w:val="20"/>
          <w:szCs w:val="22"/>
        </w:rPr>
        <w:t xml:space="preserve"> fixed line </w:t>
      </w:r>
      <w:r w:rsidRPr="006E41BF">
        <w:rPr>
          <w:sz w:val="20"/>
          <w:szCs w:val="22"/>
        </w:rPr>
        <w:t>threshold</w:t>
      </w:r>
      <w:r>
        <w:rPr>
          <w:sz w:val="20"/>
          <w:szCs w:val="22"/>
        </w:rPr>
        <w:t xml:space="preserve"> (1988 reference year)</w:t>
      </w:r>
      <w:r w:rsidRPr="006E41BF">
        <w:rPr>
          <w:sz w:val="20"/>
          <w:szCs w:val="22"/>
        </w:rPr>
        <w:t xml:space="preserve">, this is what happened from the mid 1990s to 1998 as a result of improving economic conditions, improving employment rates and reducing unemployment.   </w:t>
      </w:r>
    </w:p>
    <w:p w:rsidR="00E46063" w:rsidRPr="006E41BF" w:rsidRDefault="00E46063" w:rsidP="00614C04">
      <w:pPr>
        <w:numPr>
          <w:ilvl w:val="0"/>
          <w:numId w:val="69"/>
        </w:numPr>
        <w:tabs>
          <w:tab w:val="clear" w:pos="720"/>
          <w:tab w:val="num" w:pos="1080"/>
        </w:tabs>
        <w:spacing w:before="60"/>
        <w:ind w:left="1080" w:hanging="274"/>
        <w:jc w:val="both"/>
        <w:rPr>
          <w:sz w:val="20"/>
          <w:szCs w:val="22"/>
        </w:rPr>
      </w:pPr>
      <w:r w:rsidRPr="006E41BF">
        <w:rPr>
          <w:sz w:val="20"/>
          <w:szCs w:val="22"/>
        </w:rPr>
        <w:t>From 1998 to 200</w:t>
      </w:r>
      <w:r>
        <w:rPr>
          <w:sz w:val="20"/>
          <w:szCs w:val="22"/>
        </w:rPr>
        <w:t>4</w:t>
      </w:r>
      <w:r w:rsidRPr="006E41BF">
        <w:rPr>
          <w:sz w:val="20"/>
          <w:szCs w:val="22"/>
        </w:rPr>
        <w:t xml:space="preserve"> child poverty rates using the 60% threshold </w:t>
      </w:r>
      <w:r>
        <w:rPr>
          <w:sz w:val="20"/>
          <w:szCs w:val="22"/>
        </w:rPr>
        <w:t>remained reasonably steady at 19 to 22%.</w:t>
      </w:r>
    </w:p>
    <w:p w:rsidR="00E46063" w:rsidRPr="006E41BF" w:rsidRDefault="00E46063" w:rsidP="00614C04">
      <w:pPr>
        <w:numPr>
          <w:ilvl w:val="0"/>
          <w:numId w:val="69"/>
        </w:numPr>
        <w:tabs>
          <w:tab w:val="clear" w:pos="720"/>
          <w:tab w:val="num" w:pos="1080"/>
        </w:tabs>
        <w:spacing w:before="60"/>
        <w:ind w:left="1080" w:hanging="274"/>
        <w:jc w:val="both"/>
        <w:rPr>
          <w:sz w:val="20"/>
          <w:szCs w:val="22"/>
        </w:rPr>
      </w:pPr>
      <w:r w:rsidRPr="006E41BF">
        <w:rPr>
          <w:sz w:val="20"/>
          <w:szCs w:val="22"/>
        </w:rPr>
        <w:t>From 2004 to 200</w:t>
      </w:r>
      <w:r>
        <w:rPr>
          <w:sz w:val="20"/>
          <w:szCs w:val="22"/>
        </w:rPr>
        <w:t>7</w:t>
      </w:r>
      <w:r w:rsidRPr="006E41BF">
        <w:rPr>
          <w:sz w:val="20"/>
          <w:szCs w:val="22"/>
        </w:rPr>
        <w:t>, the poverty rate fell</w:t>
      </w:r>
      <w:r>
        <w:rPr>
          <w:sz w:val="20"/>
          <w:szCs w:val="22"/>
        </w:rPr>
        <w:t xml:space="preserve"> strongly</w:t>
      </w:r>
      <w:r w:rsidRPr="006E41BF">
        <w:rPr>
          <w:sz w:val="20"/>
          <w:szCs w:val="22"/>
        </w:rPr>
        <w:t xml:space="preserve"> </w:t>
      </w:r>
      <w:r>
        <w:rPr>
          <w:sz w:val="20"/>
          <w:szCs w:val="22"/>
        </w:rPr>
        <w:t>from 19% to 13% - the WFF impact.</w:t>
      </w:r>
      <w:r w:rsidRPr="006E41BF">
        <w:rPr>
          <w:sz w:val="20"/>
          <w:szCs w:val="22"/>
        </w:rPr>
        <w:t xml:space="preserve"> </w:t>
      </w:r>
    </w:p>
    <w:p w:rsidR="00E46063" w:rsidRDefault="00E46063" w:rsidP="00E46063">
      <w:pPr>
        <w:rPr>
          <w:sz w:val="20"/>
          <w:u w:val="single"/>
        </w:rPr>
      </w:pPr>
    </w:p>
    <w:p w:rsidR="00E46063" w:rsidRPr="006E41BF" w:rsidRDefault="00E46063" w:rsidP="00E46063">
      <w:pPr>
        <w:rPr>
          <w:sz w:val="20"/>
          <w:u w:val="single"/>
        </w:rPr>
      </w:pPr>
      <w:r w:rsidRPr="006E41BF">
        <w:rPr>
          <w:sz w:val="20"/>
          <w:u w:val="single"/>
        </w:rPr>
        <w:t>After Housing Costs (</w:t>
      </w:r>
      <w:smartTag w:uri="urn:schemas-microsoft-com:office:smarttags" w:element="stockticker">
        <w:r w:rsidRPr="006E41BF">
          <w:rPr>
            <w:sz w:val="20"/>
            <w:u w:val="single"/>
          </w:rPr>
          <w:t>AHC</w:t>
        </w:r>
      </w:smartTag>
      <w:r w:rsidRPr="006E41BF">
        <w:rPr>
          <w:sz w:val="20"/>
          <w:u w:val="single"/>
        </w:rPr>
        <w:t>)</w:t>
      </w:r>
    </w:p>
    <w:p w:rsidR="00E46063" w:rsidRDefault="00E46063" w:rsidP="00E46063">
      <w:pPr>
        <w:ind w:left="274"/>
        <w:jc w:val="both"/>
        <w:rPr>
          <w:sz w:val="20"/>
          <w:szCs w:val="22"/>
        </w:rPr>
      </w:pPr>
    </w:p>
    <w:p w:rsidR="00E46063" w:rsidRPr="005F1335" w:rsidRDefault="00E46063" w:rsidP="00E46063">
      <w:pPr>
        <w:numPr>
          <w:ilvl w:val="0"/>
          <w:numId w:val="16"/>
        </w:numPr>
        <w:tabs>
          <w:tab w:val="clear" w:pos="1080"/>
          <w:tab w:val="num" w:pos="540"/>
        </w:tabs>
        <w:ind w:left="540" w:hanging="270"/>
        <w:jc w:val="both"/>
        <w:rPr>
          <w:rFonts w:cs="Arial"/>
          <w:sz w:val="20"/>
        </w:rPr>
      </w:pPr>
      <w:r>
        <w:rPr>
          <w:rFonts w:cs="Arial"/>
          <w:sz w:val="20"/>
        </w:rPr>
        <w:t>On the</w:t>
      </w:r>
      <w:r w:rsidRPr="005F1335">
        <w:rPr>
          <w:rFonts w:cs="Arial"/>
          <w:sz w:val="20"/>
        </w:rPr>
        <w:t xml:space="preserve"> </w:t>
      </w:r>
      <w:smartTag w:uri="urn:schemas-microsoft-com:office:smarttags" w:element="stockticker">
        <w:r w:rsidRPr="005F1335">
          <w:rPr>
            <w:rFonts w:cs="Arial"/>
            <w:sz w:val="20"/>
          </w:rPr>
          <w:t>AHC</w:t>
        </w:r>
      </w:smartTag>
      <w:r w:rsidRPr="005F1335">
        <w:rPr>
          <w:rFonts w:cs="Arial"/>
          <w:sz w:val="20"/>
        </w:rPr>
        <w:t xml:space="preserve"> fixed line measure, the child poverty rate fell </w:t>
      </w:r>
      <w:r>
        <w:rPr>
          <w:rFonts w:cs="Arial"/>
          <w:sz w:val="20"/>
        </w:rPr>
        <w:t xml:space="preserve">significantly </w:t>
      </w:r>
      <w:r w:rsidRPr="005F1335">
        <w:rPr>
          <w:rFonts w:cs="Arial"/>
          <w:sz w:val="20"/>
        </w:rPr>
        <w:t>from 1994 to 2007, but plateaued from 2007 to 20</w:t>
      </w:r>
      <w:r>
        <w:rPr>
          <w:rFonts w:cs="Arial"/>
          <w:sz w:val="20"/>
        </w:rPr>
        <w:t>11 at 21-22%.</w:t>
      </w:r>
    </w:p>
    <w:p w:rsidR="00E46063" w:rsidRPr="005F1335" w:rsidRDefault="00E46063" w:rsidP="00E46063">
      <w:pPr>
        <w:numPr>
          <w:ilvl w:val="0"/>
          <w:numId w:val="16"/>
        </w:numPr>
        <w:tabs>
          <w:tab w:val="clear" w:pos="1080"/>
          <w:tab w:val="num" w:pos="540"/>
        </w:tabs>
        <w:spacing w:before="120"/>
        <w:ind w:left="540" w:hanging="270"/>
        <w:jc w:val="both"/>
        <w:rPr>
          <w:rFonts w:cs="Arial"/>
          <w:sz w:val="20"/>
        </w:rPr>
      </w:pPr>
      <w:r>
        <w:rPr>
          <w:rFonts w:cs="Arial"/>
          <w:sz w:val="20"/>
        </w:rPr>
        <w:t xml:space="preserve">Child poverty rates on this measure did not change from 2007 to 2011 as </w:t>
      </w:r>
      <w:smartTag w:uri="urn:schemas-microsoft-com:office:smarttags" w:element="stockticker">
        <w:r w:rsidRPr="005F1335">
          <w:rPr>
            <w:rFonts w:cs="Arial"/>
            <w:sz w:val="20"/>
          </w:rPr>
          <w:t>BHC</w:t>
        </w:r>
      </w:smartTag>
      <w:r>
        <w:rPr>
          <w:rFonts w:cs="Arial"/>
          <w:sz w:val="20"/>
        </w:rPr>
        <w:t xml:space="preserve"> incomes had a net increase for low-</w:t>
      </w:r>
      <w:r w:rsidRPr="005F1335">
        <w:rPr>
          <w:rFonts w:cs="Arial"/>
          <w:sz w:val="20"/>
        </w:rPr>
        <w:t>income house</w:t>
      </w:r>
      <w:r>
        <w:rPr>
          <w:rFonts w:cs="Arial"/>
          <w:sz w:val="20"/>
        </w:rPr>
        <w:t xml:space="preserve">holds with children, but </w:t>
      </w:r>
      <w:r w:rsidRPr="005F1335">
        <w:rPr>
          <w:rFonts w:cs="Arial"/>
          <w:sz w:val="20"/>
        </w:rPr>
        <w:t>housing costs rose</w:t>
      </w:r>
      <w:r>
        <w:rPr>
          <w:rFonts w:cs="Arial"/>
          <w:sz w:val="20"/>
        </w:rPr>
        <w:t xml:space="preserve"> for these households</w:t>
      </w:r>
      <w:r w:rsidRPr="005F1335">
        <w:rPr>
          <w:rFonts w:cs="Arial"/>
          <w:sz w:val="20"/>
        </w:rPr>
        <w:t xml:space="preserve"> – these two factors cancelled each other out </w:t>
      </w:r>
      <w:r>
        <w:rPr>
          <w:rFonts w:cs="Arial"/>
          <w:sz w:val="20"/>
        </w:rPr>
        <w:t>to give the ‘no change’ finding.</w:t>
      </w:r>
    </w:p>
    <w:p w:rsidR="00E46063" w:rsidRDefault="00E46063" w:rsidP="00E46063">
      <w:pPr>
        <w:numPr>
          <w:ilvl w:val="0"/>
          <w:numId w:val="16"/>
        </w:numPr>
        <w:tabs>
          <w:tab w:val="clear" w:pos="1080"/>
          <w:tab w:val="num" w:pos="540"/>
        </w:tabs>
        <w:spacing w:before="120"/>
        <w:ind w:left="540" w:hanging="270"/>
        <w:jc w:val="both"/>
        <w:rPr>
          <w:rFonts w:cs="Arial"/>
          <w:sz w:val="20"/>
        </w:rPr>
      </w:pPr>
      <w:r>
        <w:rPr>
          <w:rFonts w:cs="Arial"/>
          <w:sz w:val="20"/>
        </w:rPr>
        <w:t>On</w:t>
      </w:r>
      <w:r w:rsidRPr="005F1335">
        <w:rPr>
          <w:rFonts w:cs="Arial"/>
          <w:sz w:val="20"/>
        </w:rPr>
        <w:t xml:space="preserve"> the </w:t>
      </w:r>
      <w:smartTag w:uri="urn:schemas-microsoft-com:office:smarttags" w:element="stockticker">
        <w:r w:rsidRPr="005F1335">
          <w:rPr>
            <w:rFonts w:cs="Arial"/>
            <w:sz w:val="20"/>
          </w:rPr>
          <w:t>AHC</w:t>
        </w:r>
      </w:smartTag>
      <w:r w:rsidRPr="005F1335">
        <w:rPr>
          <w:rFonts w:cs="Arial"/>
          <w:sz w:val="20"/>
        </w:rPr>
        <w:t xml:space="preserve"> moving line measure, the child poverty rate increased from 2007 (22%) to 20</w:t>
      </w:r>
      <w:r>
        <w:rPr>
          <w:rFonts w:cs="Arial"/>
          <w:sz w:val="20"/>
        </w:rPr>
        <w:t>10</w:t>
      </w:r>
      <w:r w:rsidRPr="005F1335">
        <w:rPr>
          <w:rFonts w:cs="Arial"/>
          <w:sz w:val="20"/>
        </w:rPr>
        <w:t xml:space="preserve"> (2</w:t>
      </w:r>
      <w:r>
        <w:rPr>
          <w:rFonts w:cs="Arial"/>
          <w:sz w:val="20"/>
        </w:rPr>
        <w:t xml:space="preserve">6%) and 2011 (25%).  The overall </w:t>
      </w:r>
      <w:smartTag w:uri="urn:schemas-microsoft-com:office:smarttags" w:element="stockticker">
        <w:r>
          <w:rPr>
            <w:rFonts w:cs="Arial"/>
            <w:sz w:val="20"/>
          </w:rPr>
          <w:t>AHC</w:t>
        </w:r>
      </w:smartTag>
      <w:r>
        <w:rPr>
          <w:rFonts w:cs="Arial"/>
          <w:sz w:val="20"/>
        </w:rPr>
        <w:t xml:space="preserve"> median grew more strongly in the period than did </w:t>
      </w:r>
      <w:smartTag w:uri="urn:schemas-microsoft-com:office:smarttags" w:element="stockticker">
        <w:r>
          <w:rPr>
            <w:rFonts w:cs="Arial"/>
            <w:sz w:val="20"/>
          </w:rPr>
          <w:t>AHC</w:t>
        </w:r>
      </w:smartTag>
      <w:r>
        <w:rPr>
          <w:rFonts w:cs="Arial"/>
          <w:sz w:val="20"/>
        </w:rPr>
        <w:t xml:space="preserve"> incomes for low-income households with children</w:t>
      </w:r>
      <w:r w:rsidR="00BF0E46">
        <w:rPr>
          <w:rFonts w:cs="Arial"/>
          <w:sz w:val="20"/>
        </w:rPr>
        <w:t>.</w:t>
      </w:r>
    </w:p>
    <w:p w:rsidR="00E46063" w:rsidRPr="00BF3885" w:rsidRDefault="00E46063" w:rsidP="00E46063">
      <w:pPr>
        <w:jc w:val="both"/>
        <w:rPr>
          <w:rFonts w:cs="Arial"/>
          <w:sz w:val="20"/>
          <w:u w:val="single"/>
        </w:rPr>
      </w:pPr>
      <w:r>
        <w:rPr>
          <w:rFonts w:cs="Arial"/>
          <w:sz w:val="20"/>
        </w:rPr>
        <w:br w:type="page"/>
      </w:r>
      <w:r w:rsidRPr="00BF3885">
        <w:rPr>
          <w:rFonts w:cs="Arial"/>
          <w:sz w:val="20"/>
          <w:u w:val="single"/>
        </w:rPr>
        <w:lastRenderedPageBreak/>
        <w:t>Housing costs and the longer-run trends in child poverty (1982 to 2007, 2007 to 20</w:t>
      </w:r>
      <w:r>
        <w:rPr>
          <w:rFonts w:cs="Arial"/>
          <w:sz w:val="20"/>
          <w:u w:val="single"/>
        </w:rPr>
        <w:t>11</w:t>
      </w:r>
      <w:r w:rsidRPr="00BF3885">
        <w:rPr>
          <w:rFonts w:cs="Arial"/>
          <w:sz w:val="20"/>
          <w:u w:val="single"/>
        </w:rPr>
        <w:t>)</w:t>
      </w:r>
    </w:p>
    <w:p w:rsidR="00E46063" w:rsidRPr="009442B8" w:rsidRDefault="00E46063" w:rsidP="00E46063">
      <w:pPr>
        <w:ind w:left="720"/>
        <w:jc w:val="both"/>
        <w:rPr>
          <w:rFonts w:cs="Arial"/>
          <w:sz w:val="20"/>
          <w:u w:val="single"/>
        </w:rPr>
      </w:pPr>
    </w:p>
    <w:p w:rsidR="00E46063" w:rsidRDefault="00E46063" w:rsidP="00E46063">
      <w:pPr>
        <w:numPr>
          <w:ilvl w:val="0"/>
          <w:numId w:val="16"/>
        </w:numPr>
        <w:tabs>
          <w:tab w:val="clear" w:pos="1080"/>
          <w:tab w:val="num" w:pos="540"/>
        </w:tabs>
        <w:ind w:left="540" w:hanging="270"/>
        <w:jc w:val="both"/>
        <w:rPr>
          <w:rFonts w:cs="Arial"/>
          <w:sz w:val="20"/>
        </w:rPr>
      </w:pPr>
      <w:r>
        <w:rPr>
          <w:sz w:val="20"/>
          <w:szCs w:val="22"/>
        </w:rPr>
        <w:t xml:space="preserve">The </w:t>
      </w:r>
      <w:smartTag w:uri="urn:schemas-microsoft-com:office:smarttags" w:element="stockticker">
        <w:r>
          <w:rPr>
            <w:sz w:val="20"/>
            <w:szCs w:val="22"/>
          </w:rPr>
          <w:t>BHC</w:t>
        </w:r>
      </w:smartTag>
      <w:r>
        <w:rPr>
          <w:sz w:val="20"/>
          <w:szCs w:val="22"/>
        </w:rPr>
        <w:t xml:space="preserve"> 60% fixed line child poverty rate was much lower in 2007 than what it was in the 1980s, and the </w:t>
      </w:r>
      <w:smartTag w:uri="urn:schemas-microsoft-com:office:smarttags" w:element="stockticker">
        <w:r>
          <w:rPr>
            <w:sz w:val="20"/>
            <w:szCs w:val="22"/>
          </w:rPr>
          <w:t>BHC</w:t>
        </w:r>
      </w:smartTag>
      <w:r>
        <w:rPr>
          <w:sz w:val="20"/>
          <w:szCs w:val="22"/>
        </w:rPr>
        <w:t xml:space="preserve"> moving line rates were around the same in 2007 as in the 1980s.</w:t>
      </w:r>
      <w:r w:rsidRPr="006E41BF">
        <w:rPr>
          <w:sz w:val="20"/>
          <w:szCs w:val="22"/>
        </w:rPr>
        <w:t xml:space="preserve"> </w:t>
      </w:r>
      <w:r>
        <w:rPr>
          <w:sz w:val="20"/>
          <w:szCs w:val="22"/>
        </w:rPr>
        <w:t xml:space="preserve"> The </w:t>
      </w:r>
      <w:smartTag w:uri="urn:schemas-microsoft-com:office:smarttags" w:element="stockticker">
        <w:r>
          <w:rPr>
            <w:sz w:val="20"/>
            <w:szCs w:val="22"/>
          </w:rPr>
          <w:t>AHC</w:t>
        </w:r>
      </w:smartTag>
      <w:r>
        <w:rPr>
          <w:sz w:val="20"/>
          <w:szCs w:val="22"/>
        </w:rPr>
        <w:t xml:space="preserve"> long-run trends are quite different: the fixed line poverty rate in 2007 was around the same as in the 1980s, and the moving line rate in 2007 was much higher than in the 1980s. </w:t>
      </w:r>
    </w:p>
    <w:p w:rsidR="00E46063" w:rsidRPr="009442B8" w:rsidRDefault="00E46063" w:rsidP="00E46063">
      <w:pPr>
        <w:numPr>
          <w:ilvl w:val="0"/>
          <w:numId w:val="16"/>
        </w:numPr>
        <w:tabs>
          <w:tab w:val="clear" w:pos="1080"/>
          <w:tab w:val="num" w:pos="540"/>
        </w:tabs>
        <w:spacing w:before="120"/>
        <w:ind w:left="540" w:hanging="270"/>
        <w:jc w:val="both"/>
        <w:rPr>
          <w:rFonts w:cs="Arial"/>
          <w:sz w:val="20"/>
        </w:rPr>
      </w:pPr>
      <w:r w:rsidRPr="006E41BF">
        <w:rPr>
          <w:sz w:val="20"/>
          <w:szCs w:val="22"/>
        </w:rPr>
        <w:t xml:space="preserve">A key factor in explaining the </w:t>
      </w:r>
      <w:r>
        <w:rPr>
          <w:sz w:val="20"/>
          <w:szCs w:val="22"/>
        </w:rPr>
        <w:t xml:space="preserve">longer-term </w:t>
      </w:r>
      <w:r w:rsidRPr="006E41BF">
        <w:rPr>
          <w:sz w:val="20"/>
          <w:szCs w:val="22"/>
        </w:rPr>
        <w:t>differences</w:t>
      </w:r>
      <w:r>
        <w:rPr>
          <w:sz w:val="20"/>
          <w:szCs w:val="22"/>
        </w:rPr>
        <w:t xml:space="preserve"> between </w:t>
      </w:r>
      <w:smartTag w:uri="urn:schemas-microsoft-com:office:smarttags" w:element="stockticker">
        <w:r>
          <w:rPr>
            <w:sz w:val="20"/>
            <w:szCs w:val="22"/>
          </w:rPr>
          <w:t>AHC</w:t>
        </w:r>
      </w:smartTag>
      <w:r>
        <w:rPr>
          <w:sz w:val="20"/>
          <w:szCs w:val="22"/>
        </w:rPr>
        <w:t xml:space="preserve"> and </w:t>
      </w:r>
      <w:smartTag w:uri="urn:schemas-microsoft-com:office:smarttags" w:element="stockticker">
        <w:r>
          <w:rPr>
            <w:sz w:val="20"/>
            <w:szCs w:val="22"/>
          </w:rPr>
          <w:t>BHC</w:t>
        </w:r>
      </w:smartTag>
      <w:r>
        <w:rPr>
          <w:sz w:val="20"/>
          <w:szCs w:val="22"/>
        </w:rPr>
        <w:t xml:space="preserve"> rates</w:t>
      </w:r>
      <w:r w:rsidRPr="006E41BF">
        <w:rPr>
          <w:sz w:val="20"/>
          <w:szCs w:val="22"/>
        </w:rPr>
        <w:t xml:space="preserve"> is that housing costs in 200</w:t>
      </w:r>
      <w:r>
        <w:rPr>
          <w:sz w:val="20"/>
          <w:szCs w:val="22"/>
        </w:rPr>
        <w:t>7</w:t>
      </w:r>
      <w:r w:rsidRPr="006E41BF">
        <w:rPr>
          <w:sz w:val="20"/>
          <w:szCs w:val="22"/>
        </w:rPr>
        <w:t xml:space="preserve"> on average made up a higher proportion of household expenditure for low-income households than they did in the 1980s.  For example, in 1988 1</w:t>
      </w:r>
      <w:r>
        <w:rPr>
          <w:sz w:val="20"/>
          <w:szCs w:val="22"/>
        </w:rPr>
        <w:t>7</w:t>
      </w:r>
      <w:r w:rsidRPr="006E41BF">
        <w:rPr>
          <w:sz w:val="20"/>
          <w:szCs w:val="22"/>
        </w:rPr>
        <w:t xml:space="preserve">% of </w:t>
      </w:r>
      <w:r>
        <w:rPr>
          <w:sz w:val="20"/>
          <w:szCs w:val="22"/>
        </w:rPr>
        <w:t xml:space="preserve">those in the bottom quintile lived in </w:t>
      </w:r>
      <w:r w:rsidRPr="006E41BF">
        <w:rPr>
          <w:sz w:val="20"/>
          <w:szCs w:val="22"/>
        </w:rPr>
        <w:t xml:space="preserve">households </w:t>
      </w:r>
      <w:r>
        <w:rPr>
          <w:sz w:val="20"/>
          <w:szCs w:val="22"/>
        </w:rPr>
        <w:t>that</w:t>
      </w:r>
      <w:r w:rsidRPr="006E41BF">
        <w:rPr>
          <w:sz w:val="20"/>
          <w:szCs w:val="22"/>
        </w:rPr>
        <w:t xml:space="preserve"> spent more than 30% of their income on housing.  In 200</w:t>
      </w:r>
      <w:r>
        <w:rPr>
          <w:sz w:val="20"/>
          <w:szCs w:val="22"/>
        </w:rPr>
        <w:t>7</w:t>
      </w:r>
      <w:r w:rsidRPr="006E41BF">
        <w:rPr>
          <w:sz w:val="20"/>
          <w:szCs w:val="22"/>
        </w:rPr>
        <w:t xml:space="preserve"> there were </w:t>
      </w:r>
      <w:r>
        <w:rPr>
          <w:sz w:val="20"/>
          <w:szCs w:val="22"/>
        </w:rPr>
        <w:t>39%</w:t>
      </w:r>
      <w:r w:rsidRPr="006E41BF">
        <w:rPr>
          <w:sz w:val="20"/>
          <w:szCs w:val="22"/>
        </w:rPr>
        <w:t xml:space="preserve">, after peaking at </w:t>
      </w:r>
      <w:r>
        <w:rPr>
          <w:sz w:val="20"/>
          <w:szCs w:val="22"/>
        </w:rPr>
        <w:t>52</w:t>
      </w:r>
      <w:r w:rsidRPr="006E41BF">
        <w:rPr>
          <w:sz w:val="20"/>
          <w:szCs w:val="22"/>
        </w:rPr>
        <w:t>% in 1994.</w:t>
      </w:r>
    </w:p>
    <w:p w:rsidR="00E46063" w:rsidRDefault="00E46063" w:rsidP="00E46063">
      <w:pPr>
        <w:numPr>
          <w:ilvl w:val="0"/>
          <w:numId w:val="16"/>
        </w:numPr>
        <w:tabs>
          <w:tab w:val="clear" w:pos="1080"/>
          <w:tab w:val="num" w:pos="540"/>
        </w:tabs>
        <w:spacing w:before="120"/>
        <w:ind w:left="540" w:hanging="270"/>
        <w:jc w:val="both"/>
        <w:rPr>
          <w:rFonts w:cs="Arial"/>
          <w:sz w:val="20"/>
        </w:rPr>
      </w:pPr>
      <w:r>
        <w:rPr>
          <w:rFonts w:cs="Arial"/>
          <w:sz w:val="20"/>
        </w:rPr>
        <w:t>T</w:t>
      </w:r>
      <w:r w:rsidRPr="005F1335">
        <w:rPr>
          <w:rFonts w:cs="Arial"/>
          <w:sz w:val="20"/>
        </w:rPr>
        <w:t xml:space="preserve">he longer-run </w:t>
      </w:r>
      <w:smartTag w:uri="urn:schemas-microsoft-com:office:smarttags" w:element="stockticker">
        <w:r>
          <w:rPr>
            <w:rFonts w:cs="Arial"/>
            <w:sz w:val="20"/>
          </w:rPr>
          <w:t>AHC</w:t>
        </w:r>
      </w:smartTag>
      <w:r>
        <w:rPr>
          <w:rFonts w:cs="Arial"/>
          <w:sz w:val="20"/>
        </w:rPr>
        <w:t xml:space="preserve"> </w:t>
      </w:r>
      <w:r w:rsidRPr="005F1335">
        <w:rPr>
          <w:rFonts w:cs="Arial"/>
          <w:sz w:val="20"/>
        </w:rPr>
        <w:t xml:space="preserve">findings on child poverty reflect the fact that </w:t>
      </w:r>
      <w:smartTag w:uri="urn:schemas-microsoft-com:office:smarttags" w:element="stockticker">
        <w:r w:rsidRPr="005F1335">
          <w:rPr>
            <w:rFonts w:cs="Arial"/>
            <w:sz w:val="20"/>
          </w:rPr>
          <w:t>AHC</w:t>
        </w:r>
      </w:smartTag>
      <w:r w:rsidRPr="005F1335">
        <w:rPr>
          <w:rFonts w:cs="Arial"/>
          <w:sz w:val="20"/>
        </w:rPr>
        <w:t xml:space="preserve"> incomes in 200</w:t>
      </w:r>
      <w:r>
        <w:rPr>
          <w:rFonts w:cs="Arial"/>
          <w:sz w:val="20"/>
        </w:rPr>
        <w:t>7</w:t>
      </w:r>
      <w:r w:rsidRPr="005F1335">
        <w:rPr>
          <w:rFonts w:cs="Arial"/>
          <w:sz w:val="20"/>
        </w:rPr>
        <w:t xml:space="preserve"> for low-income households were around the same as they were in the early 1980s in real terms</w:t>
      </w:r>
      <w:r>
        <w:rPr>
          <w:rFonts w:cs="Arial"/>
          <w:sz w:val="20"/>
        </w:rPr>
        <w:t xml:space="preserve"> (so the fixed line child poverty rates are around the same in 2007 as in the 1980s),</w:t>
      </w:r>
      <w:r w:rsidRPr="005F1335">
        <w:rPr>
          <w:rFonts w:cs="Arial"/>
          <w:sz w:val="20"/>
        </w:rPr>
        <w:t xml:space="preserve"> but that relative to the median, the inco</w:t>
      </w:r>
      <w:r>
        <w:rPr>
          <w:rFonts w:cs="Arial"/>
          <w:sz w:val="20"/>
        </w:rPr>
        <w:t>mes of lower-</w:t>
      </w:r>
      <w:r w:rsidRPr="005F1335">
        <w:rPr>
          <w:rFonts w:cs="Arial"/>
          <w:sz w:val="20"/>
        </w:rPr>
        <w:t>income households with children had fallen away (</w:t>
      </w:r>
      <w:r>
        <w:rPr>
          <w:rFonts w:cs="Arial"/>
          <w:sz w:val="20"/>
        </w:rPr>
        <w:t>leading to higher moving line poverty rates</w:t>
      </w:r>
      <w:r w:rsidRPr="005F1335">
        <w:rPr>
          <w:rFonts w:cs="Arial"/>
          <w:sz w:val="20"/>
        </w:rPr>
        <w:t>)</w:t>
      </w:r>
      <w:r>
        <w:rPr>
          <w:rFonts w:cs="Arial"/>
          <w:sz w:val="20"/>
        </w:rPr>
        <w:t>.</w:t>
      </w:r>
    </w:p>
    <w:p w:rsidR="00E46063" w:rsidRDefault="00E46063" w:rsidP="00E46063">
      <w:pPr>
        <w:numPr>
          <w:ilvl w:val="0"/>
          <w:numId w:val="16"/>
        </w:numPr>
        <w:tabs>
          <w:tab w:val="clear" w:pos="1080"/>
          <w:tab w:val="num" w:pos="540"/>
        </w:tabs>
        <w:spacing w:before="120"/>
        <w:ind w:left="540" w:hanging="270"/>
        <w:jc w:val="both"/>
        <w:rPr>
          <w:rFonts w:cs="Arial"/>
          <w:sz w:val="20"/>
        </w:rPr>
      </w:pPr>
      <w:r>
        <w:rPr>
          <w:sz w:val="20"/>
          <w:szCs w:val="22"/>
        </w:rPr>
        <w:t>Both t</w:t>
      </w:r>
      <w:r w:rsidRPr="006E41BF">
        <w:rPr>
          <w:sz w:val="20"/>
          <w:szCs w:val="22"/>
        </w:rPr>
        <w:t>he income-related rental policies introduced in 2000</w:t>
      </w:r>
      <w:r>
        <w:rPr>
          <w:sz w:val="20"/>
          <w:szCs w:val="22"/>
        </w:rPr>
        <w:t xml:space="preserve"> for those in HNZC houses</w:t>
      </w:r>
      <w:r w:rsidRPr="006E41BF">
        <w:rPr>
          <w:sz w:val="20"/>
          <w:szCs w:val="22"/>
        </w:rPr>
        <w:t xml:space="preserve"> and changes to the Accommodation Supplement settings in </w:t>
      </w:r>
      <w:r>
        <w:rPr>
          <w:sz w:val="20"/>
          <w:szCs w:val="22"/>
        </w:rPr>
        <w:t>the mid 2000s</w:t>
      </w:r>
      <w:r w:rsidRPr="006E41BF">
        <w:rPr>
          <w:sz w:val="20"/>
          <w:szCs w:val="22"/>
        </w:rPr>
        <w:t xml:space="preserve"> helped to reduce net housing expenditure for some low-income households compared to what it would have been.  This support contributed to the reductions in child poverty as measured on an </w:t>
      </w:r>
      <w:smartTag w:uri="urn:schemas-microsoft-com:office:smarttags" w:element="stockticker">
        <w:r w:rsidRPr="006E41BF">
          <w:rPr>
            <w:sz w:val="20"/>
            <w:szCs w:val="22"/>
          </w:rPr>
          <w:t>AHC</w:t>
        </w:r>
      </w:smartTag>
      <w:r w:rsidRPr="006E41BF">
        <w:rPr>
          <w:sz w:val="20"/>
          <w:szCs w:val="22"/>
        </w:rPr>
        <w:t xml:space="preserve"> approach from 2001 to 2007. </w:t>
      </w:r>
      <w:r>
        <w:rPr>
          <w:sz w:val="20"/>
          <w:szCs w:val="22"/>
        </w:rPr>
        <w:t xml:space="preserve">  </w:t>
      </w:r>
    </w:p>
    <w:p w:rsidR="00E46063" w:rsidRDefault="00E46063" w:rsidP="00E46063">
      <w:pPr>
        <w:numPr>
          <w:ilvl w:val="0"/>
          <w:numId w:val="16"/>
        </w:numPr>
        <w:tabs>
          <w:tab w:val="clear" w:pos="1080"/>
          <w:tab w:val="num" w:pos="540"/>
        </w:tabs>
        <w:spacing w:before="120"/>
        <w:ind w:left="540" w:hanging="270"/>
        <w:jc w:val="both"/>
        <w:rPr>
          <w:rFonts w:cs="Arial"/>
          <w:sz w:val="20"/>
        </w:rPr>
      </w:pPr>
      <w:r w:rsidRPr="00F75E80">
        <w:rPr>
          <w:color w:val="000000"/>
          <w:sz w:val="20"/>
          <w:szCs w:val="22"/>
        </w:rPr>
        <w:t>There were no further policy changes</w:t>
      </w:r>
      <w:r>
        <w:rPr>
          <w:color w:val="000000"/>
          <w:sz w:val="20"/>
          <w:szCs w:val="22"/>
        </w:rPr>
        <w:t xml:space="preserve"> to housing assistance</w:t>
      </w:r>
      <w:r w:rsidRPr="00F75E80">
        <w:rPr>
          <w:color w:val="000000"/>
          <w:sz w:val="20"/>
          <w:szCs w:val="22"/>
        </w:rPr>
        <w:t xml:space="preserve"> from 2007 to 20</w:t>
      </w:r>
      <w:r>
        <w:rPr>
          <w:color w:val="000000"/>
          <w:sz w:val="20"/>
          <w:szCs w:val="22"/>
        </w:rPr>
        <w:t>09 (22% to 25% on the 60% of median measure) -</w:t>
      </w:r>
      <w:r w:rsidRPr="00F75E80">
        <w:rPr>
          <w:color w:val="000000"/>
          <w:sz w:val="20"/>
          <w:szCs w:val="22"/>
        </w:rPr>
        <w:t xml:space="preserve"> </w:t>
      </w:r>
      <w:r w:rsidRPr="00F75E80">
        <w:rPr>
          <w:rFonts w:cs="Arial"/>
          <w:color w:val="000000"/>
          <w:sz w:val="20"/>
        </w:rPr>
        <w:t>the maximum rates of assistance remained fixed and did not move in line with movements in housing costs,</w:t>
      </w:r>
      <w:r w:rsidRPr="00F75E80">
        <w:rPr>
          <w:color w:val="000000"/>
          <w:sz w:val="20"/>
          <w:szCs w:val="22"/>
        </w:rPr>
        <w:t xml:space="preserve"> and net housing expenditure rose </w:t>
      </w:r>
      <w:r>
        <w:rPr>
          <w:color w:val="000000"/>
          <w:sz w:val="20"/>
          <w:szCs w:val="22"/>
        </w:rPr>
        <w:t xml:space="preserve">for </w:t>
      </w:r>
      <w:r w:rsidRPr="00F75E80">
        <w:rPr>
          <w:color w:val="000000"/>
          <w:sz w:val="20"/>
          <w:szCs w:val="22"/>
        </w:rPr>
        <w:t>low-income households</w:t>
      </w:r>
      <w:r>
        <w:rPr>
          <w:color w:val="000000"/>
          <w:sz w:val="20"/>
          <w:szCs w:val="22"/>
        </w:rPr>
        <w:t xml:space="preserve"> with children</w:t>
      </w:r>
      <w:r w:rsidRPr="00F75E80">
        <w:rPr>
          <w:color w:val="000000"/>
          <w:sz w:val="20"/>
          <w:szCs w:val="22"/>
        </w:rPr>
        <w:t xml:space="preserve">.  This is reflected in the rise in </w:t>
      </w:r>
      <w:r>
        <w:rPr>
          <w:color w:val="000000"/>
          <w:sz w:val="20"/>
          <w:szCs w:val="22"/>
        </w:rPr>
        <w:t xml:space="preserve">child </w:t>
      </w:r>
      <w:r w:rsidRPr="00F75E80">
        <w:rPr>
          <w:color w:val="000000"/>
          <w:sz w:val="20"/>
          <w:szCs w:val="22"/>
        </w:rPr>
        <w:t>poverty rates from 2007 to 200</w:t>
      </w:r>
      <w:r>
        <w:rPr>
          <w:color w:val="000000"/>
          <w:sz w:val="20"/>
          <w:szCs w:val="22"/>
        </w:rPr>
        <w:t>9</w:t>
      </w:r>
      <w:r w:rsidRPr="00F75E80">
        <w:rPr>
          <w:color w:val="000000"/>
          <w:sz w:val="20"/>
          <w:szCs w:val="22"/>
        </w:rPr>
        <w:t xml:space="preserve"> using </w:t>
      </w:r>
      <w:r>
        <w:rPr>
          <w:color w:val="000000"/>
          <w:sz w:val="20"/>
          <w:szCs w:val="22"/>
        </w:rPr>
        <w:t>the moving line</w:t>
      </w:r>
      <w:r w:rsidRPr="00F75E80">
        <w:rPr>
          <w:color w:val="000000"/>
          <w:sz w:val="20"/>
          <w:szCs w:val="22"/>
        </w:rPr>
        <w:t xml:space="preserve"> </w:t>
      </w:r>
      <w:smartTag w:uri="urn:schemas-microsoft-com:office:smarttags" w:element="stockticker">
        <w:r w:rsidRPr="00F75E80">
          <w:rPr>
            <w:color w:val="000000"/>
            <w:sz w:val="20"/>
            <w:szCs w:val="22"/>
          </w:rPr>
          <w:t>AHC</w:t>
        </w:r>
      </w:smartTag>
      <w:r w:rsidRPr="00F75E80">
        <w:rPr>
          <w:color w:val="000000"/>
          <w:sz w:val="20"/>
          <w:szCs w:val="22"/>
        </w:rPr>
        <w:t xml:space="preserve"> approach.</w:t>
      </w:r>
    </w:p>
    <w:p w:rsidR="00E46063" w:rsidRPr="006E41BF" w:rsidRDefault="00E46063" w:rsidP="00E46063">
      <w:pPr>
        <w:ind w:left="270"/>
        <w:jc w:val="both"/>
        <w:rPr>
          <w:sz w:val="20"/>
          <w:szCs w:val="22"/>
        </w:rPr>
      </w:pPr>
    </w:p>
    <w:p w:rsidR="00E46063" w:rsidRPr="00BC2E05" w:rsidRDefault="00E46063" w:rsidP="00E46063">
      <w:pPr>
        <w:jc w:val="both"/>
        <w:rPr>
          <w:rFonts w:cs="Arial"/>
          <w:sz w:val="20"/>
          <w:u w:val="single"/>
        </w:rPr>
      </w:pPr>
      <w:r w:rsidRPr="00BC2E05">
        <w:rPr>
          <w:rFonts w:cs="Arial"/>
          <w:sz w:val="20"/>
          <w:u w:val="single"/>
        </w:rPr>
        <w:t xml:space="preserve">How many poor children </w:t>
      </w:r>
      <w:r>
        <w:rPr>
          <w:rFonts w:cs="Arial"/>
          <w:sz w:val="20"/>
          <w:u w:val="single"/>
        </w:rPr>
        <w:t xml:space="preserve">were there </w:t>
      </w:r>
      <w:r w:rsidRPr="00BC2E05">
        <w:rPr>
          <w:rFonts w:cs="Arial"/>
          <w:sz w:val="20"/>
          <w:u w:val="single"/>
        </w:rPr>
        <w:t xml:space="preserve">in </w:t>
      </w:r>
      <w:smartTag w:uri="urn:schemas-microsoft-com:office:smarttags" w:element="place">
        <w:smartTag w:uri="urn:schemas-microsoft-com:office:smarttags" w:element="country-region">
          <w:r w:rsidRPr="00BC2E05">
            <w:rPr>
              <w:rFonts w:cs="Arial"/>
              <w:sz w:val="20"/>
              <w:u w:val="single"/>
            </w:rPr>
            <w:t>New Zealand</w:t>
          </w:r>
        </w:smartTag>
      </w:smartTag>
      <w:r w:rsidRPr="00BC2E05">
        <w:rPr>
          <w:rFonts w:cs="Arial"/>
          <w:sz w:val="20"/>
          <w:u w:val="single"/>
        </w:rPr>
        <w:t xml:space="preserve"> in 20</w:t>
      </w:r>
      <w:r>
        <w:rPr>
          <w:rFonts w:cs="Arial"/>
          <w:sz w:val="20"/>
          <w:u w:val="single"/>
        </w:rPr>
        <w:t>11</w:t>
      </w:r>
      <w:r w:rsidRPr="00BC2E05">
        <w:rPr>
          <w:rFonts w:cs="Arial"/>
          <w:sz w:val="20"/>
          <w:u w:val="single"/>
        </w:rPr>
        <w:t>?</w:t>
      </w:r>
    </w:p>
    <w:p w:rsidR="00E46063" w:rsidRDefault="00E46063" w:rsidP="00E46063">
      <w:pPr>
        <w:ind w:left="720"/>
        <w:jc w:val="both"/>
        <w:rPr>
          <w:rFonts w:cs="Arial"/>
          <w:sz w:val="20"/>
        </w:rPr>
      </w:pPr>
    </w:p>
    <w:p w:rsidR="00E46063" w:rsidRDefault="00E46063" w:rsidP="00E46063">
      <w:pPr>
        <w:numPr>
          <w:ilvl w:val="0"/>
          <w:numId w:val="16"/>
        </w:numPr>
        <w:tabs>
          <w:tab w:val="clear" w:pos="1080"/>
          <w:tab w:val="num" w:pos="540"/>
        </w:tabs>
        <w:ind w:left="540" w:hanging="270"/>
        <w:jc w:val="both"/>
        <w:rPr>
          <w:rFonts w:cs="Arial"/>
          <w:sz w:val="20"/>
        </w:rPr>
      </w:pPr>
      <w:r w:rsidRPr="007A4469">
        <w:rPr>
          <w:rFonts w:cs="Arial"/>
          <w:b/>
          <w:sz w:val="20"/>
        </w:rPr>
        <w:t>Table F.</w:t>
      </w:r>
      <w:r>
        <w:rPr>
          <w:rFonts w:cs="Arial"/>
          <w:b/>
          <w:sz w:val="20"/>
        </w:rPr>
        <w:t>5</w:t>
      </w:r>
      <w:r>
        <w:rPr>
          <w:rFonts w:cs="Arial"/>
          <w:sz w:val="20"/>
        </w:rPr>
        <w:t xml:space="preserve"> shows the number of children below selected low-income thresholds or poverty lines for the years 2001 to 2011.</w:t>
      </w:r>
    </w:p>
    <w:p w:rsidR="00E46063" w:rsidRPr="00491764" w:rsidRDefault="00E46063" w:rsidP="00E46063">
      <w:pPr>
        <w:jc w:val="center"/>
        <w:rPr>
          <w:rFonts w:cs="Arial"/>
          <w:b/>
          <w:sz w:val="18"/>
          <w:szCs w:val="18"/>
        </w:rPr>
      </w:pPr>
      <w:r w:rsidRPr="00491764">
        <w:rPr>
          <w:rFonts w:cs="Arial"/>
          <w:b/>
          <w:sz w:val="18"/>
          <w:szCs w:val="18"/>
        </w:rPr>
        <w:t>Table F.</w:t>
      </w:r>
      <w:r>
        <w:rPr>
          <w:rFonts w:cs="Arial"/>
          <w:b/>
          <w:sz w:val="18"/>
          <w:szCs w:val="18"/>
        </w:rPr>
        <w:t>5</w:t>
      </w:r>
      <w:r w:rsidRPr="00491764">
        <w:rPr>
          <w:rFonts w:cs="Arial"/>
          <w:b/>
          <w:sz w:val="18"/>
          <w:szCs w:val="18"/>
        </w:rPr>
        <w:t xml:space="preserve"> </w:t>
      </w:r>
    </w:p>
    <w:p w:rsidR="00E46063" w:rsidRPr="00491764" w:rsidRDefault="00E46063" w:rsidP="00E46063">
      <w:pPr>
        <w:jc w:val="center"/>
        <w:rPr>
          <w:rFonts w:cs="Arial"/>
          <w:b/>
          <w:sz w:val="18"/>
          <w:szCs w:val="18"/>
        </w:rPr>
      </w:pPr>
      <w:r w:rsidRPr="00491764">
        <w:rPr>
          <w:rFonts w:cs="Arial"/>
          <w:b/>
          <w:sz w:val="18"/>
          <w:szCs w:val="18"/>
        </w:rPr>
        <w:t xml:space="preserve">Numbers of poor children in </w:t>
      </w:r>
      <w:smartTag w:uri="urn:schemas-microsoft-com:office:smarttags" w:element="place">
        <w:smartTag w:uri="urn:schemas-microsoft-com:office:smarttags" w:element="country-region">
          <w:r w:rsidRPr="00491764">
            <w:rPr>
              <w:rFonts w:cs="Arial"/>
              <w:b/>
              <w:sz w:val="18"/>
              <w:szCs w:val="18"/>
            </w:rPr>
            <w:t>New Zealand</w:t>
          </w:r>
        </w:smartTag>
      </w:smartTag>
      <w:r w:rsidRPr="00491764">
        <w:rPr>
          <w:rFonts w:cs="Arial"/>
          <w:b/>
          <w:sz w:val="18"/>
          <w:szCs w:val="18"/>
        </w:rPr>
        <w:t xml:space="preserve"> </w:t>
      </w:r>
    </w:p>
    <w:p w:rsidR="00E46063" w:rsidRPr="00491764" w:rsidRDefault="00E46063" w:rsidP="00E46063">
      <w:pPr>
        <w:spacing w:after="120"/>
        <w:jc w:val="center"/>
        <w:rPr>
          <w:rFonts w:cs="Arial"/>
          <w:sz w:val="18"/>
          <w:szCs w:val="18"/>
        </w:rPr>
      </w:pPr>
      <w:r w:rsidRPr="00491764">
        <w:rPr>
          <w:rFonts w:cs="Arial"/>
          <w:b/>
          <w:sz w:val="18"/>
          <w:szCs w:val="18"/>
        </w:rPr>
        <w:t>(ie</w:t>
      </w:r>
      <w:r>
        <w:rPr>
          <w:rFonts w:cs="Arial"/>
          <w:b/>
          <w:sz w:val="18"/>
          <w:szCs w:val="18"/>
        </w:rPr>
        <w:t xml:space="preserve"> </w:t>
      </w:r>
      <w:r w:rsidRPr="00491764">
        <w:rPr>
          <w:rFonts w:cs="Arial"/>
          <w:b/>
          <w:sz w:val="18"/>
          <w:szCs w:val="18"/>
        </w:rPr>
        <w:t xml:space="preserve"> </w:t>
      </w:r>
      <w:r>
        <w:rPr>
          <w:rFonts w:cs="Arial"/>
          <w:b/>
          <w:sz w:val="18"/>
          <w:szCs w:val="18"/>
        </w:rPr>
        <w:t xml:space="preserve">the </w:t>
      </w:r>
      <w:r w:rsidRPr="00491764">
        <w:rPr>
          <w:rFonts w:cs="Arial"/>
          <w:b/>
          <w:sz w:val="18"/>
          <w:szCs w:val="18"/>
        </w:rPr>
        <w:t>number of children in households with incomes below the selected thresholds)</w:t>
      </w:r>
    </w:p>
    <w:tbl>
      <w:tblPr>
        <w:tblStyle w:val="TableGrid"/>
        <w:tblW w:w="0" w:type="auto"/>
        <w:jc w:val="center"/>
        <w:tblInd w:w="284" w:type="dxa"/>
        <w:tblLook w:val="01E0"/>
      </w:tblPr>
      <w:tblGrid>
        <w:gridCol w:w="677"/>
        <w:gridCol w:w="1423"/>
        <w:gridCol w:w="1509"/>
        <w:gridCol w:w="1530"/>
        <w:gridCol w:w="1442"/>
      </w:tblGrid>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p>
        </w:tc>
        <w:tc>
          <w:tcPr>
            <w:tcW w:w="1423" w:type="dxa"/>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BHC</w:t>
              </w:r>
            </w:smartTag>
          </w:p>
        </w:tc>
        <w:tc>
          <w:tcPr>
            <w:tcW w:w="4481" w:type="dxa"/>
            <w:gridSpan w:val="3"/>
            <w:shd w:val="clear" w:color="auto" w:fill="auto"/>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AHC</w:t>
              </w:r>
            </w:smartTag>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p>
        </w:tc>
        <w:tc>
          <w:tcPr>
            <w:tcW w:w="1423" w:type="dxa"/>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BHC</w:t>
              </w:r>
            </w:smartTag>
            <w:r w:rsidRPr="00056657">
              <w:rPr>
                <w:rFonts w:cs="Arial"/>
                <w:b/>
                <w:sz w:val="14"/>
                <w:szCs w:val="16"/>
              </w:rPr>
              <w:t xml:space="preserve"> ‘moving line’ 60%</w:t>
            </w:r>
          </w:p>
        </w:tc>
        <w:tc>
          <w:tcPr>
            <w:tcW w:w="1509" w:type="dxa"/>
            <w:shd w:val="clear" w:color="auto" w:fill="auto"/>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AHC</w:t>
              </w:r>
            </w:smartTag>
            <w:r w:rsidRPr="00056657">
              <w:rPr>
                <w:rFonts w:cs="Arial"/>
                <w:b/>
                <w:sz w:val="14"/>
                <w:szCs w:val="16"/>
              </w:rPr>
              <w:t xml:space="preserve"> ‘moving line’ 50%</w:t>
            </w:r>
          </w:p>
        </w:tc>
        <w:tc>
          <w:tcPr>
            <w:tcW w:w="1530" w:type="dxa"/>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AHC</w:t>
              </w:r>
            </w:smartTag>
            <w:r w:rsidRPr="00056657">
              <w:rPr>
                <w:rFonts w:cs="Arial"/>
                <w:b/>
                <w:sz w:val="14"/>
                <w:szCs w:val="16"/>
              </w:rPr>
              <w:t xml:space="preserve"> ‘moving line’ 60%</w:t>
            </w:r>
          </w:p>
        </w:tc>
        <w:tc>
          <w:tcPr>
            <w:tcW w:w="1442" w:type="dxa"/>
            <w:shd w:val="clear" w:color="auto" w:fill="D9D9D9"/>
            <w:vAlign w:val="center"/>
          </w:tcPr>
          <w:p w:rsidR="00E46063" w:rsidRPr="00056657" w:rsidRDefault="00E46063" w:rsidP="00614C04">
            <w:pPr>
              <w:spacing w:before="60" w:after="60"/>
              <w:jc w:val="center"/>
              <w:rPr>
                <w:rFonts w:cs="Arial"/>
                <w:b/>
                <w:sz w:val="14"/>
                <w:szCs w:val="16"/>
              </w:rPr>
            </w:pPr>
            <w:smartTag w:uri="urn:schemas-microsoft-com:office:smarttags" w:element="stockticker">
              <w:r w:rsidRPr="00056657">
                <w:rPr>
                  <w:rFonts w:cs="Arial"/>
                  <w:b/>
                  <w:sz w:val="14"/>
                  <w:szCs w:val="16"/>
                </w:rPr>
                <w:t>AHC</w:t>
              </w:r>
            </w:smartTag>
            <w:r w:rsidRPr="00056657">
              <w:rPr>
                <w:rFonts w:cs="Arial"/>
                <w:b/>
                <w:sz w:val="14"/>
                <w:szCs w:val="16"/>
              </w:rPr>
              <w:t xml:space="preserve"> ‘fixed line’ </w:t>
            </w:r>
            <w:r>
              <w:rPr>
                <w:rFonts w:cs="Arial"/>
                <w:b/>
                <w:sz w:val="14"/>
                <w:szCs w:val="16"/>
              </w:rPr>
              <w:t xml:space="preserve"> </w:t>
            </w:r>
            <w:r w:rsidRPr="00056657">
              <w:rPr>
                <w:rFonts w:cs="Arial"/>
                <w:b/>
                <w:sz w:val="14"/>
                <w:szCs w:val="16"/>
              </w:rPr>
              <w:t>60% (07 ref)</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2001</w:t>
            </w:r>
          </w:p>
        </w:tc>
        <w:tc>
          <w:tcPr>
            <w:tcW w:w="1423"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250,000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sidRPr="00056657">
              <w:rPr>
                <w:rFonts w:cs="Arial"/>
                <w:sz w:val="14"/>
                <w:szCs w:val="16"/>
              </w:rPr>
              <w:t>215,000</w:t>
            </w:r>
          </w:p>
        </w:tc>
        <w:tc>
          <w:tcPr>
            <w:tcW w:w="1530"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310,000</w:t>
            </w:r>
          </w:p>
        </w:tc>
        <w:tc>
          <w:tcPr>
            <w:tcW w:w="1442" w:type="dxa"/>
            <w:shd w:val="clear" w:color="auto" w:fill="D9D9D9"/>
            <w:vAlign w:val="center"/>
          </w:tcPr>
          <w:p w:rsidR="00E46063" w:rsidRPr="00056657" w:rsidRDefault="00E46063" w:rsidP="00614C04">
            <w:pPr>
              <w:spacing w:before="60" w:after="60"/>
              <w:jc w:val="center"/>
              <w:rPr>
                <w:rFonts w:cs="Arial"/>
                <w:i/>
                <w:sz w:val="14"/>
                <w:szCs w:val="16"/>
              </w:rPr>
            </w:pPr>
            <w:r w:rsidRPr="00056657">
              <w:rPr>
                <w:rFonts w:cs="Arial"/>
                <w:i/>
                <w:sz w:val="14"/>
                <w:szCs w:val="16"/>
              </w:rPr>
              <w:t>380,000</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2004</w:t>
            </w:r>
          </w:p>
        </w:tc>
        <w:tc>
          <w:tcPr>
            <w:tcW w:w="1423"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270,000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sidRPr="00056657">
              <w:rPr>
                <w:rFonts w:cs="Arial"/>
                <w:sz w:val="14"/>
                <w:szCs w:val="16"/>
              </w:rPr>
              <w:t>200,000</w:t>
            </w:r>
          </w:p>
        </w:tc>
        <w:tc>
          <w:tcPr>
            <w:tcW w:w="1530"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290,000</w:t>
            </w:r>
          </w:p>
        </w:tc>
        <w:tc>
          <w:tcPr>
            <w:tcW w:w="1442" w:type="dxa"/>
            <w:shd w:val="clear" w:color="auto" w:fill="D9D9D9"/>
            <w:vAlign w:val="center"/>
          </w:tcPr>
          <w:p w:rsidR="00E46063" w:rsidRPr="00056657" w:rsidRDefault="00E46063" w:rsidP="00614C04">
            <w:pPr>
              <w:spacing w:before="60" w:after="60"/>
              <w:jc w:val="center"/>
              <w:rPr>
                <w:rFonts w:cs="Arial"/>
                <w:i/>
                <w:sz w:val="14"/>
                <w:szCs w:val="16"/>
              </w:rPr>
            </w:pPr>
            <w:r w:rsidRPr="00056657">
              <w:rPr>
                <w:rFonts w:cs="Arial"/>
                <w:i/>
                <w:sz w:val="14"/>
                <w:szCs w:val="16"/>
              </w:rPr>
              <w:t>320,000</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2007</w:t>
            </w:r>
          </w:p>
        </w:tc>
        <w:tc>
          <w:tcPr>
            <w:tcW w:w="1423"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210,000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sidRPr="00056657">
              <w:rPr>
                <w:rFonts w:cs="Arial"/>
                <w:sz w:val="14"/>
                <w:szCs w:val="16"/>
              </w:rPr>
              <w:t>170,000</w:t>
            </w:r>
          </w:p>
        </w:tc>
        <w:tc>
          <w:tcPr>
            <w:tcW w:w="1530"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240,000</w:t>
            </w:r>
          </w:p>
        </w:tc>
        <w:tc>
          <w:tcPr>
            <w:tcW w:w="1442" w:type="dxa"/>
            <w:shd w:val="clear" w:color="auto" w:fill="D9D9D9"/>
            <w:vAlign w:val="center"/>
          </w:tcPr>
          <w:p w:rsidR="00E46063" w:rsidRPr="00056657" w:rsidRDefault="00E46063" w:rsidP="00614C04">
            <w:pPr>
              <w:spacing w:before="60" w:after="60"/>
              <w:jc w:val="center"/>
              <w:rPr>
                <w:rFonts w:cs="Arial"/>
                <w:sz w:val="14"/>
                <w:szCs w:val="16"/>
              </w:rPr>
            </w:pPr>
            <w:r w:rsidRPr="00056657">
              <w:rPr>
                <w:rFonts w:cs="Arial"/>
                <w:sz w:val="14"/>
                <w:szCs w:val="16"/>
              </w:rPr>
              <w:t>240,000</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2009</w:t>
            </w:r>
          </w:p>
        </w:tc>
        <w:tc>
          <w:tcPr>
            <w:tcW w:w="1423"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210,000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sidRPr="00056657">
              <w:rPr>
                <w:rFonts w:cs="Arial"/>
                <w:sz w:val="14"/>
                <w:szCs w:val="16"/>
              </w:rPr>
              <w:t>190,000</w:t>
            </w:r>
          </w:p>
        </w:tc>
        <w:tc>
          <w:tcPr>
            <w:tcW w:w="1530"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270,000</w:t>
            </w:r>
          </w:p>
        </w:tc>
        <w:tc>
          <w:tcPr>
            <w:tcW w:w="1442" w:type="dxa"/>
            <w:shd w:val="clear" w:color="auto" w:fill="D9D9D9"/>
            <w:vAlign w:val="center"/>
          </w:tcPr>
          <w:p w:rsidR="00E46063" w:rsidRPr="00056657" w:rsidRDefault="00E46063" w:rsidP="00614C04">
            <w:pPr>
              <w:spacing w:before="60" w:after="60"/>
              <w:jc w:val="center"/>
              <w:rPr>
                <w:rFonts w:cs="Arial"/>
                <w:sz w:val="14"/>
                <w:szCs w:val="16"/>
              </w:rPr>
            </w:pPr>
            <w:r w:rsidRPr="00056657">
              <w:rPr>
                <w:rFonts w:cs="Arial"/>
                <w:sz w:val="14"/>
                <w:szCs w:val="16"/>
              </w:rPr>
              <w:t>230,000</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2010</w:t>
            </w:r>
          </w:p>
        </w:tc>
        <w:tc>
          <w:tcPr>
            <w:tcW w:w="1423"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215,000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sidRPr="00056657">
              <w:rPr>
                <w:rFonts w:cs="Arial"/>
                <w:sz w:val="14"/>
                <w:szCs w:val="16"/>
              </w:rPr>
              <w:t>170,000</w:t>
            </w:r>
          </w:p>
        </w:tc>
        <w:tc>
          <w:tcPr>
            <w:tcW w:w="1530" w:type="dxa"/>
            <w:vAlign w:val="center"/>
          </w:tcPr>
          <w:p w:rsidR="00E46063" w:rsidRPr="00056657" w:rsidRDefault="00E46063" w:rsidP="00614C04">
            <w:pPr>
              <w:spacing w:before="60" w:after="60"/>
              <w:jc w:val="center"/>
              <w:rPr>
                <w:rFonts w:cs="Arial"/>
                <w:sz w:val="14"/>
                <w:szCs w:val="16"/>
              </w:rPr>
            </w:pPr>
            <w:r w:rsidRPr="00056657">
              <w:rPr>
                <w:rFonts w:cs="Arial"/>
                <w:sz w:val="14"/>
                <w:szCs w:val="16"/>
              </w:rPr>
              <w:t>270,000</w:t>
            </w:r>
          </w:p>
        </w:tc>
        <w:tc>
          <w:tcPr>
            <w:tcW w:w="1442" w:type="dxa"/>
            <w:shd w:val="clear" w:color="auto" w:fill="D9D9D9"/>
            <w:vAlign w:val="center"/>
          </w:tcPr>
          <w:p w:rsidR="00E46063" w:rsidRPr="00056657" w:rsidRDefault="00E46063" w:rsidP="00614C04">
            <w:pPr>
              <w:spacing w:before="60" w:after="60"/>
              <w:jc w:val="center"/>
              <w:rPr>
                <w:rFonts w:cs="Arial"/>
                <w:sz w:val="14"/>
                <w:szCs w:val="16"/>
              </w:rPr>
            </w:pPr>
            <w:r w:rsidRPr="00056657">
              <w:rPr>
                <w:rFonts w:cs="Arial"/>
                <w:sz w:val="14"/>
                <w:szCs w:val="16"/>
              </w:rPr>
              <w:t>230,000</w:t>
            </w:r>
          </w:p>
        </w:tc>
      </w:tr>
      <w:tr w:rsidR="00E46063" w:rsidRPr="001F215C">
        <w:trPr>
          <w:jc w:val="center"/>
        </w:trPr>
        <w:tc>
          <w:tcPr>
            <w:tcW w:w="677" w:type="dxa"/>
            <w:vAlign w:val="center"/>
          </w:tcPr>
          <w:p w:rsidR="00E46063" w:rsidRPr="00056657" w:rsidRDefault="00E46063" w:rsidP="00614C04">
            <w:pPr>
              <w:spacing w:before="60" w:after="60"/>
              <w:jc w:val="center"/>
              <w:rPr>
                <w:rFonts w:cs="Arial"/>
                <w:sz w:val="14"/>
                <w:szCs w:val="16"/>
              </w:rPr>
            </w:pPr>
            <w:r>
              <w:rPr>
                <w:rFonts w:cs="Arial"/>
                <w:sz w:val="14"/>
                <w:szCs w:val="16"/>
              </w:rPr>
              <w:t>2011</w:t>
            </w:r>
          </w:p>
        </w:tc>
        <w:tc>
          <w:tcPr>
            <w:tcW w:w="1423" w:type="dxa"/>
            <w:vAlign w:val="center"/>
          </w:tcPr>
          <w:p w:rsidR="00E46063" w:rsidRPr="00056657" w:rsidRDefault="00E46063" w:rsidP="00614C04">
            <w:pPr>
              <w:spacing w:before="60" w:after="60"/>
              <w:jc w:val="center"/>
              <w:rPr>
                <w:rFonts w:cs="Arial"/>
                <w:sz w:val="14"/>
                <w:szCs w:val="16"/>
              </w:rPr>
            </w:pPr>
            <w:r>
              <w:rPr>
                <w:rFonts w:cs="Arial"/>
                <w:sz w:val="14"/>
                <w:szCs w:val="16"/>
              </w:rPr>
              <w:t>200,000</w:t>
            </w:r>
          </w:p>
        </w:tc>
        <w:tc>
          <w:tcPr>
            <w:tcW w:w="1509" w:type="dxa"/>
            <w:shd w:val="clear" w:color="auto" w:fill="auto"/>
            <w:vAlign w:val="center"/>
          </w:tcPr>
          <w:p w:rsidR="00E46063" w:rsidRPr="00056657" w:rsidRDefault="00E46063" w:rsidP="00614C04">
            <w:pPr>
              <w:spacing w:before="60" w:after="60"/>
              <w:jc w:val="center"/>
              <w:rPr>
                <w:rFonts w:cs="Arial"/>
                <w:sz w:val="14"/>
                <w:szCs w:val="16"/>
              </w:rPr>
            </w:pPr>
            <w:r>
              <w:rPr>
                <w:rFonts w:cs="Arial"/>
                <w:sz w:val="14"/>
                <w:szCs w:val="16"/>
              </w:rPr>
              <w:t>170,000</w:t>
            </w:r>
          </w:p>
        </w:tc>
        <w:tc>
          <w:tcPr>
            <w:tcW w:w="1530" w:type="dxa"/>
            <w:vAlign w:val="center"/>
          </w:tcPr>
          <w:p w:rsidR="00E46063" w:rsidRPr="00056657" w:rsidRDefault="00E46063" w:rsidP="00614C04">
            <w:pPr>
              <w:spacing w:before="60" w:after="60"/>
              <w:jc w:val="center"/>
              <w:rPr>
                <w:rFonts w:cs="Arial"/>
                <w:sz w:val="14"/>
                <w:szCs w:val="16"/>
              </w:rPr>
            </w:pPr>
            <w:r>
              <w:rPr>
                <w:rFonts w:cs="Arial"/>
                <w:sz w:val="14"/>
                <w:szCs w:val="16"/>
              </w:rPr>
              <w:t>270,000</w:t>
            </w:r>
          </w:p>
        </w:tc>
        <w:tc>
          <w:tcPr>
            <w:tcW w:w="1442" w:type="dxa"/>
            <w:shd w:val="clear" w:color="auto" w:fill="D9D9D9"/>
            <w:vAlign w:val="center"/>
          </w:tcPr>
          <w:p w:rsidR="00E46063" w:rsidRPr="00056657" w:rsidRDefault="00E46063" w:rsidP="00614C04">
            <w:pPr>
              <w:spacing w:before="60" w:after="60"/>
              <w:jc w:val="center"/>
              <w:rPr>
                <w:rFonts w:cs="Arial"/>
                <w:sz w:val="14"/>
                <w:szCs w:val="16"/>
              </w:rPr>
            </w:pPr>
            <w:r>
              <w:rPr>
                <w:rFonts w:cs="Arial"/>
                <w:sz w:val="14"/>
                <w:szCs w:val="16"/>
              </w:rPr>
              <w:t>230,000</w:t>
            </w:r>
          </w:p>
        </w:tc>
      </w:tr>
    </w:tbl>
    <w:p w:rsidR="00E46063" w:rsidRPr="00056657" w:rsidRDefault="00E46063" w:rsidP="00E46063"/>
    <w:p w:rsidR="00E46063" w:rsidRDefault="00E46063" w:rsidP="00E46063">
      <w:pPr>
        <w:numPr>
          <w:ilvl w:val="0"/>
          <w:numId w:val="16"/>
        </w:numPr>
        <w:tabs>
          <w:tab w:val="clear" w:pos="1080"/>
          <w:tab w:val="num" w:pos="540"/>
        </w:tabs>
        <w:ind w:left="540" w:hanging="270"/>
        <w:jc w:val="both"/>
        <w:rPr>
          <w:rFonts w:cs="Arial"/>
          <w:sz w:val="20"/>
        </w:rPr>
      </w:pPr>
      <w:r>
        <w:rPr>
          <w:rFonts w:cs="Arial"/>
          <w:sz w:val="20"/>
        </w:rPr>
        <w:t>Using non-income measures of hardship, and an internationally comparable hardship threshold, around 200,000 children (18%) were below the threshold in 2008.</w:t>
      </w:r>
      <w:r>
        <w:rPr>
          <w:rStyle w:val="FootnoteReference"/>
          <w:rFonts w:cs="Arial"/>
          <w:sz w:val="20"/>
        </w:rPr>
        <w:footnoteReference w:id="64"/>
      </w:r>
    </w:p>
    <w:p w:rsidR="00E46063" w:rsidRDefault="00E46063" w:rsidP="00E46063">
      <w:pPr>
        <w:ind w:left="270"/>
        <w:jc w:val="both"/>
        <w:rPr>
          <w:rFonts w:cs="Arial"/>
          <w:sz w:val="20"/>
        </w:rPr>
      </w:pPr>
    </w:p>
    <w:p w:rsidR="00E46063" w:rsidRDefault="00E46063" w:rsidP="00E46063">
      <w:pPr>
        <w:numPr>
          <w:ilvl w:val="0"/>
          <w:numId w:val="16"/>
        </w:numPr>
        <w:tabs>
          <w:tab w:val="clear" w:pos="1080"/>
          <w:tab w:val="num" w:pos="540"/>
        </w:tabs>
        <w:ind w:left="540" w:hanging="270"/>
        <w:jc w:val="both"/>
        <w:rPr>
          <w:rFonts w:cs="Arial"/>
          <w:sz w:val="20"/>
        </w:rPr>
      </w:pPr>
      <w:r>
        <w:rPr>
          <w:rFonts w:cs="Arial"/>
          <w:sz w:val="20"/>
        </w:rPr>
        <w:t xml:space="preserve">There are clearly degrees of poverty and material hardship. For example, children in households with incomes below a 50% </w:t>
      </w:r>
      <w:smartTag w:uri="urn:schemas-microsoft-com:office:smarttags" w:element="stockticker">
        <w:r>
          <w:rPr>
            <w:rFonts w:cs="Arial"/>
            <w:sz w:val="20"/>
          </w:rPr>
          <w:t>AHC</w:t>
        </w:r>
      </w:smartTag>
      <w:r>
        <w:rPr>
          <w:rFonts w:cs="Arial"/>
          <w:sz w:val="20"/>
        </w:rPr>
        <w:t xml:space="preserve"> ‘moving line’ measure will experience greater material disadvantage than those just below the 60% threshold, all else being equal.  Some in households with incomes above the 60% </w:t>
      </w:r>
      <w:smartTag w:uri="urn:schemas-microsoft-com:office:smarttags" w:element="stockticker">
        <w:r>
          <w:rPr>
            <w:rFonts w:cs="Arial"/>
            <w:sz w:val="20"/>
          </w:rPr>
          <w:t>AHC</w:t>
        </w:r>
      </w:smartTag>
      <w:r>
        <w:rPr>
          <w:rFonts w:cs="Arial"/>
          <w:sz w:val="20"/>
        </w:rPr>
        <w:t xml:space="preserve"> line will experience hardship because of high debt servicing or health costs, or long-run low income.  See </w:t>
      </w:r>
      <w:r w:rsidRPr="00EB7D88">
        <w:rPr>
          <w:rFonts w:cs="Arial"/>
          <w:b/>
          <w:sz w:val="20"/>
        </w:rPr>
        <w:t xml:space="preserve">Appendix </w:t>
      </w:r>
      <w:r>
        <w:rPr>
          <w:rFonts w:cs="Arial"/>
          <w:b/>
          <w:sz w:val="20"/>
        </w:rPr>
        <w:t>6</w:t>
      </w:r>
      <w:r>
        <w:rPr>
          <w:rFonts w:cs="Arial"/>
          <w:sz w:val="20"/>
        </w:rPr>
        <w:t xml:space="preserve"> and Section E for further discussion on the setting of the low-income thresholds (‘poverty lines’).  </w:t>
      </w:r>
    </w:p>
    <w:p w:rsidR="00E46063" w:rsidRDefault="00E46063" w:rsidP="00E46063">
      <w:pPr>
        <w:pStyle w:val="Heading3"/>
        <w:rPr>
          <w:szCs w:val="22"/>
        </w:rPr>
      </w:pPr>
      <w:r>
        <w:rPr>
          <w:szCs w:val="22"/>
        </w:rPr>
        <w:br w:type="page"/>
      </w:r>
      <w:r>
        <w:rPr>
          <w:szCs w:val="22"/>
        </w:rPr>
        <w:lastRenderedPageBreak/>
        <w:t>Proportion of dependent children below selected thresholds (</w:t>
      </w:r>
      <w:smartTag w:uri="urn:schemas-microsoft-com:office:smarttags" w:element="stockticker">
        <w:r>
          <w:rPr>
            <w:szCs w:val="22"/>
          </w:rPr>
          <w:t>BHC</w:t>
        </w:r>
      </w:smartTag>
      <w:r>
        <w:rPr>
          <w:szCs w:val="22"/>
        </w:rPr>
        <w:t>)</w:t>
      </w:r>
    </w:p>
    <w:p w:rsidR="00E46063" w:rsidRPr="00007274" w:rsidRDefault="00E46063" w:rsidP="00E46063">
      <w:pPr>
        <w:pStyle w:val="Heading3"/>
      </w:pPr>
      <w:r>
        <w:t xml:space="preserve"> </w:t>
      </w:r>
    </w:p>
    <w:p w:rsidR="00E46063" w:rsidRPr="00A40C53" w:rsidRDefault="00E46063" w:rsidP="00E46063">
      <w:pPr>
        <w:pStyle w:val="Heading3"/>
        <w:jc w:val="center"/>
        <w:rPr>
          <w:sz w:val="18"/>
          <w:szCs w:val="20"/>
        </w:rPr>
      </w:pPr>
      <w:r w:rsidRPr="00A40C53">
        <w:rPr>
          <w:sz w:val="18"/>
          <w:szCs w:val="20"/>
        </w:rPr>
        <w:t>Figure F.3</w:t>
      </w:r>
    </w:p>
    <w:p w:rsidR="00E46063" w:rsidRPr="00A40C53" w:rsidRDefault="00E46063" w:rsidP="00E46063">
      <w:pPr>
        <w:jc w:val="center"/>
        <w:rPr>
          <w:b/>
          <w:sz w:val="18"/>
        </w:rPr>
      </w:pPr>
      <w:r w:rsidRPr="00A40C53">
        <w:rPr>
          <w:b/>
          <w:sz w:val="18"/>
        </w:rPr>
        <w:t>Proportion of children below selected thresholds (</w:t>
      </w:r>
      <w:smartTag w:uri="urn:schemas-microsoft-com:office:smarttags" w:element="stockticker">
        <w:r w:rsidRPr="00A40C53">
          <w:rPr>
            <w:b/>
            <w:sz w:val="18"/>
          </w:rPr>
          <w:t>BHC</w:t>
        </w:r>
      </w:smartTag>
      <w:r w:rsidRPr="00A40C53">
        <w:rPr>
          <w:b/>
          <w:sz w:val="18"/>
        </w:rPr>
        <w:t>):</w:t>
      </w:r>
    </w:p>
    <w:p w:rsidR="00E46063" w:rsidRPr="00A40C53" w:rsidRDefault="00E46063" w:rsidP="00E46063">
      <w:pPr>
        <w:jc w:val="center"/>
        <w:rPr>
          <w:sz w:val="20"/>
        </w:rPr>
      </w:pPr>
      <w:r w:rsidRPr="00A40C53">
        <w:rPr>
          <w:b/>
          <w:sz w:val="18"/>
        </w:rPr>
        <w:t>fixed line (CV) and moving line (</w:t>
      </w:r>
      <w:smartTag w:uri="urn:schemas-microsoft-com:office:smarttags" w:element="stockticker">
        <w:r w:rsidRPr="00A40C53">
          <w:rPr>
            <w:b/>
            <w:sz w:val="18"/>
          </w:rPr>
          <w:t>REL</w:t>
        </w:r>
      </w:smartTag>
      <w:r w:rsidRPr="00A40C53">
        <w:rPr>
          <w:b/>
          <w:sz w:val="18"/>
        </w:rPr>
        <w:t>) approaches compared</w:t>
      </w:r>
    </w:p>
    <w:p w:rsidR="00E46063" w:rsidRPr="00E16781" w:rsidRDefault="00EC0BE0" w:rsidP="00E46063">
      <w:pPr>
        <w:jc w:val="center"/>
      </w:pPr>
      <w:r>
        <w:rPr>
          <w:noProof/>
          <w:lang w:val="en-US"/>
        </w:rPr>
        <w:drawing>
          <wp:inline distT="0" distB="0" distL="0" distR="0">
            <wp:extent cx="4733925" cy="3181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E46063" w:rsidRDefault="00E46063" w:rsidP="00E46063">
      <w:pPr>
        <w:pStyle w:val="Heading3"/>
        <w:jc w:val="center"/>
        <w:rPr>
          <w:sz w:val="18"/>
          <w:szCs w:val="20"/>
        </w:rPr>
      </w:pPr>
    </w:p>
    <w:p w:rsidR="00E46063" w:rsidRPr="000F1F84" w:rsidRDefault="00E46063" w:rsidP="00E46063">
      <w:pPr>
        <w:pStyle w:val="Heading3"/>
        <w:jc w:val="center"/>
        <w:rPr>
          <w:sz w:val="18"/>
          <w:szCs w:val="20"/>
        </w:rPr>
      </w:pPr>
      <w:r w:rsidRPr="000F1F84">
        <w:rPr>
          <w:sz w:val="18"/>
          <w:szCs w:val="20"/>
        </w:rPr>
        <w:t>Table F.</w:t>
      </w:r>
      <w:r>
        <w:rPr>
          <w:sz w:val="18"/>
          <w:szCs w:val="20"/>
        </w:rPr>
        <w:t>6</w:t>
      </w:r>
    </w:p>
    <w:p w:rsidR="00E46063" w:rsidRPr="000F1F84" w:rsidRDefault="00E46063" w:rsidP="00E46063">
      <w:pPr>
        <w:spacing w:after="120"/>
        <w:jc w:val="center"/>
        <w:rPr>
          <w:b/>
          <w:sz w:val="18"/>
        </w:rPr>
      </w:pPr>
      <w:r w:rsidRPr="000F1F84">
        <w:rPr>
          <w:b/>
          <w:sz w:val="18"/>
        </w:rPr>
        <w:t xml:space="preserve">Percentage of </w:t>
      </w:r>
      <w:r>
        <w:rPr>
          <w:b/>
          <w:sz w:val="18"/>
        </w:rPr>
        <w:t>children</w:t>
      </w:r>
      <w:r w:rsidRPr="000F1F84">
        <w:rPr>
          <w:b/>
          <w:sz w:val="18"/>
        </w:rPr>
        <w:t xml:space="preserve"> below selected thresholds (</w:t>
      </w:r>
      <w:smartTag w:uri="urn:schemas-microsoft-com:office:smarttags" w:element="stockticker">
        <w:r w:rsidRPr="000F1F84">
          <w:rPr>
            <w:b/>
            <w:sz w:val="18"/>
          </w:rPr>
          <w:t>BHC</w:t>
        </w:r>
      </w:smartTag>
      <w:r w:rsidRPr="000F1F84">
        <w:rPr>
          <w:b/>
          <w:sz w:val="18"/>
        </w:rPr>
        <w:t>)</w:t>
      </w:r>
    </w:p>
    <w:tbl>
      <w:tblPr>
        <w:tblStyle w:val="TableGrid"/>
        <w:tblW w:w="0" w:type="auto"/>
        <w:jc w:val="center"/>
        <w:tblInd w:w="522" w:type="dxa"/>
        <w:tblLook w:val="01E0"/>
      </w:tblPr>
      <w:tblGrid>
        <w:gridCol w:w="1350"/>
        <w:gridCol w:w="1080"/>
        <w:gridCol w:w="954"/>
        <w:gridCol w:w="1233"/>
        <w:gridCol w:w="1260"/>
        <w:gridCol w:w="1018"/>
      </w:tblGrid>
      <w:tr w:rsidR="00E46063">
        <w:trPr>
          <w:trHeight w:val="350"/>
          <w:jc w:val="center"/>
        </w:trPr>
        <w:tc>
          <w:tcPr>
            <w:tcW w:w="1350" w:type="dxa"/>
            <w:vAlign w:val="center"/>
          </w:tcPr>
          <w:p w:rsidR="00E46063" w:rsidRPr="001C3AE7" w:rsidRDefault="00E46063" w:rsidP="00614C04">
            <w:pPr>
              <w:pStyle w:val="Heading3"/>
              <w:jc w:val="center"/>
              <w:rPr>
                <w:sz w:val="14"/>
                <w:szCs w:val="16"/>
              </w:rPr>
            </w:pPr>
            <w:r w:rsidRPr="001C3AE7">
              <w:rPr>
                <w:sz w:val="14"/>
                <w:szCs w:val="16"/>
              </w:rPr>
              <w:t>Threshold type</w:t>
            </w:r>
          </w:p>
        </w:tc>
        <w:tc>
          <w:tcPr>
            <w:tcW w:w="2034" w:type="dxa"/>
            <w:gridSpan w:val="2"/>
            <w:tcMar>
              <w:left w:w="29" w:type="dxa"/>
              <w:right w:w="29" w:type="dxa"/>
            </w:tcMar>
            <w:vAlign w:val="center"/>
          </w:tcPr>
          <w:p w:rsidR="00E46063" w:rsidRPr="001C3AE7" w:rsidRDefault="00E46063" w:rsidP="00614C04">
            <w:pPr>
              <w:pStyle w:val="Heading3"/>
              <w:rPr>
                <w:sz w:val="14"/>
                <w:szCs w:val="16"/>
              </w:rPr>
            </w:pPr>
            <w:r w:rsidRPr="001C3AE7">
              <w:rPr>
                <w:sz w:val="14"/>
                <w:szCs w:val="16"/>
              </w:rPr>
              <w:sym w:font="Wingdings" w:char="F0E8"/>
            </w:r>
            <w:r w:rsidRPr="001C3AE7">
              <w:rPr>
                <w:sz w:val="14"/>
                <w:szCs w:val="16"/>
              </w:rPr>
              <w:t xml:space="preserve">          Constant value</w:t>
            </w:r>
          </w:p>
        </w:tc>
        <w:tc>
          <w:tcPr>
            <w:tcW w:w="2493" w:type="dxa"/>
            <w:gridSpan w:val="2"/>
            <w:tcMar>
              <w:left w:w="14" w:type="dxa"/>
              <w:right w:w="14" w:type="dxa"/>
            </w:tcMar>
            <w:vAlign w:val="center"/>
          </w:tcPr>
          <w:p w:rsidR="00E46063" w:rsidRPr="001C3AE7" w:rsidRDefault="00E46063" w:rsidP="00614C04">
            <w:pPr>
              <w:pStyle w:val="Heading3"/>
              <w:jc w:val="center"/>
              <w:rPr>
                <w:sz w:val="14"/>
                <w:szCs w:val="16"/>
              </w:rPr>
            </w:pPr>
            <w:r w:rsidRPr="001C3AE7">
              <w:rPr>
                <w:sz w:val="14"/>
                <w:szCs w:val="16"/>
              </w:rPr>
              <w:t>Relative to contemporary median</w:t>
            </w:r>
          </w:p>
        </w:tc>
        <w:tc>
          <w:tcPr>
            <w:tcW w:w="1018" w:type="dxa"/>
            <w:vMerge w:val="restart"/>
            <w:shd w:val="clear" w:color="auto" w:fill="auto"/>
            <w:vAlign w:val="center"/>
          </w:tcPr>
          <w:p w:rsidR="00E46063" w:rsidRPr="001C3AE7" w:rsidRDefault="00E46063" w:rsidP="00614C04">
            <w:pPr>
              <w:pStyle w:val="Heading3"/>
              <w:jc w:val="center"/>
              <w:rPr>
                <w:sz w:val="14"/>
                <w:szCs w:val="18"/>
              </w:rPr>
            </w:pPr>
            <w:r w:rsidRPr="00862426">
              <w:rPr>
                <w:sz w:val="14"/>
                <w:szCs w:val="16"/>
              </w:rPr>
              <w:t>Total children (thousands</w:t>
            </w:r>
            <w:r w:rsidRPr="00862426">
              <w:rPr>
                <w:sz w:val="14"/>
                <w:szCs w:val="18"/>
              </w:rPr>
              <w:t>)</w:t>
            </w:r>
          </w:p>
        </w:tc>
      </w:tr>
      <w:tr w:rsidR="00E46063">
        <w:trPr>
          <w:trHeight w:hRule="exact" w:val="460"/>
          <w:jc w:val="center"/>
        </w:trPr>
        <w:tc>
          <w:tcPr>
            <w:tcW w:w="1350" w:type="dxa"/>
            <w:vAlign w:val="center"/>
          </w:tcPr>
          <w:p w:rsidR="00E46063" w:rsidRPr="001C3AE7" w:rsidRDefault="00E46063" w:rsidP="00614C04">
            <w:pPr>
              <w:pStyle w:val="Heading3"/>
              <w:jc w:val="center"/>
              <w:rPr>
                <w:b w:val="0"/>
                <w:sz w:val="14"/>
                <w:szCs w:val="18"/>
              </w:rPr>
            </w:pPr>
            <w:r>
              <w:rPr>
                <w:b w:val="0"/>
                <w:sz w:val="14"/>
                <w:szCs w:val="18"/>
              </w:rPr>
              <w:t>HES year</w:t>
            </w:r>
          </w:p>
        </w:tc>
        <w:tc>
          <w:tcPr>
            <w:tcW w:w="1080" w:type="dxa"/>
            <w:vAlign w:val="center"/>
          </w:tcPr>
          <w:p w:rsidR="00E46063" w:rsidRPr="001C3AE7" w:rsidRDefault="00E46063" w:rsidP="00614C04">
            <w:pPr>
              <w:pStyle w:val="Heading3"/>
              <w:jc w:val="center"/>
              <w:rPr>
                <w:sz w:val="14"/>
                <w:szCs w:val="16"/>
              </w:rPr>
            </w:pPr>
            <w:r w:rsidRPr="001C3AE7">
              <w:rPr>
                <w:sz w:val="14"/>
                <w:szCs w:val="16"/>
              </w:rPr>
              <w:t xml:space="preserve">60%  1998 median </w:t>
            </w:r>
          </w:p>
        </w:tc>
        <w:tc>
          <w:tcPr>
            <w:tcW w:w="954" w:type="dxa"/>
            <w:vAlign w:val="center"/>
          </w:tcPr>
          <w:p w:rsidR="00E46063" w:rsidRPr="001C3AE7" w:rsidRDefault="00E46063" w:rsidP="00614C04">
            <w:pPr>
              <w:pStyle w:val="Heading3"/>
              <w:jc w:val="center"/>
              <w:rPr>
                <w:sz w:val="14"/>
                <w:szCs w:val="16"/>
              </w:rPr>
            </w:pPr>
            <w:r w:rsidRPr="001C3AE7">
              <w:rPr>
                <w:sz w:val="14"/>
                <w:szCs w:val="16"/>
              </w:rPr>
              <w:t>60%  2007 median</w:t>
            </w:r>
          </w:p>
        </w:tc>
        <w:tc>
          <w:tcPr>
            <w:tcW w:w="1233" w:type="dxa"/>
            <w:vAlign w:val="center"/>
          </w:tcPr>
          <w:p w:rsidR="00E46063" w:rsidRPr="001C3AE7" w:rsidRDefault="00E46063" w:rsidP="00614C04">
            <w:pPr>
              <w:pStyle w:val="Heading3"/>
              <w:jc w:val="center"/>
              <w:rPr>
                <w:sz w:val="14"/>
                <w:szCs w:val="16"/>
              </w:rPr>
            </w:pPr>
            <w:r w:rsidRPr="001C3AE7">
              <w:rPr>
                <w:sz w:val="14"/>
                <w:szCs w:val="16"/>
              </w:rPr>
              <w:t>50%  contemp median</w:t>
            </w:r>
          </w:p>
        </w:tc>
        <w:tc>
          <w:tcPr>
            <w:tcW w:w="1260" w:type="dxa"/>
            <w:vAlign w:val="center"/>
          </w:tcPr>
          <w:p w:rsidR="00E46063" w:rsidRPr="001C3AE7" w:rsidRDefault="00E46063" w:rsidP="00614C04">
            <w:pPr>
              <w:pStyle w:val="Heading3"/>
              <w:jc w:val="center"/>
              <w:rPr>
                <w:sz w:val="14"/>
                <w:szCs w:val="16"/>
              </w:rPr>
            </w:pPr>
            <w:r w:rsidRPr="001C3AE7">
              <w:rPr>
                <w:sz w:val="14"/>
                <w:szCs w:val="16"/>
              </w:rPr>
              <w:t>60%  contemp median</w:t>
            </w:r>
          </w:p>
        </w:tc>
        <w:tc>
          <w:tcPr>
            <w:tcW w:w="1018" w:type="dxa"/>
            <w:vMerge/>
            <w:shd w:val="clear" w:color="auto" w:fill="auto"/>
            <w:vAlign w:val="center"/>
          </w:tcPr>
          <w:p w:rsidR="00E46063" w:rsidRPr="001C3AE7" w:rsidRDefault="00E46063" w:rsidP="00614C04">
            <w:pPr>
              <w:pStyle w:val="Heading3"/>
              <w:jc w:val="center"/>
              <w:rPr>
                <w:b w:val="0"/>
                <w:sz w:val="14"/>
                <w:szCs w:val="18"/>
              </w:rPr>
            </w:pP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1982</w:t>
            </w:r>
          </w:p>
        </w:tc>
        <w:tc>
          <w:tcPr>
            <w:tcW w:w="1080" w:type="dxa"/>
            <w:vAlign w:val="center"/>
          </w:tcPr>
          <w:p w:rsidR="00E46063" w:rsidRPr="00862426" w:rsidRDefault="00E46063" w:rsidP="00614C04">
            <w:pPr>
              <w:pStyle w:val="Heading3"/>
              <w:jc w:val="center"/>
              <w:rPr>
                <w:b w:val="0"/>
                <w:sz w:val="14"/>
                <w:szCs w:val="16"/>
              </w:rPr>
            </w:pPr>
            <w:r>
              <w:rPr>
                <w:b w:val="0"/>
                <w:sz w:val="14"/>
                <w:szCs w:val="16"/>
              </w:rPr>
              <w:t>18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11</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20</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940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1984</w:t>
            </w:r>
          </w:p>
        </w:tc>
        <w:tc>
          <w:tcPr>
            <w:tcW w:w="1080" w:type="dxa"/>
            <w:vAlign w:val="center"/>
          </w:tcPr>
          <w:p w:rsidR="00E46063" w:rsidRPr="00862426" w:rsidRDefault="00E46063" w:rsidP="00614C04">
            <w:pPr>
              <w:pStyle w:val="Heading3"/>
              <w:jc w:val="center"/>
              <w:rPr>
                <w:b w:val="0"/>
                <w:sz w:val="14"/>
                <w:szCs w:val="16"/>
              </w:rPr>
            </w:pPr>
            <w:r>
              <w:rPr>
                <w:b w:val="0"/>
                <w:sz w:val="14"/>
                <w:szCs w:val="16"/>
              </w:rPr>
              <w:t>21</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12</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21</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w:t>
            </w:r>
            <w:r>
              <w:rPr>
                <w:b w:val="0"/>
                <w:sz w:val="14"/>
                <w:szCs w:val="16"/>
              </w:rPr>
              <w:t>25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1986</w:t>
            </w:r>
          </w:p>
        </w:tc>
        <w:tc>
          <w:tcPr>
            <w:tcW w:w="1080" w:type="dxa"/>
            <w:vAlign w:val="center"/>
          </w:tcPr>
          <w:p w:rsidR="00E46063" w:rsidRPr="00862426" w:rsidRDefault="00E46063" w:rsidP="00614C04">
            <w:pPr>
              <w:pStyle w:val="Heading3"/>
              <w:jc w:val="center"/>
              <w:rPr>
                <w:b w:val="0"/>
                <w:sz w:val="14"/>
                <w:szCs w:val="16"/>
              </w:rPr>
            </w:pPr>
            <w:r>
              <w:rPr>
                <w:b w:val="0"/>
                <w:sz w:val="14"/>
                <w:szCs w:val="16"/>
              </w:rPr>
              <w:t>20</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9</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20</w:t>
            </w:r>
          </w:p>
        </w:tc>
        <w:tc>
          <w:tcPr>
            <w:tcW w:w="1018" w:type="dxa"/>
            <w:vAlign w:val="center"/>
          </w:tcPr>
          <w:p w:rsidR="00E46063" w:rsidRPr="00862426" w:rsidRDefault="00E46063" w:rsidP="00614C04">
            <w:pPr>
              <w:pStyle w:val="Heading3"/>
              <w:jc w:val="center"/>
              <w:rPr>
                <w:b w:val="0"/>
                <w:sz w:val="14"/>
                <w:szCs w:val="16"/>
              </w:rPr>
            </w:pPr>
            <w:r>
              <w:rPr>
                <w:b w:val="0"/>
                <w:sz w:val="14"/>
                <w:szCs w:val="16"/>
              </w:rPr>
              <w:t>895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1988</w:t>
            </w:r>
          </w:p>
        </w:tc>
        <w:tc>
          <w:tcPr>
            <w:tcW w:w="1080" w:type="dxa"/>
            <w:vAlign w:val="center"/>
          </w:tcPr>
          <w:p w:rsidR="00E46063" w:rsidRPr="00862426" w:rsidRDefault="00E46063" w:rsidP="00614C04">
            <w:pPr>
              <w:pStyle w:val="Heading3"/>
              <w:jc w:val="center"/>
              <w:rPr>
                <w:b w:val="0"/>
                <w:sz w:val="14"/>
                <w:szCs w:val="16"/>
              </w:rPr>
            </w:pPr>
            <w:r>
              <w:rPr>
                <w:b w:val="0"/>
                <w:sz w:val="14"/>
                <w:szCs w:val="16"/>
              </w:rPr>
              <w:t>16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7</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18</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8</w:t>
            </w:r>
            <w:r>
              <w:rPr>
                <w:b w:val="0"/>
                <w:sz w:val="14"/>
                <w:szCs w:val="16"/>
              </w:rPr>
              <w:t>85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1990</w:t>
            </w:r>
          </w:p>
        </w:tc>
        <w:tc>
          <w:tcPr>
            <w:tcW w:w="1080" w:type="dxa"/>
            <w:vAlign w:val="center"/>
          </w:tcPr>
          <w:p w:rsidR="00E46063" w:rsidRPr="00862426" w:rsidRDefault="00E46063" w:rsidP="00614C04">
            <w:pPr>
              <w:pStyle w:val="Heading3"/>
              <w:jc w:val="center"/>
              <w:rPr>
                <w:b w:val="0"/>
                <w:sz w:val="14"/>
                <w:szCs w:val="16"/>
              </w:rPr>
            </w:pPr>
            <w:r>
              <w:rPr>
                <w:b w:val="0"/>
                <w:sz w:val="14"/>
                <w:szCs w:val="16"/>
              </w:rPr>
              <w:t>17</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7</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17</w:t>
            </w:r>
          </w:p>
        </w:tc>
        <w:tc>
          <w:tcPr>
            <w:tcW w:w="1018" w:type="dxa"/>
            <w:vAlign w:val="center"/>
          </w:tcPr>
          <w:p w:rsidR="00E46063" w:rsidRPr="00862426" w:rsidRDefault="00E46063" w:rsidP="00614C04">
            <w:pPr>
              <w:pStyle w:val="Heading3"/>
              <w:jc w:val="center"/>
              <w:rPr>
                <w:b w:val="0"/>
                <w:sz w:val="14"/>
                <w:szCs w:val="16"/>
              </w:rPr>
            </w:pPr>
            <w:r>
              <w:rPr>
                <w:b w:val="0"/>
                <w:sz w:val="14"/>
                <w:szCs w:val="16"/>
              </w:rPr>
              <w:t>875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1992</w:t>
            </w:r>
          </w:p>
        </w:tc>
        <w:tc>
          <w:tcPr>
            <w:tcW w:w="1080" w:type="dxa"/>
            <w:vAlign w:val="center"/>
          </w:tcPr>
          <w:p w:rsidR="00E46063" w:rsidRPr="00862426" w:rsidRDefault="00E46063" w:rsidP="00614C04">
            <w:pPr>
              <w:pStyle w:val="Heading3"/>
              <w:jc w:val="center"/>
              <w:rPr>
                <w:b w:val="0"/>
                <w:sz w:val="14"/>
                <w:szCs w:val="16"/>
              </w:rPr>
            </w:pPr>
            <w:r>
              <w:rPr>
                <w:b w:val="0"/>
                <w:sz w:val="14"/>
                <w:szCs w:val="16"/>
              </w:rPr>
              <w:t>33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12</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25</w:t>
            </w:r>
          </w:p>
        </w:tc>
        <w:tc>
          <w:tcPr>
            <w:tcW w:w="1018" w:type="dxa"/>
            <w:vAlign w:val="center"/>
          </w:tcPr>
          <w:p w:rsidR="00E46063" w:rsidRPr="00862426" w:rsidRDefault="00E46063" w:rsidP="00614C04">
            <w:pPr>
              <w:pStyle w:val="Heading3"/>
              <w:jc w:val="center"/>
              <w:rPr>
                <w:b w:val="0"/>
                <w:sz w:val="14"/>
                <w:szCs w:val="16"/>
              </w:rPr>
            </w:pPr>
            <w:r>
              <w:rPr>
                <w:b w:val="0"/>
                <w:sz w:val="14"/>
                <w:szCs w:val="16"/>
              </w:rPr>
              <w:t>875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1994</w:t>
            </w:r>
          </w:p>
        </w:tc>
        <w:tc>
          <w:tcPr>
            <w:tcW w:w="1080" w:type="dxa"/>
            <w:vAlign w:val="center"/>
          </w:tcPr>
          <w:p w:rsidR="00E46063" w:rsidRPr="00862426" w:rsidRDefault="00E46063" w:rsidP="00614C04">
            <w:pPr>
              <w:pStyle w:val="Heading3"/>
              <w:jc w:val="center"/>
              <w:rPr>
                <w:b w:val="0"/>
                <w:sz w:val="14"/>
                <w:szCs w:val="16"/>
              </w:rPr>
            </w:pPr>
            <w:r>
              <w:rPr>
                <w:b w:val="0"/>
                <w:sz w:val="14"/>
                <w:szCs w:val="16"/>
              </w:rPr>
              <w:t>36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10</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24</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910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1996</w:t>
            </w:r>
          </w:p>
        </w:tc>
        <w:tc>
          <w:tcPr>
            <w:tcW w:w="1080" w:type="dxa"/>
            <w:vAlign w:val="center"/>
          </w:tcPr>
          <w:p w:rsidR="00E46063" w:rsidRPr="00862426" w:rsidRDefault="00E46063" w:rsidP="00614C04">
            <w:pPr>
              <w:pStyle w:val="Heading3"/>
              <w:jc w:val="center"/>
              <w:rPr>
                <w:b w:val="0"/>
                <w:sz w:val="14"/>
                <w:szCs w:val="16"/>
              </w:rPr>
            </w:pPr>
            <w:r>
              <w:rPr>
                <w:b w:val="0"/>
                <w:sz w:val="14"/>
                <w:szCs w:val="16"/>
              </w:rPr>
              <w:t>28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11</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22</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940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1998</w:t>
            </w:r>
          </w:p>
        </w:tc>
        <w:tc>
          <w:tcPr>
            <w:tcW w:w="1080" w:type="dxa"/>
            <w:vAlign w:val="center"/>
          </w:tcPr>
          <w:p w:rsidR="00E46063" w:rsidRPr="00862426" w:rsidRDefault="00E46063" w:rsidP="00614C04">
            <w:pPr>
              <w:pStyle w:val="Heading3"/>
              <w:jc w:val="center"/>
              <w:rPr>
                <w:b w:val="0"/>
                <w:sz w:val="14"/>
                <w:szCs w:val="16"/>
              </w:rPr>
            </w:pPr>
            <w:r>
              <w:rPr>
                <w:b w:val="0"/>
                <w:sz w:val="14"/>
                <w:szCs w:val="16"/>
              </w:rPr>
              <w:t>20</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9</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20</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950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2001</w:t>
            </w:r>
          </w:p>
        </w:tc>
        <w:tc>
          <w:tcPr>
            <w:tcW w:w="1080" w:type="dxa"/>
            <w:vAlign w:val="center"/>
          </w:tcPr>
          <w:p w:rsidR="00E46063" w:rsidRPr="00862426" w:rsidRDefault="00E46063" w:rsidP="00614C04">
            <w:pPr>
              <w:pStyle w:val="Heading3"/>
              <w:jc w:val="center"/>
              <w:rPr>
                <w:b w:val="0"/>
                <w:sz w:val="14"/>
                <w:szCs w:val="16"/>
              </w:rPr>
            </w:pPr>
            <w:r>
              <w:rPr>
                <w:b w:val="0"/>
                <w:sz w:val="14"/>
                <w:szCs w:val="16"/>
              </w:rPr>
              <w:t>22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35</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12</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24</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1020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2004</w:t>
            </w:r>
          </w:p>
        </w:tc>
        <w:tc>
          <w:tcPr>
            <w:tcW w:w="1080" w:type="dxa"/>
            <w:vAlign w:val="center"/>
          </w:tcPr>
          <w:p w:rsidR="00E46063" w:rsidRPr="00862426" w:rsidRDefault="00E46063" w:rsidP="00614C04">
            <w:pPr>
              <w:pStyle w:val="Heading3"/>
              <w:jc w:val="center"/>
              <w:rPr>
                <w:b w:val="0"/>
                <w:sz w:val="14"/>
                <w:szCs w:val="16"/>
              </w:rPr>
            </w:pPr>
            <w:r>
              <w:rPr>
                <w:b w:val="0"/>
                <w:sz w:val="14"/>
                <w:szCs w:val="16"/>
              </w:rPr>
              <w:t>19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30</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14</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26</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1040</w:t>
            </w:r>
          </w:p>
        </w:tc>
      </w:tr>
      <w:tr w:rsidR="00E46063">
        <w:trPr>
          <w:trHeight w:hRule="exact" w:val="245"/>
          <w:jc w:val="center"/>
        </w:trPr>
        <w:tc>
          <w:tcPr>
            <w:tcW w:w="135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2007</w:t>
            </w:r>
          </w:p>
        </w:tc>
        <w:tc>
          <w:tcPr>
            <w:tcW w:w="108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w:t>
            </w:r>
            <w:r>
              <w:rPr>
                <w:b w:val="0"/>
                <w:sz w:val="14"/>
                <w:szCs w:val="16"/>
              </w:rPr>
              <w:t>3</w:t>
            </w:r>
          </w:p>
        </w:tc>
        <w:tc>
          <w:tcPr>
            <w:tcW w:w="954"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Pr>
                <w:b w:val="0"/>
                <w:sz w:val="14"/>
                <w:szCs w:val="16"/>
              </w:rPr>
              <w:t>20</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13</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20</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w:t>
            </w:r>
            <w:r>
              <w:rPr>
                <w:b w:val="0"/>
                <w:sz w:val="14"/>
                <w:szCs w:val="16"/>
              </w:rPr>
              <w:t>65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2009</w:t>
            </w:r>
          </w:p>
        </w:tc>
        <w:tc>
          <w:tcPr>
            <w:tcW w:w="1080" w:type="dxa"/>
            <w:vAlign w:val="center"/>
          </w:tcPr>
          <w:p w:rsidR="00E46063" w:rsidRPr="001C3AE7" w:rsidRDefault="00E46063" w:rsidP="00614C04">
            <w:pPr>
              <w:pStyle w:val="Heading3"/>
              <w:spacing w:before="40" w:after="40"/>
              <w:jc w:val="center"/>
              <w:rPr>
                <w:b w:val="0"/>
                <w:sz w:val="14"/>
                <w:szCs w:val="16"/>
              </w:rPr>
            </w:pPr>
            <w:r>
              <w:rPr>
                <w:b w:val="0"/>
                <w:sz w:val="14"/>
                <w:szCs w:val="16"/>
              </w:rPr>
              <w:t>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14</w:t>
            </w:r>
          </w:p>
        </w:tc>
        <w:tc>
          <w:tcPr>
            <w:tcW w:w="1233" w:type="dxa"/>
            <w:vAlign w:val="center"/>
          </w:tcPr>
          <w:p w:rsidR="00E46063" w:rsidRPr="00862426" w:rsidRDefault="00E46063" w:rsidP="00614C04">
            <w:pPr>
              <w:pStyle w:val="Heading3"/>
              <w:jc w:val="center"/>
              <w:rPr>
                <w:b w:val="0"/>
                <w:sz w:val="14"/>
                <w:szCs w:val="16"/>
              </w:rPr>
            </w:pPr>
            <w:r w:rsidRPr="00862426">
              <w:rPr>
                <w:b w:val="0"/>
                <w:sz w:val="14"/>
                <w:szCs w:val="16"/>
              </w:rPr>
              <w:t>11</w:t>
            </w:r>
          </w:p>
        </w:tc>
        <w:tc>
          <w:tcPr>
            <w:tcW w:w="1260" w:type="dxa"/>
            <w:vAlign w:val="center"/>
          </w:tcPr>
          <w:p w:rsidR="00E46063" w:rsidRPr="00862426" w:rsidRDefault="00E46063" w:rsidP="00614C04">
            <w:pPr>
              <w:pStyle w:val="Heading3"/>
              <w:jc w:val="center"/>
              <w:rPr>
                <w:b w:val="0"/>
                <w:sz w:val="14"/>
                <w:szCs w:val="16"/>
              </w:rPr>
            </w:pPr>
            <w:r w:rsidRPr="00862426">
              <w:rPr>
                <w:b w:val="0"/>
                <w:sz w:val="14"/>
                <w:szCs w:val="16"/>
              </w:rPr>
              <w:t>19</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1070</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2010</w:t>
            </w:r>
          </w:p>
        </w:tc>
        <w:tc>
          <w:tcPr>
            <w:tcW w:w="1080" w:type="dxa"/>
            <w:vAlign w:val="center"/>
          </w:tcPr>
          <w:p w:rsidR="00E46063" w:rsidRPr="001C3AE7" w:rsidRDefault="00E46063" w:rsidP="00614C04">
            <w:pPr>
              <w:pStyle w:val="Heading3"/>
              <w:spacing w:before="40" w:after="40"/>
              <w:jc w:val="center"/>
              <w:rPr>
                <w:b w:val="0"/>
                <w:sz w:val="14"/>
                <w:szCs w:val="16"/>
              </w:rPr>
            </w:pPr>
            <w:r>
              <w:rPr>
                <w:b w:val="0"/>
                <w:sz w:val="14"/>
                <w:szCs w:val="16"/>
              </w:rPr>
              <w:t>10</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16</w:t>
            </w:r>
          </w:p>
        </w:tc>
        <w:tc>
          <w:tcPr>
            <w:tcW w:w="1233" w:type="dxa"/>
            <w:vAlign w:val="center"/>
          </w:tcPr>
          <w:p w:rsidR="00E46063" w:rsidRPr="001C3AE7" w:rsidRDefault="00E46063" w:rsidP="00614C04">
            <w:pPr>
              <w:pStyle w:val="Heading3"/>
              <w:spacing w:before="40" w:after="40"/>
              <w:jc w:val="center"/>
              <w:rPr>
                <w:b w:val="0"/>
                <w:sz w:val="14"/>
                <w:szCs w:val="16"/>
              </w:rPr>
            </w:pPr>
            <w:r>
              <w:rPr>
                <w:b w:val="0"/>
                <w:sz w:val="14"/>
                <w:szCs w:val="16"/>
              </w:rPr>
              <w:t>13</w:t>
            </w:r>
          </w:p>
        </w:tc>
        <w:tc>
          <w:tcPr>
            <w:tcW w:w="1260" w:type="dxa"/>
            <w:vAlign w:val="center"/>
          </w:tcPr>
          <w:p w:rsidR="00E46063" w:rsidRPr="00862426" w:rsidRDefault="00E46063" w:rsidP="00614C04">
            <w:pPr>
              <w:pStyle w:val="Heading3"/>
              <w:jc w:val="center"/>
              <w:rPr>
                <w:b w:val="0"/>
                <w:sz w:val="14"/>
                <w:szCs w:val="16"/>
              </w:rPr>
            </w:pPr>
            <w:r>
              <w:rPr>
                <w:b w:val="0"/>
                <w:sz w:val="14"/>
                <w:szCs w:val="16"/>
              </w:rPr>
              <w:t>20</w:t>
            </w:r>
          </w:p>
        </w:tc>
        <w:tc>
          <w:tcPr>
            <w:tcW w:w="1018" w:type="dxa"/>
            <w:vAlign w:val="center"/>
          </w:tcPr>
          <w:p w:rsidR="00E46063" w:rsidRPr="001C3AE7" w:rsidRDefault="00E46063" w:rsidP="00614C04">
            <w:pPr>
              <w:pStyle w:val="Heading3"/>
              <w:spacing w:before="40" w:after="40"/>
              <w:jc w:val="center"/>
              <w:rPr>
                <w:b w:val="0"/>
                <w:sz w:val="14"/>
                <w:szCs w:val="16"/>
              </w:rPr>
            </w:pPr>
            <w:r>
              <w:rPr>
                <w:b w:val="0"/>
                <w:sz w:val="14"/>
                <w:szCs w:val="16"/>
              </w:rPr>
              <w:t>1065</w:t>
            </w:r>
          </w:p>
        </w:tc>
      </w:tr>
      <w:tr w:rsidR="00E46063">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Pr>
                <w:b w:val="0"/>
                <w:sz w:val="14"/>
                <w:szCs w:val="16"/>
              </w:rPr>
              <w:t>2011</w:t>
            </w:r>
          </w:p>
        </w:tc>
        <w:tc>
          <w:tcPr>
            <w:tcW w:w="1080" w:type="dxa"/>
            <w:vAlign w:val="center"/>
          </w:tcPr>
          <w:p w:rsidR="00E46063" w:rsidRDefault="00E46063" w:rsidP="00614C04">
            <w:pPr>
              <w:pStyle w:val="Heading3"/>
              <w:spacing w:before="40" w:after="40"/>
              <w:jc w:val="center"/>
              <w:rPr>
                <w:b w:val="0"/>
                <w:sz w:val="14"/>
                <w:szCs w:val="16"/>
              </w:rPr>
            </w:pPr>
            <w:r>
              <w:rPr>
                <w:b w:val="0"/>
                <w:sz w:val="14"/>
                <w:szCs w:val="16"/>
              </w:rPr>
              <w:t>10</w:t>
            </w:r>
          </w:p>
        </w:tc>
        <w:tc>
          <w:tcPr>
            <w:tcW w:w="954" w:type="dxa"/>
            <w:vAlign w:val="center"/>
          </w:tcPr>
          <w:p w:rsidR="00E46063" w:rsidRDefault="00E46063" w:rsidP="00614C04">
            <w:pPr>
              <w:pStyle w:val="Heading3"/>
              <w:spacing w:before="40" w:after="40"/>
              <w:jc w:val="center"/>
              <w:rPr>
                <w:b w:val="0"/>
                <w:sz w:val="14"/>
                <w:szCs w:val="16"/>
              </w:rPr>
            </w:pPr>
            <w:r>
              <w:rPr>
                <w:b w:val="0"/>
                <w:sz w:val="14"/>
                <w:szCs w:val="16"/>
              </w:rPr>
              <w:t>15</w:t>
            </w:r>
          </w:p>
        </w:tc>
        <w:tc>
          <w:tcPr>
            <w:tcW w:w="1233" w:type="dxa"/>
            <w:vAlign w:val="center"/>
          </w:tcPr>
          <w:p w:rsidR="00E46063" w:rsidRDefault="00E46063" w:rsidP="00614C04">
            <w:pPr>
              <w:pStyle w:val="Heading3"/>
              <w:spacing w:before="40" w:after="40"/>
              <w:jc w:val="center"/>
              <w:rPr>
                <w:b w:val="0"/>
                <w:sz w:val="14"/>
                <w:szCs w:val="16"/>
              </w:rPr>
            </w:pPr>
            <w:r>
              <w:rPr>
                <w:b w:val="0"/>
                <w:sz w:val="14"/>
                <w:szCs w:val="16"/>
              </w:rPr>
              <w:t>11</w:t>
            </w:r>
          </w:p>
        </w:tc>
        <w:tc>
          <w:tcPr>
            <w:tcW w:w="1260" w:type="dxa"/>
            <w:vAlign w:val="center"/>
          </w:tcPr>
          <w:p w:rsidR="00E46063" w:rsidRDefault="00E46063" w:rsidP="00614C04">
            <w:pPr>
              <w:pStyle w:val="Heading3"/>
              <w:jc w:val="center"/>
              <w:rPr>
                <w:b w:val="0"/>
                <w:sz w:val="14"/>
                <w:szCs w:val="16"/>
              </w:rPr>
            </w:pPr>
            <w:r>
              <w:rPr>
                <w:b w:val="0"/>
                <w:sz w:val="14"/>
                <w:szCs w:val="16"/>
              </w:rPr>
              <w:t>19</w:t>
            </w:r>
          </w:p>
        </w:tc>
        <w:tc>
          <w:tcPr>
            <w:tcW w:w="1018" w:type="dxa"/>
            <w:vAlign w:val="center"/>
          </w:tcPr>
          <w:p w:rsidR="00E46063" w:rsidRDefault="00E46063" w:rsidP="00614C04">
            <w:pPr>
              <w:pStyle w:val="Heading3"/>
              <w:spacing w:before="40" w:after="40"/>
              <w:jc w:val="center"/>
              <w:rPr>
                <w:b w:val="0"/>
                <w:sz w:val="14"/>
                <w:szCs w:val="16"/>
              </w:rPr>
            </w:pPr>
            <w:r>
              <w:rPr>
                <w:b w:val="0"/>
                <w:sz w:val="14"/>
                <w:szCs w:val="16"/>
              </w:rPr>
              <w:t>1067</w:t>
            </w:r>
          </w:p>
        </w:tc>
      </w:tr>
    </w:tbl>
    <w:p w:rsidR="00E46063" w:rsidRDefault="00E46063" w:rsidP="00E46063">
      <w:pPr>
        <w:tabs>
          <w:tab w:val="left" w:pos="1080"/>
        </w:tabs>
        <w:ind w:left="1080" w:right="911" w:hanging="540"/>
        <w:jc w:val="both"/>
        <w:rPr>
          <w:color w:val="000000"/>
          <w:sz w:val="18"/>
          <w:szCs w:val="18"/>
        </w:rPr>
      </w:pPr>
    </w:p>
    <w:p w:rsidR="00E46063" w:rsidRPr="000F1F84" w:rsidRDefault="00E46063" w:rsidP="00E46063">
      <w:pPr>
        <w:tabs>
          <w:tab w:val="left" w:pos="990"/>
        </w:tabs>
        <w:ind w:left="993" w:right="907" w:hanging="547"/>
        <w:jc w:val="both"/>
        <w:rPr>
          <w:color w:val="000000"/>
          <w:sz w:val="16"/>
          <w:szCs w:val="16"/>
        </w:rPr>
      </w:pPr>
      <w:r w:rsidRPr="000F1F84">
        <w:rPr>
          <w:color w:val="000000"/>
          <w:sz w:val="16"/>
          <w:szCs w:val="16"/>
        </w:rPr>
        <w:t xml:space="preserve">Note: </w:t>
      </w:r>
      <w:r>
        <w:rPr>
          <w:color w:val="000000"/>
          <w:sz w:val="16"/>
          <w:szCs w:val="16"/>
        </w:rPr>
        <w:tab/>
      </w:r>
      <w:r w:rsidRPr="000F1F84">
        <w:rPr>
          <w:color w:val="000000"/>
          <w:sz w:val="16"/>
          <w:szCs w:val="16"/>
        </w:rPr>
        <w:t xml:space="preserve">In real terms, the </w:t>
      </w:r>
      <w:smartTag w:uri="urn:schemas-microsoft-com:office:smarttags" w:element="stockticker">
        <w:r>
          <w:rPr>
            <w:color w:val="000000"/>
            <w:sz w:val="16"/>
            <w:szCs w:val="16"/>
          </w:rPr>
          <w:t>BHC</w:t>
        </w:r>
      </w:smartTag>
      <w:r>
        <w:rPr>
          <w:color w:val="000000"/>
          <w:sz w:val="16"/>
          <w:szCs w:val="16"/>
        </w:rPr>
        <w:t xml:space="preserve"> </w:t>
      </w:r>
      <w:r w:rsidRPr="000F1F84">
        <w:rPr>
          <w:color w:val="000000"/>
          <w:sz w:val="16"/>
          <w:szCs w:val="16"/>
        </w:rPr>
        <w:t xml:space="preserve">median in 1998 was close to what it was in </w:t>
      </w:r>
      <w:r>
        <w:rPr>
          <w:color w:val="000000"/>
          <w:sz w:val="16"/>
          <w:szCs w:val="16"/>
        </w:rPr>
        <w:t>1982</w:t>
      </w:r>
      <w:r w:rsidRPr="000F1F84">
        <w:rPr>
          <w:color w:val="000000"/>
          <w:sz w:val="16"/>
          <w:szCs w:val="16"/>
        </w:rPr>
        <w:t>.  There is therefore a good case for using 1998 as the reference year</w:t>
      </w:r>
      <w:r>
        <w:rPr>
          <w:color w:val="000000"/>
          <w:sz w:val="16"/>
          <w:szCs w:val="16"/>
        </w:rPr>
        <w:t xml:space="preserve"> for producing ‘fixed line’ poverty rates back to 1982, as well as for the more traditional application from 1998 forwards to later years. </w:t>
      </w:r>
      <w:r w:rsidRPr="000F1F84">
        <w:rPr>
          <w:color w:val="000000"/>
          <w:sz w:val="16"/>
          <w:szCs w:val="16"/>
        </w:rPr>
        <w:t xml:space="preserve">  By 2007 the median was 16% up on 1998 and by 2009 26%.  This</w:t>
      </w:r>
      <w:r>
        <w:rPr>
          <w:color w:val="000000"/>
          <w:sz w:val="16"/>
          <w:szCs w:val="16"/>
        </w:rPr>
        <w:t xml:space="preserve"> large change</w:t>
      </w:r>
      <w:r w:rsidRPr="000F1F84">
        <w:rPr>
          <w:color w:val="000000"/>
          <w:sz w:val="16"/>
          <w:szCs w:val="16"/>
        </w:rPr>
        <w:t xml:space="preserve"> led to the reference year being changed to 2007.  Reporting on poverty figures back to 1982 using 2007 as the reference year tells us what proportion were ‘poor’ back then relative to a standard set in 2007.  While this is interesting, it has no value for giving a fair and useful picture of the extent of hardship ‘back then’ relative to the standards prevailing at the time.  2007 CV figures are therefore not given for earlier years.  1998 CV figures are given for 2007 </w:t>
      </w:r>
      <w:r>
        <w:rPr>
          <w:color w:val="000000"/>
          <w:sz w:val="16"/>
          <w:szCs w:val="16"/>
        </w:rPr>
        <w:t>and later</w:t>
      </w:r>
      <w:r w:rsidRPr="000F1F84">
        <w:rPr>
          <w:color w:val="000000"/>
          <w:sz w:val="16"/>
          <w:szCs w:val="16"/>
        </w:rPr>
        <w:t xml:space="preserve"> to provide comparison for a few years.  The intention is to draw a line on this series </w:t>
      </w:r>
      <w:r>
        <w:rPr>
          <w:color w:val="000000"/>
          <w:sz w:val="16"/>
          <w:szCs w:val="16"/>
        </w:rPr>
        <w:t>after the 2011 HES</w:t>
      </w:r>
      <w:r w:rsidRPr="000F1F84">
        <w:rPr>
          <w:color w:val="000000"/>
          <w:sz w:val="16"/>
          <w:szCs w:val="16"/>
        </w:rPr>
        <w:t xml:space="preserve">.  As </w:t>
      </w:r>
      <w:r>
        <w:rPr>
          <w:color w:val="000000"/>
          <w:sz w:val="16"/>
          <w:szCs w:val="16"/>
        </w:rPr>
        <w:t>the poverty figures in Table F.6 show</w:t>
      </w:r>
      <w:r w:rsidRPr="000F1F84">
        <w:rPr>
          <w:color w:val="000000"/>
          <w:sz w:val="16"/>
          <w:szCs w:val="16"/>
        </w:rPr>
        <w:t xml:space="preserve">, the value of the CV-98 threshold </w:t>
      </w:r>
      <w:r>
        <w:rPr>
          <w:color w:val="000000"/>
          <w:sz w:val="16"/>
          <w:szCs w:val="16"/>
        </w:rPr>
        <w:t>had in 2009 and 2010 dropped</w:t>
      </w:r>
      <w:r w:rsidRPr="000F1F84">
        <w:rPr>
          <w:color w:val="000000"/>
          <w:sz w:val="16"/>
          <w:szCs w:val="16"/>
        </w:rPr>
        <w:t xml:space="preserve"> below</w:t>
      </w:r>
      <w:r>
        <w:rPr>
          <w:color w:val="000000"/>
          <w:sz w:val="16"/>
          <w:szCs w:val="16"/>
        </w:rPr>
        <w:t xml:space="preserve"> 50% of the contemporary median.</w:t>
      </w:r>
    </w:p>
    <w:p w:rsidR="00E46063" w:rsidRDefault="00E46063" w:rsidP="00E46063">
      <w:pPr>
        <w:pStyle w:val="Heading3"/>
        <w:rPr>
          <w:szCs w:val="22"/>
        </w:rPr>
      </w:pPr>
      <w:r>
        <w:rPr>
          <w:szCs w:val="22"/>
        </w:rPr>
        <w:lastRenderedPageBreak/>
        <w:t>Proportion of dependent children below selected thresholds (</w:t>
      </w:r>
      <w:smartTag w:uri="urn:schemas-microsoft-com:office:smarttags" w:element="stockticker">
        <w:r>
          <w:rPr>
            <w:szCs w:val="22"/>
          </w:rPr>
          <w:t>AHC</w:t>
        </w:r>
      </w:smartTag>
      <w:r>
        <w:rPr>
          <w:szCs w:val="22"/>
        </w:rPr>
        <w:t>)</w:t>
      </w:r>
    </w:p>
    <w:p w:rsidR="00E46063" w:rsidRPr="00695EDD" w:rsidRDefault="00E46063" w:rsidP="00E46063"/>
    <w:p w:rsidR="00E46063" w:rsidRPr="001F215C" w:rsidRDefault="00E46063" w:rsidP="00E46063">
      <w:pPr>
        <w:pStyle w:val="Heading3"/>
        <w:jc w:val="center"/>
        <w:rPr>
          <w:sz w:val="18"/>
          <w:szCs w:val="20"/>
        </w:rPr>
      </w:pPr>
      <w:r w:rsidRPr="001F215C">
        <w:rPr>
          <w:sz w:val="18"/>
          <w:szCs w:val="20"/>
        </w:rPr>
        <w:t>Figure F.4</w:t>
      </w:r>
    </w:p>
    <w:p w:rsidR="00E46063" w:rsidRPr="001F215C" w:rsidRDefault="00E46063" w:rsidP="00E46063">
      <w:pPr>
        <w:jc w:val="center"/>
        <w:rPr>
          <w:b/>
          <w:sz w:val="18"/>
        </w:rPr>
      </w:pPr>
      <w:r w:rsidRPr="001F215C">
        <w:rPr>
          <w:b/>
          <w:sz w:val="18"/>
        </w:rPr>
        <w:t>Proportion of children below selected thresholds (</w:t>
      </w:r>
      <w:smartTag w:uri="urn:schemas-microsoft-com:office:smarttags" w:element="stockticker">
        <w:r w:rsidRPr="001F215C">
          <w:rPr>
            <w:b/>
            <w:sz w:val="18"/>
          </w:rPr>
          <w:t>AHC</w:t>
        </w:r>
      </w:smartTag>
      <w:r w:rsidRPr="001F215C">
        <w:rPr>
          <w:b/>
          <w:sz w:val="18"/>
        </w:rPr>
        <w:t>):</w:t>
      </w:r>
    </w:p>
    <w:p w:rsidR="00E46063" w:rsidRPr="001F215C" w:rsidRDefault="00E46063" w:rsidP="00E46063">
      <w:pPr>
        <w:jc w:val="center"/>
        <w:rPr>
          <w:b/>
          <w:sz w:val="18"/>
        </w:rPr>
      </w:pPr>
      <w:r w:rsidRPr="001F215C">
        <w:rPr>
          <w:b/>
          <w:sz w:val="18"/>
        </w:rPr>
        <w:t>fixed line (CV) and moving line (</w:t>
      </w:r>
      <w:smartTag w:uri="urn:schemas-microsoft-com:office:smarttags" w:element="stockticker">
        <w:r w:rsidRPr="001F215C">
          <w:rPr>
            <w:b/>
            <w:sz w:val="18"/>
          </w:rPr>
          <w:t>REL</w:t>
        </w:r>
      </w:smartTag>
      <w:r w:rsidRPr="001F215C">
        <w:rPr>
          <w:b/>
          <w:sz w:val="18"/>
        </w:rPr>
        <w:t>) approaches compared</w:t>
      </w:r>
    </w:p>
    <w:p w:rsidR="00E46063" w:rsidRPr="00E16781" w:rsidRDefault="00EC0BE0" w:rsidP="00E46063">
      <w:pPr>
        <w:pStyle w:val="Heading3"/>
        <w:jc w:val="center"/>
        <w:rPr>
          <w:szCs w:val="20"/>
        </w:rPr>
      </w:pPr>
      <w:r>
        <w:rPr>
          <w:noProof/>
          <w:lang w:val="en-US"/>
        </w:rPr>
        <w:drawing>
          <wp:inline distT="0" distB="0" distL="0" distR="0">
            <wp:extent cx="4695825" cy="3143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srcRect/>
                    <a:stretch>
                      <a:fillRect/>
                    </a:stretch>
                  </pic:blipFill>
                  <pic:spPr bwMode="auto">
                    <a:xfrm>
                      <a:off x="0" y="0"/>
                      <a:ext cx="4695825" cy="3143250"/>
                    </a:xfrm>
                    <a:prstGeom prst="rect">
                      <a:avLst/>
                    </a:prstGeom>
                    <a:noFill/>
                    <a:ln w="9525">
                      <a:noFill/>
                      <a:miter lim="800000"/>
                      <a:headEnd/>
                      <a:tailEnd/>
                    </a:ln>
                  </pic:spPr>
                </pic:pic>
              </a:graphicData>
            </a:graphic>
          </wp:inline>
        </w:drawing>
      </w:r>
    </w:p>
    <w:p w:rsidR="00E46063" w:rsidRPr="0094546E" w:rsidRDefault="00E46063" w:rsidP="00E46063"/>
    <w:p w:rsidR="00E46063" w:rsidRPr="001F215C" w:rsidRDefault="00E46063" w:rsidP="00E46063">
      <w:pPr>
        <w:pStyle w:val="Heading3"/>
        <w:jc w:val="center"/>
        <w:rPr>
          <w:sz w:val="18"/>
          <w:szCs w:val="20"/>
        </w:rPr>
      </w:pPr>
      <w:r w:rsidRPr="001F215C">
        <w:rPr>
          <w:sz w:val="18"/>
          <w:szCs w:val="20"/>
        </w:rPr>
        <w:t>Table F.</w:t>
      </w:r>
      <w:r>
        <w:rPr>
          <w:sz w:val="18"/>
          <w:szCs w:val="20"/>
        </w:rPr>
        <w:t>7</w:t>
      </w:r>
    </w:p>
    <w:p w:rsidR="00E46063" w:rsidRPr="001F215C" w:rsidRDefault="00E46063" w:rsidP="00E46063">
      <w:pPr>
        <w:spacing w:after="120"/>
        <w:jc w:val="center"/>
        <w:rPr>
          <w:b/>
          <w:sz w:val="18"/>
        </w:rPr>
      </w:pPr>
      <w:r w:rsidRPr="001F215C">
        <w:rPr>
          <w:b/>
          <w:sz w:val="18"/>
        </w:rPr>
        <w:t>Percentage of children below selected thresholds (</w:t>
      </w:r>
      <w:smartTag w:uri="urn:schemas-microsoft-com:office:smarttags" w:element="stockticker">
        <w:r w:rsidRPr="001F215C">
          <w:rPr>
            <w:b/>
            <w:sz w:val="18"/>
          </w:rPr>
          <w:t>AHC</w:t>
        </w:r>
      </w:smartTag>
      <w:r w:rsidRPr="001F215C">
        <w:rPr>
          <w:b/>
          <w:sz w:val="18"/>
        </w:rPr>
        <w:t>)</w:t>
      </w:r>
    </w:p>
    <w:tbl>
      <w:tblPr>
        <w:tblStyle w:val="TableGrid"/>
        <w:tblW w:w="0" w:type="auto"/>
        <w:jc w:val="center"/>
        <w:tblInd w:w="522" w:type="dxa"/>
        <w:tblLook w:val="01E0"/>
      </w:tblPr>
      <w:tblGrid>
        <w:gridCol w:w="1350"/>
        <w:gridCol w:w="1080"/>
        <w:gridCol w:w="954"/>
        <w:gridCol w:w="1233"/>
        <w:gridCol w:w="1260"/>
        <w:gridCol w:w="1018"/>
      </w:tblGrid>
      <w:tr w:rsidR="00E46063" w:rsidRPr="001C3AE7">
        <w:trPr>
          <w:trHeight w:val="350"/>
          <w:jc w:val="center"/>
        </w:trPr>
        <w:tc>
          <w:tcPr>
            <w:tcW w:w="1350" w:type="dxa"/>
            <w:vAlign w:val="center"/>
          </w:tcPr>
          <w:p w:rsidR="00E46063" w:rsidRPr="001C3AE7" w:rsidRDefault="00E46063" w:rsidP="00614C04">
            <w:pPr>
              <w:pStyle w:val="Heading3"/>
              <w:jc w:val="center"/>
              <w:rPr>
                <w:sz w:val="14"/>
                <w:szCs w:val="16"/>
              </w:rPr>
            </w:pPr>
            <w:r w:rsidRPr="001C3AE7">
              <w:rPr>
                <w:sz w:val="14"/>
                <w:szCs w:val="16"/>
              </w:rPr>
              <w:t>Threshold type</w:t>
            </w:r>
          </w:p>
        </w:tc>
        <w:tc>
          <w:tcPr>
            <w:tcW w:w="2034" w:type="dxa"/>
            <w:gridSpan w:val="2"/>
            <w:tcMar>
              <w:left w:w="29" w:type="dxa"/>
              <w:right w:w="29" w:type="dxa"/>
            </w:tcMar>
            <w:vAlign w:val="center"/>
          </w:tcPr>
          <w:p w:rsidR="00E46063" w:rsidRPr="001C3AE7" w:rsidRDefault="00E46063" w:rsidP="00614C04">
            <w:pPr>
              <w:pStyle w:val="Heading3"/>
              <w:rPr>
                <w:sz w:val="14"/>
                <w:szCs w:val="16"/>
              </w:rPr>
            </w:pPr>
            <w:r w:rsidRPr="001C3AE7">
              <w:rPr>
                <w:sz w:val="14"/>
                <w:szCs w:val="16"/>
              </w:rPr>
              <w:sym w:font="Wingdings" w:char="F0E8"/>
            </w:r>
            <w:r w:rsidRPr="001C3AE7">
              <w:rPr>
                <w:sz w:val="14"/>
                <w:szCs w:val="16"/>
              </w:rPr>
              <w:t xml:space="preserve">          Constant value</w:t>
            </w:r>
          </w:p>
        </w:tc>
        <w:tc>
          <w:tcPr>
            <w:tcW w:w="2493" w:type="dxa"/>
            <w:gridSpan w:val="2"/>
            <w:tcMar>
              <w:left w:w="14" w:type="dxa"/>
              <w:right w:w="14" w:type="dxa"/>
            </w:tcMar>
            <w:vAlign w:val="center"/>
          </w:tcPr>
          <w:p w:rsidR="00E46063" w:rsidRPr="001C3AE7" w:rsidRDefault="00E46063" w:rsidP="00614C04">
            <w:pPr>
              <w:pStyle w:val="Heading3"/>
              <w:jc w:val="center"/>
              <w:rPr>
                <w:sz w:val="14"/>
                <w:szCs w:val="16"/>
              </w:rPr>
            </w:pPr>
            <w:r w:rsidRPr="001C3AE7">
              <w:rPr>
                <w:sz w:val="14"/>
                <w:szCs w:val="16"/>
              </w:rPr>
              <w:t>Relative to contemporary median</w:t>
            </w:r>
          </w:p>
        </w:tc>
        <w:tc>
          <w:tcPr>
            <w:tcW w:w="1018" w:type="dxa"/>
            <w:vMerge w:val="restart"/>
            <w:shd w:val="clear" w:color="auto" w:fill="auto"/>
            <w:vAlign w:val="center"/>
          </w:tcPr>
          <w:p w:rsidR="00E46063" w:rsidRPr="001C3AE7" w:rsidRDefault="00E46063" w:rsidP="00614C04">
            <w:pPr>
              <w:pStyle w:val="Heading3"/>
              <w:jc w:val="center"/>
              <w:rPr>
                <w:sz w:val="14"/>
                <w:szCs w:val="18"/>
              </w:rPr>
            </w:pPr>
            <w:r w:rsidRPr="00862426">
              <w:rPr>
                <w:sz w:val="14"/>
                <w:szCs w:val="16"/>
              </w:rPr>
              <w:t>Total children (thousands</w:t>
            </w:r>
            <w:r w:rsidRPr="00862426">
              <w:rPr>
                <w:sz w:val="14"/>
                <w:szCs w:val="18"/>
              </w:rPr>
              <w:t>)</w:t>
            </w:r>
          </w:p>
        </w:tc>
      </w:tr>
      <w:tr w:rsidR="00E46063" w:rsidRPr="001C3AE7">
        <w:trPr>
          <w:trHeight w:hRule="exact" w:val="460"/>
          <w:jc w:val="center"/>
        </w:trPr>
        <w:tc>
          <w:tcPr>
            <w:tcW w:w="1350" w:type="dxa"/>
            <w:vAlign w:val="center"/>
          </w:tcPr>
          <w:p w:rsidR="00E46063" w:rsidRPr="001C3AE7" w:rsidRDefault="00E46063" w:rsidP="00614C04">
            <w:pPr>
              <w:pStyle w:val="Heading3"/>
              <w:jc w:val="center"/>
              <w:rPr>
                <w:b w:val="0"/>
                <w:sz w:val="14"/>
                <w:szCs w:val="18"/>
              </w:rPr>
            </w:pPr>
            <w:r>
              <w:rPr>
                <w:b w:val="0"/>
                <w:sz w:val="14"/>
                <w:szCs w:val="18"/>
              </w:rPr>
              <w:t>HES year</w:t>
            </w:r>
          </w:p>
        </w:tc>
        <w:tc>
          <w:tcPr>
            <w:tcW w:w="1080" w:type="dxa"/>
            <w:vAlign w:val="center"/>
          </w:tcPr>
          <w:p w:rsidR="00E46063" w:rsidRPr="001C3AE7" w:rsidRDefault="00E46063" w:rsidP="00614C04">
            <w:pPr>
              <w:pStyle w:val="Heading3"/>
              <w:jc w:val="center"/>
              <w:rPr>
                <w:sz w:val="14"/>
                <w:szCs w:val="16"/>
              </w:rPr>
            </w:pPr>
            <w:r w:rsidRPr="001C3AE7">
              <w:rPr>
                <w:sz w:val="14"/>
                <w:szCs w:val="16"/>
              </w:rPr>
              <w:t xml:space="preserve">60%  1998 median </w:t>
            </w:r>
          </w:p>
        </w:tc>
        <w:tc>
          <w:tcPr>
            <w:tcW w:w="954" w:type="dxa"/>
            <w:vAlign w:val="center"/>
          </w:tcPr>
          <w:p w:rsidR="00E46063" w:rsidRPr="001C3AE7" w:rsidRDefault="00E46063" w:rsidP="00614C04">
            <w:pPr>
              <w:pStyle w:val="Heading3"/>
              <w:jc w:val="center"/>
              <w:rPr>
                <w:sz w:val="14"/>
                <w:szCs w:val="16"/>
              </w:rPr>
            </w:pPr>
            <w:r w:rsidRPr="001C3AE7">
              <w:rPr>
                <w:sz w:val="14"/>
                <w:szCs w:val="16"/>
              </w:rPr>
              <w:t>60%  2007 median</w:t>
            </w:r>
          </w:p>
        </w:tc>
        <w:tc>
          <w:tcPr>
            <w:tcW w:w="1233" w:type="dxa"/>
            <w:vAlign w:val="center"/>
          </w:tcPr>
          <w:p w:rsidR="00E46063" w:rsidRPr="001C3AE7" w:rsidRDefault="00E46063" w:rsidP="00614C04">
            <w:pPr>
              <w:pStyle w:val="Heading3"/>
              <w:jc w:val="center"/>
              <w:rPr>
                <w:sz w:val="14"/>
                <w:szCs w:val="16"/>
              </w:rPr>
            </w:pPr>
            <w:r w:rsidRPr="001C3AE7">
              <w:rPr>
                <w:sz w:val="14"/>
                <w:szCs w:val="16"/>
              </w:rPr>
              <w:t>50%  contemp median</w:t>
            </w:r>
          </w:p>
        </w:tc>
        <w:tc>
          <w:tcPr>
            <w:tcW w:w="1260" w:type="dxa"/>
            <w:vAlign w:val="center"/>
          </w:tcPr>
          <w:p w:rsidR="00E46063" w:rsidRPr="001C3AE7" w:rsidRDefault="00E46063" w:rsidP="00614C04">
            <w:pPr>
              <w:pStyle w:val="Heading3"/>
              <w:jc w:val="center"/>
              <w:rPr>
                <w:sz w:val="14"/>
                <w:szCs w:val="16"/>
              </w:rPr>
            </w:pPr>
            <w:r w:rsidRPr="001C3AE7">
              <w:rPr>
                <w:sz w:val="14"/>
                <w:szCs w:val="16"/>
              </w:rPr>
              <w:t>60%  contemp median</w:t>
            </w:r>
          </w:p>
        </w:tc>
        <w:tc>
          <w:tcPr>
            <w:tcW w:w="1018" w:type="dxa"/>
            <w:vMerge/>
            <w:shd w:val="clear" w:color="auto" w:fill="auto"/>
            <w:vAlign w:val="center"/>
          </w:tcPr>
          <w:p w:rsidR="00E46063" w:rsidRPr="001C3AE7" w:rsidRDefault="00E46063" w:rsidP="00614C04">
            <w:pPr>
              <w:pStyle w:val="Heading3"/>
              <w:jc w:val="center"/>
              <w:rPr>
                <w:b w:val="0"/>
                <w:sz w:val="14"/>
                <w:szCs w:val="18"/>
              </w:rPr>
            </w:pP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1982</w:t>
            </w:r>
          </w:p>
        </w:tc>
        <w:tc>
          <w:tcPr>
            <w:tcW w:w="1080" w:type="dxa"/>
            <w:vAlign w:val="center"/>
          </w:tcPr>
          <w:p w:rsidR="00E46063" w:rsidRPr="00862426" w:rsidRDefault="00E46063" w:rsidP="00614C04">
            <w:pPr>
              <w:pStyle w:val="Heading3"/>
              <w:jc w:val="center"/>
              <w:rPr>
                <w:b w:val="0"/>
                <w:sz w:val="14"/>
                <w:szCs w:val="16"/>
              </w:rPr>
            </w:pPr>
            <w:r>
              <w:rPr>
                <w:b w:val="0"/>
                <w:sz w:val="14"/>
                <w:szCs w:val="16"/>
              </w:rPr>
              <w:t>12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9</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14</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940</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1984</w:t>
            </w:r>
          </w:p>
        </w:tc>
        <w:tc>
          <w:tcPr>
            <w:tcW w:w="1080" w:type="dxa"/>
            <w:vAlign w:val="center"/>
          </w:tcPr>
          <w:p w:rsidR="00E46063" w:rsidRPr="00862426" w:rsidRDefault="00E46063" w:rsidP="00614C04">
            <w:pPr>
              <w:pStyle w:val="Heading3"/>
              <w:jc w:val="center"/>
              <w:rPr>
                <w:b w:val="0"/>
                <w:sz w:val="14"/>
                <w:szCs w:val="16"/>
              </w:rPr>
            </w:pPr>
            <w:r>
              <w:rPr>
                <w:b w:val="0"/>
                <w:sz w:val="14"/>
                <w:szCs w:val="16"/>
              </w:rPr>
              <w:t>15</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10</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15</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w:t>
            </w:r>
            <w:r>
              <w:rPr>
                <w:b w:val="0"/>
                <w:sz w:val="14"/>
                <w:szCs w:val="16"/>
              </w:rPr>
              <w:t>25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1986</w:t>
            </w:r>
          </w:p>
        </w:tc>
        <w:tc>
          <w:tcPr>
            <w:tcW w:w="1080" w:type="dxa"/>
            <w:vAlign w:val="center"/>
          </w:tcPr>
          <w:p w:rsidR="00E46063" w:rsidRPr="00862426" w:rsidRDefault="00E46063" w:rsidP="00614C04">
            <w:pPr>
              <w:pStyle w:val="Heading3"/>
              <w:jc w:val="center"/>
              <w:rPr>
                <w:b w:val="0"/>
                <w:sz w:val="14"/>
                <w:szCs w:val="16"/>
              </w:rPr>
            </w:pPr>
            <w:r>
              <w:rPr>
                <w:b w:val="0"/>
                <w:sz w:val="14"/>
                <w:szCs w:val="16"/>
              </w:rPr>
              <w:t>11</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7</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11</w:t>
            </w:r>
          </w:p>
        </w:tc>
        <w:tc>
          <w:tcPr>
            <w:tcW w:w="1018" w:type="dxa"/>
            <w:vAlign w:val="center"/>
          </w:tcPr>
          <w:p w:rsidR="00E46063" w:rsidRPr="00862426" w:rsidRDefault="00E46063" w:rsidP="00614C04">
            <w:pPr>
              <w:pStyle w:val="Heading3"/>
              <w:jc w:val="center"/>
              <w:rPr>
                <w:b w:val="0"/>
                <w:sz w:val="14"/>
                <w:szCs w:val="16"/>
              </w:rPr>
            </w:pPr>
            <w:r>
              <w:rPr>
                <w:b w:val="0"/>
                <w:sz w:val="14"/>
                <w:szCs w:val="16"/>
              </w:rPr>
              <w:t>895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1988</w:t>
            </w:r>
          </w:p>
        </w:tc>
        <w:tc>
          <w:tcPr>
            <w:tcW w:w="1080" w:type="dxa"/>
            <w:vAlign w:val="center"/>
          </w:tcPr>
          <w:p w:rsidR="00E46063" w:rsidRPr="00862426" w:rsidRDefault="00E46063" w:rsidP="00614C04">
            <w:pPr>
              <w:pStyle w:val="Heading3"/>
              <w:jc w:val="center"/>
              <w:rPr>
                <w:b w:val="0"/>
                <w:sz w:val="14"/>
                <w:szCs w:val="16"/>
              </w:rPr>
            </w:pPr>
            <w:r>
              <w:rPr>
                <w:b w:val="0"/>
                <w:sz w:val="14"/>
                <w:szCs w:val="16"/>
              </w:rPr>
              <w:t>12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8</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13</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8</w:t>
            </w:r>
            <w:r>
              <w:rPr>
                <w:b w:val="0"/>
                <w:sz w:val="14"/>
                <w:szCs w:val="16"/>
              </w:rPr>
              <w:t>85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1990</w:t>
            </w:r>
          </w:p>
        </w:tc>
        <w:tc>
          <w:tcPr>
            <w:tcW w:w="1080" w:type="dxa"/>
            <w:vAlign w:val="center"/>
          </w:tcPr>
          <w:p w:rsidR="00E46063" w:rsidRPr="00862426" w:rsidRDefault="00E46063" w:rsidP="00614C04">
            <w:pPr>
              <w:pStyle w:val="Heading3"/>
              <w:jc w:val="center"/>
              <w:rPr>
                <w:b w:val="0"/>
                <w:sz w:val="14"/>
                <w:szCs w:val="16"/>
              </w:rPr>
            </w:pPr>
            <w:r>
              <w:rPr>
                <w:b w:val="0"/>
                <w:sz w:val="14"/>
                <w:szCs w:val="16"/>
              </w:rPr>
              <w:t>16</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7</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16</w:t>
            </w:r>
          </w:p>
        </w:tc>
        <w:tc>
          <w:tcPr>
            <w:tcW w:w="1018" w:type="dxa"/>
            <w:vAlign w:val="center"/>
          </w:tcPr>
          <w:p w:rsidR="00E46063" w:rsidRPr="00862426" w:rsidRDefault="00E46063" w:rsidP="00614C04">
            <w:pPr>
              <w:pStyle w:val="Heading3"/>
              <w:jc w:val="center"/>
              <w:rPr>
                <w:b w:val="0"/>
                <w:sz w:val="14"/>
                <w:szCs w:val="16"/>
              </w:rPr>
            </w:pPr>
            <w:r>
              <w:rPr>
                <w:b w:val="0"/>
                <w:sz w:val="14"/>
                <w:szCs w:val="16"/>
              </w:rPr>
              <w:t>875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1992</w:t>
            </w:r>
          </w:p>
        </w:tc>
        <w:tc>
          <w:tcPr>
            <w:tcW w:w="1080" w:type="dxa"/>
            <w:vAlign w:val="center"/>
          </w:tcPr>
          <w:p w:rsidR="00E46063" w:rsidRPr="00862426" w:rsidRDefault="00E46063" w:rsidP="00614C04">
            <w:pPr>
              <w:pStyle w:val="Heading3"/>
              <w:jc w:val="center"/>
              <w:rPr>
                <w:b w:val="0"/>
                <w:sz w:val="14"/>
                <w:szCs w:val="16"/>
              </w:rPr>
            </w:pPr>
            <w:r>
              <w:rPr>
                <w:b w:val="0"/>
                <w:sz w:val="14"/>
                <w:szCs w:val="16"/>
              </w:rPr>
              <w:t>33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17</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27</w:t>
            </w:r>
          </w:p>
        </w:tc>
        <w:tc>
          <w:tcPr>
            <w:tcW w:w="1018" w:type="dxa"/>
            <w:vAlign w:val="center"/>
          </w:tcPr>
          <w:p w:rsidR="00E46063" w:rsidRPr="00862426" w:rsidRDefault="00E46063" w:rsidP="00614C04">
            <w:pPr>
              <w:pStyle w:val="Heading3"/>
              <w:jc w:val="center"/>
              <w:rPr>
                <w:b w:val="0"/>
                <w:sz w:val="14"/>
                <w:szCs w:val="16"/>
              </w:rPr>
            </w:pPr>
            <w:r>
              <w:rPr>
                <w:b w:val="0"/>
                <w:sz w:val="14"/>
                <w:szCs w:val="16"/>
              </w:rPr>
              <w:t>875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1994</w:t>
            </w:r>
          </w:p>
        </w:tc>
        <w:tc>
          <w:tcPr>
            <w:tcW w:w="1080" w:type="dxa"/>
            <w:vAlign w:val="center"/>
          </w:tcPr>
          <w:p w:rsidR="00E46063" w:rsidRPr="00862426" w:rsidRDefault="00E46063" w:rsidP="00614C04">
            <w:pPr>
              <w:pStyle w:val="Heading3"/>
              <w:jc w:val="center"/>
              <w:rPr>
                <w:b w:val="0"/>
                <w:sz w:val="14"/>
                <w:szCs w:val="16"/>
              </w:rPr>
            </w:pPr>
            <w:r>
              <w:rPr>
                <w:b w:val="0"/>
                <w:sz w:val="14"/>
                <w:szCs w:val="16"/>
              </w:rPr>
              <w:t>35</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20</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29</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910</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1996</w:t>
            </w:r>
          </w:p>
        </w:tc>
        <w:tc>
          <w:tcPr>
            <w:tcW w:w="1080" w:type="dxa"/>
            <w:vAlign w:val="center"/>
          </w:tcPr>
          <w:p w:rsidR="00E46063" w:rsidRPr="00862426" w:rsidRDefault="00E46063" w:rsidP="00614C04">
            <w:pPr>
              <w:pStyle w:val="Heading3"/>
              <w:jc w:val="center"/>
              <w:rPr>
                <w:b w:val="0"/>
                <w:sz w:val="14"/>
                <w:szCs w:val="16"/>
              </w:rPr>
            </w:pPr>
            <w:r>
              <w:rPr>
                <w:b w:val="0"/>
                <w:sz w:val="14"/>
                <w:szCs w:val="16"/>
              </w:rPr>
              <w:t>32</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20</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28</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940</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1998</w:t>
            </w:r>
          </w:p>
        </w:tc>
        <w:tc>
          <w:tcPr>
            <w:tcW w:w="1080" w:type="dxa"/>
            <w:vAlign w:val="center"/>
          </w:tcPr>
          <w:p w:rsidR="00E46063" w:rsidRPr="00862426" w:rsidRDefault="00E46063" w:rsidP="00614C04">
            <w:pPr>
              <w:pStyle w:val="Heading3"/>
              <w:jc w:val="center"/>
              <w:rPr>
                <w:b w:val="0"/>
                <w:sz w:val="14"/>
                <w:szCs w:val="16"/>
              </w:rPr>
            </w:pPr>
            <w:r>
              <w:rPr>
                <w:b w:val="0"/>
                <w:sz w:val="14"/>
                <w:szCs w:val="16"/>
              </w:rPr>
              <w:t>28</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20</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28</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950</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2001</w:t>
            </w:r>
          </w:p>
        </w:tc>
        <w:tc>
          <w:tcPr>
            <w:tcW w:w="1080" w:type="dxa"/>
            <w:vAlign w:val="center"/>
          </w:tcPr>
          <w:p w:rsidR="00E46063" w:rsidRPr="00862426" w:rsidRDefault="00E46063" w:rsidP="00614C04">
            <w:pPr>
              <w:pStyle w:val="Heading3"/>
              <w:jc w:val="center"/>
              <w:rPr>
                <w:b w:val="0"/>
                <w:sz w:val="14"/>
                <w:szCs w:val="16"/>
              </w:rPr>
            </w:pPr>
            <w:r>
              <w:rPr>
                <w:b w:val="0"/>
                <w:sz w:val="14"/>
                <w:szCs w:val="16"/>
              </w:rPr>
              <w:t>29</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37</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21</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30</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1020</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2004</w:t>
            </w:r>
          </w:p>
        </w:tc>
        <w:tc>
          <w:tcPr>
            <w:tcW w:w="1080" w:type="dxa"/>
            <w:vAlign w:val="center"/>
          </w:tcPr>
          <w:p w:rsidR="00E46063" w:rsidRPr="00862426" w:rsidRDefault="00E46063" w:rsidP="00614C04">
            <w:pPr>
              <w:pStyle w:val="Heading3"/>
              <w:jc w:val="center"/>
              <w:rPr>
                <w:b w:val="0"/>
                <w:sz w:val="14"/>
                <w:szCs w:val="16"/>
              </w:rPr>
            </w:pPr>
            <w:r>
              <w:rPr>
                <w:b w:val="0"/>
                <w:sz w:val="14"/>
                <w:szCs w:val="16"/>
              </w:rPr>
              <w:t>23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31</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19</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28</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1040</w:t>
            </w:r>
          </w:p>
        </w:tc>
      </w:tr>
      <w:tr w:rsidR="00E46063" w:rsidRPr="00862426">
        <w:trPr>
          <w:trHeight w:hRule="exact" w:val="245"/>
          <w:jc w:val="center"/>
        </w:trPr>
        <w:tc>
          <w:tcPr>
            <w:tcW w:w="135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2007</w:t>
            </w:r>
          </w:p>
        </w:tc>
        <w:tc>
          <w:tcPr>
            <w:tcW w:w="1080"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Pr>
                <w:b w:val="0"/>
                <w:sz w:val="14"/>
                <w:szCs w:val="16"/>
              </w:rPr>
              <w:t>16</w:t>
            </w:r>
          </w:p>
        </w:tc>
        <w:tc>
          <w:tcPr>
            <w:tcW w:w="954" w:type="dxa"/>
            <w:tcBorders>
              <w:top w:val="single" w:sz="12" w:space="0" w:color="auto"/>
            </w:tcBorders>
            <w:vAlign w:val="center"/>
          </w:tcPr>
          <w:p w:rsidR="00E46063" w:rsidRPr="001C3AE7" w:rsidRDefault="00E46063" w:rsidP="00614C04">
            <w:pPr>
              <w:pStyle w:val="Heading3"/>
              <w:spacing w:before="40" w:after="40"/>
              <w:jc w:val="center"/>
              <w:rPr>
                <w:b w:val="0"/>
                <w:sz w:val="14"/>
                <w:szCs w:val="16"/>
              </w:rPr>
            </w:pPr>
            <w:r>
              <w:rPr>
                <w:b w:val="0"/>
                <w:sz w:val="14"/>
                <w:szCs w:val="16"/>
              </w:rPr>
              <w:t>22</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16</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22</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w:t>
            </w:r>
            <w:r>
              <w:rPr>
                <w:b w:val="0"/>
                <w:sz w:val="14"/>
                <w:szCs w:val="16"/>
              </w:rPr>
              <w:t>65</w:t>
            </w:r>
          </w:p>
        </w:tc>
      </w:tr>
      <w:tr w:rsidR="00E46063" w:rsidRPr="00862426">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2009</w:t>
            </w:r>
          </w:p>
        </w:tc>
        <w:tc>
          <w:tcPr>
            <w:tcW w:w="1080" w:type="dxa"/>
            <w:vAlign w:val="center"/>
          </w:tcPr>
          <w:p w:rsidR="00E46063" w:rsidRPr="001C3AE7" w:rsidRDefault="00E46063" w:rsidP="00614C04">
            <w:pPr>
              <w:pStyle w:val="Heading3"/>
              <w:spacing w:before="40" w:after="40"/>
              <w:jc w:val="center"/>
              <w:rPr>
                <w:b w:val="0"/>
                <w:sz w:val="14"/>
                <w:szCs w:val="16"/>
              </w:rPr>
            </w:pPr>
            <w:r>
              <w:rPr>
                <w:b w:val="0"/>
                <w:sz w:val="14"/>
                <w:szCs w:val="16"/>
              </w:rPr>
              <w:t>17</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22</w:t>
            </w:r>
          </w:p>
        </w:tc>
        <w:tc>
          <w:tcPr>
            <w:tcW w:w="1233" w:type="dxa"/>
            <w:vAlign w:val="center"/>
          </w:tcPr>
          <w:p w:rsidR="00E46063" w:rsidRPr="00BE7951" w:rsidRDefault="00E46063" w:rsidP="00614C04">
            <w:pPr>
              <w:pStyle w:val="Heading3"/>
              <w:jc w:val="center"/>
              <w:rPr>
                <w:b w:val="0"/>
                <w:sz w:val="14"/>
                <w:szCs w:val="16"/>
              </w:rPr>
            </w:pPr>
            <w:r w:rsidRPr="00BE7951">
              <w:rPr>
                <w:b w:val="0"/>
                <w:sz w:val="14"/>
                <w:szCs w:val="16"/>
              </w:rPr>
              <w:t>18</w:t>
            </w:r>
          </w:p>
        </w:tc>
        <w:tc>
          <w:tcPr>
            <w:tcW w:w="1260" w:type="dxa"/>
            <w:vAlign w:val="center"/>
          </w:tcPr>
          <w:p w:rsidR="00E46063" w:rsidRPr="00BE7951" w:rsidRDefault="00E46063" w:rsidP="00614C04">
            <w:pPr>
              <w:pStyle w:val="Heading3"/>
              <w:jc w:val="center"/>
              <w:rPr>
                <w:b w:val="0"/>
                <w:sz w:val="14"/>
                <w:szCs w:val="16"/>
              </w:rPr>
            </w:pPr>
            <w:r w:rsidRPr="00BE7951">
              <w:rPr>
                <w:b w:val="0"/>
                <w:sz w:val="14"/>
                <w:szCs w:val="16"/>
              </w:rPr>
              <w:t>25</w:t>
            </w:r>
          </w:p>
        </w:tc>
        <w:tc>
          <w:tcPr>
            <w:tcW w:w="1018" w:type="dxa"/>
            <w:vAlign w:val="center"/>
          </w:tcPr>
          <w:p w:rsidR="00E46063" w:rsidRPr="00862426" w:rsidRDefault="00E46063" w:rsidP="00614C04">
            <w:pPr>
              <w:pStyle w:val="Heading3"/>
              <w:jc w:val="center"/>
              <w:rPr>
                <w:b w:val="0"/>
                <w:sz w:val="14"/>
                <w:szCs w:val="16"/>
              </w:rPr>
            </w:pPr>
            <w:r w:rsidRPr="00862426">
              <w:rPr>
                <w:b w:val="0"/>
                <w:sz w:val="14"/>
                <w:szCs w:val="16"/>
              </w:rPr>
              <w:t>1070</w:t>
            </w:r>
          </w:p>
        </w:tc>
      </w:tr>
      <w:tr w:rsidR="00E46063" w:rsidRPr="001C3AE7">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sidRPr="001C3AE7">
              <w:rPr>
                <w:b w:val="0"/>
                <w:sz w:val="14"/>
                <w:szCs w:val="16"/>
              </w:rPr>
              <w:t>2010</w:t>
            </w:r>
          </w:p>
        </w:tc>
        <w:tc>
          <w:tcPr>
            <w:tcW w:w="1080" w:type="dxa"/>
            <w:vAlign w:val="center"/>
          </w:tcPr>
          <w:p w:rsidR="00E46063" w:rsidRPr="001C3AE7" w:rsidRDefault="00E46063" w:rsidP="00614C04">
            <w:pPr>
              <w:pStyle w:val="Heading3"/>
              <w:spacing w:before="40" w:after="40"/>
              <w:jc w:val="center"/>
              <w:rPr>
                <w:b w:val="0"/>
                <w:sz w:val="14"/>
                <w:szCs w:val="16"/>
              </w:rPr>
            </w:pPr>
            <w:r>
              <w:rPr>
                <w:b w:val="0"/>
                <w:sz w:val="14"/>
                <w:szCs w:val="16"/>
              </w:rPr>
              <w:t>13</w:t>
            </w:r>
          </w:p>
        </w:tc>
        <w:tc>
          <w:tcPr>
            <w:tcW w:w="954" w:type="dxa"/>
            <w:vAlign w:val="center"/>
          </w:tcPr>
          <w:p w:rsidR="00E46063" w:rsidRPr="001C3AE7" w:rsidRDefault="00E46063" w:rsidP="00614C04">
            <w:pPr>
              <w:pStyle w:val="Heading3"/>
              <w:spacing w:before="40" w:after="40"/>
              <w:jc w:val="center"/>
              <w:rPr>
                <w:b w:val="0"/>
                <w:sz w:val="14"/>
                <w:szCs w:val="16"/>
              </w:rPr>
            </w:pPr>
            <w:r>
              <w:rPr>
                <w:b w:val="0"/>
                <w:sz w:val="14"/>
                <w:szCs w:val="16"/>
              </w:rPr>
              <w:t>22</w:t>
            </w:r>
          </w:p>
        </w:tc>
        <w:tc>
          <w:tcPr>
            <w:tcW w:w="1233" w:type="dxa"/>
            <w:vAlign w:val="center"/>
          </w:tcPr>
          <w:p w:rsidR="00E46063" w:rsidRPr="001C3AE7" w:rsidRDefault="00E46063" w:rsidP="00614C04">
            <w:pPr>
              <w:pStyle w:val="Heading3"/>
              <w:spacing w:before="40" w:after="40"/>
              <w:jc w:val="center"/>
              <w:rPr>
                <w:b w:val="0"/>
                <w:sz w:val="14"/>
                <w:szCs w:val="16"/>
              </w:rPr>
            </w:pPr>
            <w:r>
              <w:rPr>
                <w:b w:val="0"/>
                <w:sz w:val="14"/>
                <w:szCs w:val="16"/>
              </w:rPr>
              <w:t>16</w:t>
            </w:r>
          </w:p>
        </w:tc>
        <w:tc>
          <w:tcPr>
            <w:tcW w:w="1260" w:type="dxa"/>
            <w:vAlign w:val="center"/>
          </w:tcPr>
          <w:p w:rsidR="00E46063" w:rsidRPr="00862426" w:rsidRDefault="00E46063" w:rsidP="00614C04">
            <w:pPr>
              <w:pStyle w:val="Heading3"/>
              <w:jc w:val="center"/>
              <w:rPr>
                <w:b w:val="0"/>
                <w:sz w:val="14"/>
                <w:szCs w:val="16"/>
              </w:rPr>
            </w:pPr>
            <w:r>
              <w:rPr>
                <w:b w:val="0"/>
                <w:sz w:val="14"/>
                <w:szCs w:val="16"/>
              </w:rPr>
              <w:t>26</w:t>
            </w:r>
          </w:p>
        </w:tc>
        <w:tc>
          <w:tcPr>
            <w:tcW w:w="1018" w:type="dxa"/>
            <w:vAlign w:val="center"/>
          </w:tcPr>
          <w:p w:rsidR="00E46063" w:rsidRPr="001C3AE7" w:rsidRDefault="00E46063" w:rsidP="00614C04">
            <w:pPr>
              <w:pStyle w:val="Heading3"/>
              <w:spacing w:before="40" w:after="40"/>
              <w:jc w:val="center"/>
              <w:rPr>
                <w:b w:val="0"/>
                <w:sz w:val="14"/>
                <w:szCs w:val="16"/>
              </w:rPr>
            </w:pPr>
            <w:r>
              <w:rPr>
                <w:b w:val="0"/>
                <w:sz w:val="14"/>
                <w:szCs w:val="16"/>
              </w:rPr>
              <w:t>1065</w:t>
            </w:r>
          </w:p>
        </w:tc>
      </w:tr>
      <w:tr w:rsidR="00E46063" w:rsidRPr="001C3AE7">
        <w:trPr>
          <w:trHeight w:hRule="exact" w:val="245"/>
          <w:jc w:val="center"/>
        </w:trPr>
        <w:tc>
          <w:tcPr>
            <w:tcW w:w="1350" w:type="dxa"/>
            <w:vAlign w:val="center"/>
          </w:tcPr>
          <w:p w:rsidR="00E46063" w:rsidRPr="001C3AE7" w:rsidRDefault="00E46063" w:rsidP="00614C04">
            <w:pPr>
              <w:pStyle w:val="Heading3"/>
              <w:spacing w:before="40" w:after="40"/>
              <w:jc w:val="center"/>
              <w:rPr>
                <w:b w:val="0"/>
                <w:sz w:val="14"/>
                <w:szCs w:val="16"/>
              </w:rPr>
            </w:pPr>
            <w:r>
              <w:rPr>
                <w:b w:val="0"/>
                <w:sz w:val="14"/>
                <w:szCs w:val="16"/>
              </w:rPr>
              <w:t>2011</w:t>
            </w:r>
          </w:p>
        </w:tc>
        <w:tc>
          <w:tcPr>
            <w:tcW w:w="1080" w:type="dxa"/>
            <w:vAlign w:val="center"/>
          </w:tcPr>
          <w:p w:rsidR="00E46063" w:rsidRDefault="00E46063" w:rsidP="00614C04">
            <w:pPr>
              <w:pStyle w:val="Heading3"/>
              <w:spacing w:before="40" w:after="40"/>
              <w:jc w:val="center"/>
              <w:rPr>
                <w:b w:val="0"/>
                <w:sz w:val="14"/>
                <w:szCs w:val="16"/>
              </w:rPr>
            </w:pPr>
            <w:r>
              <w:rPr>
                <w:b w:val="0"/>
                <w:sz w:val="14"/>
                <w:szCs w:val="16"/>
              </w:rPr>
              <w:t>14</w:t>
            </w:r>
          </w:p>
        </w:tc>
        <w:tc>
          <w:tcPr>
            <w:tcW w:w="954" w:type="dxa"/>
            <w:vAlign w:val="center"/>
          </w:tcPr>
          <w:p w:rsidR="00E46063" w:rsidRDefault="00E46063" w:rsidP="00614C04">
            <w:pPr>
              <w:pStyle w:val="Heading3"/>
              <w:spacing w:before="40" w:after="40"/>
              <w:jc w:val="center"/>
              <w:rPr>
                <w:b w:val="0"/>
                <w:sz w:val="14"/>
                <w:szCs w:val="16"/>
              </w:rPr>
            </w:pPr>
            <w:r>
              <w:rPr>
                <w:b w:val="0"/>
                <w:sz w:val="14"/>
                <w:szCs w:val="16"/>
              </w:rPr>
              <w:t>21</w:t>
            </w:r>
          </w:p>
        </w:tc>
        <w:tc>
          <w:tcPr>
            <w:tcW w:w="1233" w:type="dxa"/>
            <w:vAlign w:val="center"/>
          </w:tcPr>
          <w:p w:rsidR="00E46063" w:rsidRDefault="00E46063" w:rsidP="00614C04">
            <w:pPr>
              <w:pStyle w:val="Heading3"/>
              <w:spacing w:before="40" w:after="40"/>
              <w:jc w:val="center"/>
              <w:rPr>
                <w:b w:val="0"/>
                <w:sz w:val="14"/>
                <w:szCs w:val="16"/>
              </w:rPr>
            </w:pPr>
            <w:r>
              <w:rPr>
                <w:b w:val="0"/>
                <w:sz w:val="14"/>
                <w:szCs w:val="16"/>
              </w:rPr>
              <w:t>16</w:t>
            </w:r>
          </w:p>
        </w:tc>
        <w:tc>
          <w:tcPr>
            <w:tcW w:w="1260" w:type="dxa"/>
            <w:vAlign w:val="center"/>
          </w:tcPr>
          <w:p w:rsidR="00E46063" w:rsidRDefault="00E46063" w:rsidP="00614C04">
            <w:pPr>
              <w:pStyle w:val="Heading3"/>
              <w:jc w:val="center"/>
              <w:rPr>
                <w:b w:val="0"/>
                <w:sz w:val="14"/>
                <w:szCs w:val="16"/>
              </w:rPr>
            </w:pPr>
            <w:r>
              <w:rPr>
                <w:b w:val="0"/>
                <w:sz w:val="14"/>
                <w:szCs w:val="16"/>
              </w:rPr>
              <w:t>25</w:t>
            </w:r>
          </w:p>
        </w:tc>
        <w:tc>
          <w:tcPr>
            <w:tcW w:w="1018" w:type="dxa"/>
            <w:vAlign w:val="center"/>
          </w:tcPr>
          <w:p w:rsidR="00E46063" w:rsidRDefault="00E46063" w:rsidP="00614C04">
            <w:pPr>
              <w:pStyle w:val="Heading3"/>
              <w:spacing w:before="40" w:after="40"/>
              <w:jc w:val="center"/>
              <w:rPr>
                <w:b w:val="0"/>
                <w:sz w:val="14"/>
                <w:szCs w:val="16"/>
              </w:rPr>
            </w:pPr>
            <w:r>
              <w:rPr>
                <w:b w:val="0"/>
                <w:sz w:val="14"/>
                <w:szCs w:val="16"/>
              </w:rPr>
              <w:t>1067</w:t>
            </w:r>
          </w:p>
        </w:tc>
      </w:tr>
    </w:tbl>
    <w:p w:rsidR="00E46063" w:rsidRDefault="00E46063" w:rsidP="00E46063">
      <w:pPr>
        <w:spacing w:after="120"/>
        <w:jc w:val="center"/>
        <w:rPr>
          <w:b/>
          <w:sz w:val="20"/>
        </w:rPr>
      </w:pPr>
    </w:p>
    <w:p w:rsidR="00E46063" w:rsidRDefault="00E46063" w:rsidP="00E46063">
      <w:pPr>
        <w:tabs>
          <w:tab w:val="left" w:pos="990"/>
        </w:tabs>
        <w:ind w:left="993" w:right="907" w:hanging="547"/>
        <w:jc w:val="both"/>
        <w:rPr>
          <w:sz w:val="16"/>
          <w:szCs w:val="16"/>
        </w:rPr>
      </w:pPr>
      <w:r w:rsidRPr="000F1F84">
        <w:rPr>
          <w:color w:val="000000"/>
          <w:sz w:val="16"/>
          <w:szCs w:val="16"/>
        </w:rPr>
        <w:t xml:space="preserve">Note: </w:t>
      </w:r>
      <w:r w:rsidRPr="000B119F">
        <w:rPr>
          <w:color w:val="000000"/>
          <w:sz w:val="16"/>
          <w:szCs w:val="16"/>
        </w:rPr>
        <w:tab/>
      </w:r>
      <w:smartTag w:uri="urn:schemas-microsoft-com:office:smarttags" w:element="stockticker">
        <w:r w:rsidRPr="000B119F">
          <w:rPr>
            <w:sz w:val="16"/>
            <w:szCs w:val="16"/>
          </w:rPr>
          <w:t>AHC</w:t>
        </w:r>
      </w:smartTag>
      <w:r w:rsidRPr="000B119F">
        <w:rPr>
          <w:sz w:val="16"/>
          <w:szCs w:val="16"/>
        </w:rPr>
        <w:t xml:space="preserve"> thresholds are calculated by deducting 25% from the corresponding </w:t>
      </w:r>
      <w:smartTag w:uri="urn:schemas-microsoft-com:office:smarttags" w:element="stockticker">
        <w:r w:rsidRPr="000B119F">
          <w:rPr>
            <w:sz w:val="16"/>
            <w:szCs w:val="16"/>
          </w:rPr>
          <w:t>BHC</w:t>
        </w:r>
      </w:smartTag>
      <w:r w:rsidRPr="000B119F">
        <w:rPr>
          <w:sz w:val="16"/>
          <w:szCs w:val="16"/>
        </w:rPr>
        <w:t xml:space="preserve"> threshold as an allowance for housing costs.  Each household’s </w:t>
      </w:r>
      <w:smartTag w:uri="urn:schemas-microsoft-com:office:smarttags" w:element="stockticker">
        <w:r w:rsidRPr="000B119F">
          <w:rPr>
            <w:sz w:val="16"/>
            <w:szCs w:val="16"/>
          </w:rPr>
          <w:t>AHC</w:t>
        </w:r>
      </w:smartTag>
      <w:r w:rsidRPr="000B119F">
        <w:rPr>
          <w:sz w:val="16"/>
          <w:szCs w:val="16"/>
        </w:rPr>
        <w:t xml:space="preserve"> income is then assessed against the chosen threshold.</w:t>
      </w:r>
    </w:p>
    <w:p w:rsidR="00E46063" w:rsidRDefault="00E46063" w:rsidP="00E46063">
      <w:pPr>
        <w:tabs>
          <w:tab w:val="left" w:pos="990"/>
        </w:tabs>
        <w:ind w:left="993" w:right="907" w:hanging="547"/>
        <w:jc w:val="both"/>
        <w:rPr>
          <w:sz w:val="16"/>
          <w:szCs w:val="16"/>
        </w:rPr>
      </w:pPr>
    </w:p>
    <w:p w:rsidR="00E46063" w:rsidRPr="000F1F84" w:rsidRDefault="00E46063" w:rsidP="00E46063">
      <w:pPr>
        <w:tabs>
          <w:tab w:val="left" w:pos="990"/>
        </w:tabs>
        <w:ind w:left="993" w:right="907" w:hanging="547"/>
        <w:jc w:val="both"/>
        <w:rPr>
          <w:color w:val="000000"/>
          <w:sz w:val="16"/>
          <w:szCs w:val="16"/>
        </w:rPr>
      </w:pPr>
      <w:r>
        <w:rPr>
          <w:sz w:val="16"/>
          <w:szCs w:val="16"/>
        </w:rPr>
        <w:tab/>
        <w:t>See the note under Table F.6 for information on the choice of reference year (1998 or 2007) for the CV figures.</w:t>
      </w:r>
    </w:p>
    <w:p w:rsidR="00E46063" w:rsidRPr="00F551E9" w:rsidRDefault="00E46063" w:rsidP="00E46063">
      <w:pPr>
        <w:spacing w:after="120"/>
        <w:jc w:val="center"/>
        <w:rPr>
          <w:b/>
          <w:sz w:val="20"/>
        </w:rPr>
      </w:pPr>
    </w:p>
    <w:p w:rsidR="00E46063" w:rsidRPr="004945BC" w:rsidRDefault="00E46063" w:rsidP="00E46063">
      <w:pPr>
        <w:pStyle w:val="Heading3"/>
        <w:jc w:val="both"/>
        <w:rPr>
          <w:sz w:val="24"/>
          <w:szCs w:val="28"/>
        </w:rPr>
      </w:pPr>
      <w:r>
        <w:rPr>
          <w:sz w:val="24"/>
          <w:szCs w:val="28"/>
        </w:rPr>
        <w:br w:type="page"/>
      </w:r>
      <w:r w:rsidRPr="004945BC">
        <w:rPr>
          <w:sz w:val="24"/>
          <w:szCs w:val="28"/>
        </w:rPr>
        <w:lastRenderedPageBreak/>
        <w:t>Sensitivity of levels and trends to choice of poverty line</w:t>
      </w:r>
    </w:p>
    <w:p w:rsidR="00E46063" w:rsidRPr="004945BC" w:rsidRDefault="00E46063" w:rsidP="00E46063">
      <w:pPr>
        <w:pStyle w:val="Heading3"/>
        <w:jc w:val="both"/>
        <w:rPr>
          <w:sz w:val="24"/>
          <w:szCs w:val="28"/>
        </w:rPr>
      </w:pPr>
    </w:p>
    <w:p w:rsidR="00161F8B" w:rsidRDefault="00E46063" w:rsidP="00E46063">
      <w:pPr>
        <w:jc w:val="both"/>
        <w:rPr>
          <w:sz w:val="20"/>
        </w:rPr>
      </w:pPr>
      <w:r w:rsidRPr="004945BC">
        <w:rPr>
          <w:b/>
          <w:sz w:val="20"/>
        </w:rPr>
        <w:t>Figure</w:t>
      </w:r>
      <w:r w:rsidR="00161F8B">
        <w:rPr>
          <w:b/>
          <w:sz w:val="20"/>
        </w:rPr>
        <w:t>s</w:t>
      </w:r>
      <w:r w:rsidRPr="004945BC">
        <w:rPr>
          <w:b/>
          <w:sz w:val="20"/>
        </w:rPr>
        <w:t xml:space="preserve"> F.5 </w:t>
      </w:r>
      <w:r w:rsidRPr="004945BC">
        <w:rPr>
          <w:sz w:val="20"/>
        </w:rPr>
        <w:t>and</w:t>
      </w:r>
      <w:r w:rsidRPr="004945BC">
        <w:rPr>
          <w:b/>
          <w:sz w:val="20"/>
        </w:rPr>
        <w:t xml:space="preserve"> F.6 </w:t>
      </w:r>
      <w:r>
        <w:rPr>
          <w:sz w:val="20"/>
        </w:rPr>
        <w:t>show</w:t>
      </w:r>
      <w:r w:rsidRPr="004945BC">
        <w:rPr>
          <w:sz w:val="20"/>
        </w:rPr>
        <w:t xml:space="preserve"> how </w:t>
      </w:r>
      <w:r>
        <w:rPr>
          <w:sz w:val="20"/>
        </w:rPr>
        <w:t xml:space="preserve">the choice of threshold impacts on </w:t>
      </w:r>
      <w:r w:rsidRPr="004945BC">
        <w:rPr>
          <w:sz w:val="20"/>
        </w:rPr>
        <w:t>reported poverty rates</w:t>
      </w:r>
      <w:r>
        <w:rPr>
          <w:sz w:val="20"/>
        </w:rPr>
        <w:t xml:space="preserve"> for a given measure</w:t>
      </w:r>
      <w:r w:rsidRPr="004945BC">
        <w:rPr>
          <w:sz w:val="20"/>
        </w:rPr>
        <w:t xml:space="preserve"> at a point in time and </w:t>
      </w:r>
      <w:r>
        <w:rPr>
          <w:sz w:val="20"/>
        </w:rPr>
        <w:t xml:space="preserve">for </w:t>
      </w:r>
      <w:r w:rsidRPr="004945BC">
        <w:rPr>
          <w:sz w:val="20"/>
        </w:rPr>
        <w:t>trends over</w:t>
      </w:r>
      <w:r>
        <w:rPr>
          <w:sz w:val="20"/>
        </w:rPr>
        <w:t xml:space="preserve"> time.</w:t>
      </w:r>
      <w:r w:rsidR="00161F8B">
        <w:rPr>
          <w:sz w:val="20"/>
        </w:rPr>
        <w:t xml:space="preserve">   </w:t>
      </w:r>
      <w:r w:rsidRPr="00161F8B">
        <w:rPr>
          <w:sz w:val="20"/>
        </w:rPr>
        <w:t>Figure F.5</w:t>
      </w:r>
      <w:r w:rsidRPr="004945BC">
        <w:rPr>
          <w:sz w:val="20"/>
        </w:rPr>
        <w:t xml:space="preserve"> uses </w:t>
      </w:r>
      <w:smartTag w:uri="urn:schemas-microsoft-com:office:smarttags" w:element="stockticker">
        <w:r w:rsidRPr="004945BC">
          <w:rPr>
            <w:sz w:val="20"/>
          </w:rPr>
          <w:t>BHC</w:t>
        </w:r>
      </w:smartTag>
      <w:r w:rsidRPr="004945BC">
        <w:rPr>
          <w:sz w:val="20"/>
        </w:rPr>
        <w:t xml:space="preserve"> incomes with thresholds set relative to the contemporary median (the </w:t>
      </w:r>
      <w:smartTag w:uri="urn:schemas-microsoft-com:office:smarttags" w:element="stockticker">
        <w:r w:rsidRPr="004945BC">
          <w:rPr>
            <w:sz w:val="20"/>
          </w:rPr>
          <w:t>REL</w:t>
        </w:r>
      </w:smartTag>
      <w:r w:rsidRPr="004945BC">
        <w:rPr>
          <w:sz w:val="20"/>
        </w:rPr>
        <w:t xml:space="preserve"> or moving line approach).   </w:t>
      </w:r>
      <w:r w:rsidRPr="00161F8B">
        <w:rPr>
          <w:sz w:val="20"/>
        </w:rPr>
        <w:t>Figure F.6</w:t>
      </w:r>
      <w:r w:rsidRPr="004945BC">
        <w:rPr>
          <w:sz w:val="20"/>
        </w:rPr>
        <w:t xml:space="preserve"> uses </w:t>
      </w:r>
      <w:smartTag w:uri="urn:schemas-microsoft-com:office:smarttags" w:element="stockticker">
        <w:r w:rsidRPr="004945BC">
          <w:rPr>
            <w:sz w:val="20"/>
          </w:rPr>
          <w:t>AHC</w:t>
        </w:r>
      </w:smartTag>
      <w:r w:rsidRPr="004945BC">
        <w:rPr>
          <w:sz w:val="20"/>
        </w:rPr>
        <w:t xml:space="preserve"> incomes with thresholds held constant in real terms (the CV or fixed line approach).  </w:t>
      </w:r>
    </w:p>
    <w:p w:rsidR="00161F8B" w:rsidRDefault="00161F8B" w:rsidP="00E46063">
      <w:pPr>
        <w:jc w:val="both"/>
        <w:rPr>
          <w:sz w:val="20"/>
        </w:rPr>
      </w:pPr>
    </w:p>
    <w:p w:rsidR="00E46063" w:rsidRDefault="00E46063" w:rsidP="00E46063">
      <w:pPr>
        <w:jc w:val="both"/>
        <w:rPr>
          <w:sz w:val="20"/>
        </w:rPr>
      </w:pPr>
      <w:r w:rsidRPr="004945BC">
        <w:rPr>
          <w:sz w:val="20"/>
        </w:rPr>
        <w:t>The broad trends over time are largely unaffected by the choice of threshold</w:t>
      </w:r>
      <w:r>
        <w:rPr>
          <w:sz w:val="20"/>
        </w:rPr>
        <w:t xml:space="preserve"> within the usual range</w:t>
      </w:r>
      <w:r w:rsidRPr="004945BC">
        <w:rPr>
          <w:sz w:val="20"/>
        </w:rPr>
        <w:t xml:space="preserve">, especially in the </w:t>
      </w:r>
      <w:smartTag w:uri="urn:schemas-microsoft-com:office:smarttags" w:element="stockticker">
        <w:r w:rsidRPr="004945BC">
          <w:rPr>
            <w:sz w:val="20"/>
          </w:rPr>
          <w:t>AHC</w:t>
        </w:r>
      </w:smartTag>
      <w:r w:rsidRPr="004945BC">
        <w:rPr>
          <w:sz w:val="20"/>
        </w:rPr>
        <w:t xml:space="preserve"> </w:t>
      </w:r>
      <w:r>
        <w:rPr>
          <w:sz w:val="20"/>
        </w:rPr>
        <w:t>fixed line case.</w:t>
      </w:r>
    </w:p>
    <w:p w:rsidR="00E46063" w:rsidRPr="004945BC" w:rsidRDefault="00E46063" w:rsidP="00E46063">
      <w:pPr>
        <w:jc w:val="both"/>
        <w:rPr>
          <w:sz w:val="20"/>
        </w:rPr>
      </w:pPr>
    </w:p>
    <w:p w:rsidR="00E46063" w:rsidRDefault="00E46063" w:rsidP="00E46063">
      <w:pPr>
        <w:jc w:val="both"/>
        <w:rPr>
          <w:sz w:val="20"/>
          <w:szCs w:val="22"/>
        </w:rPr>
      </w:pPr>
      <w:r w:rsidRPr="004945BC">
        <w:rPr>
          <w:sz w:val="20"/>
          <w:szCs w:val="22"/>
        </w:rPr>
        <w:t xml:space="preserve">The main exception to this generalisation is that for the period from the 2004 HES to the 2007 HES the reversal of the upward trend </w:t>
      </w:r>
      <w:r>
        <w:rPr>
          <w:sz w:val="20"/>
          <w:szCs w:val="22"/>
        </w:rPr>
        <w:t xml:space="preserve">in ‘low-income rates’ </w:t>
      </w:r>
      <w:r w:rsidRPr="004945BC">
        <w:rPr>
          <w:sz w:val="20"/>
          <w:szCs w:val="22"/>
        </w:rPr>
        <w:t xml:space="preserve">(BHC </w:t>
      </w:r>
      <w:smartTag w:uri="urn:schemas-microsoft-com:office:smarttags" w:element="stockticker">
        <w:r w:rsidRPr="004945BC">
          <w:rPr>
            <w:sz w:val="20"/>
            <w:szCs w:val="22"/>
          </w:rPr>
          <w:t>REL</w:t>
        </w:r>
      </w:smartTag>
      <w:r w:rsidRPr="004945BC">
        <w:rPr>
          <w:sz w:val="20"/>
          <w:szCs w:val="22"/>
        </w:rPr>
        <w:t>) is</w:t>
      </w:r>
      <w:r>
        <w:rPr>
          <w:sz w:val="20"/>
          <w:szCs w:val="22"/>
        </w:rPr>
        <w:t xml:space="preserve"> strong for thresholds set at 60% to 90% of the median, but for lower thresholds</w:t>
      </w:r>
      <w:r w:rsidR="00161F8B">
        <w:rPr>
          <w:sz w:val="20"/>
          <w:szCs w:val="22"/>
        </w:rPr>
        <w:t xml:space="preserve"> (50% and 55%)</w:t>
      </w:r>
      <w:r>
        <w:rPr>
          <w:sz w:val="20"/>
          <w:szCs w:val="22"/>
        </w:rPr>
        <w:t xml:space="preserve"> the trend lines just flatten.</w:t>
      </w:r>
      <w:r w:rsidRPr="004945BC">
        <w:rPr>
          <w:sz w:val="20"/>
          <w:szCs w:val="22"/>
        </w:rPr>
        <w:t xml:space="preserve"> This difference reflects the </w:t>
      </w:r>
      <w:r>
        <w:rPr>
          <w:sz w:val="20"/>
          <w:szCs w:val="22"/>
        </w:rPr>
        <w:t xml:space="preserve">WFF </w:t>
      </w:r>
      <w:r w:rsidRPr="004945BC">
        <w:rPr>
          <w:sz w:val="20"/>
          <w:szCs w:val="22"/>
        </w:rPr>
        <w:t xml:space="preserve">gains in income for lower income households in work or for those moving from benefit to work, compared with those whose main source of income was from a working age benefit or New Zealand Superannuation.  For these latter households, many of whom have incomes below a 55% threshold, </w:t>
      </w:r>
      <w:r>
        <w:rPr>
          <w:sz w:val="20"/>
          <w:szCs w:val="22"/>
        </w:rPr>
        <w:t>there were no gains</w:t>
      </w:r>
      <w:r w:rsidRPr="004945BC">
        <w:rPr>
          <w:sz w:val="20"/>
          <w:szCs w:val="22"/>
        </w:rPr>
        <w:t xml:space="preserve"> relative to the median from the 2004 HES to the 2007 HES.</w:t>
      </w:r>
    </w:p>
    <w:p w:rsidR="00E46063" w:rsidRDefault="00E46063" w:rsidP="00E46063">
      <w:pPr>
        <w:jc w:val="both"/>
        <w:rPr>
          <w:sz w:val="20"/>
          <w:szCs w:val="22"/>
        </w:rPr>
      </w:pPr>
    </w:p>
    <w:p w:rsidR="00E46063" w:rsidRPr="004945BC" w:rsidRDefault="00E46063" w:rsidP="00E46063">
      <w:pPr>
        <w:jc w:val="both"/>
        <w:rPr>
          <w:sz w:val="20"/>
        </w:rPr>
      </w:pPr>
      <w:r>
        <w:rPr>
          <w:sz w:val="20"/>
          <w:szCs w:val="22"/>
        </w:rPr>
        <w:t xml:space="preserve">The other point of interest in Figure F.5 is what it tells us about where in the lower half of the household income distribution the impact on incomes of the recent economic downturn and global financial crisis has been most felt.  For ‘low-income thresholds’ set at 65% to 90% of the median, it shows that from HES 2010 to HES 2011 the ‘low-income rates’ all rose, whereas for thresholds of 60% and below (the usual ‘poverty’ zone) they remained much the same, as noted earlier in this section. </w:t>
      </w:r>
    </w:p>
    <w:p w:rsidR="00E46063" w:rsidRPr="004945BC" w:rsidRDefault="00E46063" w:rsidP="00E46063">
      <w:pPr>
        <w:jc w:val="center"/>
        <w:rPr>
          <w:rFonts w:cs="Arial"/>
          <w:b/>
          <w:sz w:val="18"/>
        </w:rPr>
      </w:pPr>
      <w:r w:rsidRPr="004945BC">
        <w:rPr>
          <w:rFonts w:cs="Arial"/>
          <w:b/>
          <w:sz w:val="18"/>
        </w:rPr>
        <w:t>Figure F.5</w:t>
      </w:r>
    </w:p>
    <w:p w:rsidR="00E46063" w:rsidRPr="004945BC" w:rsidRDefault="00E46063" w:rsidP="00E46063">
      <w:pPr>
        <w:jc w:val="center"/>
        <w:rPr>
          <w:rFonts w:cs="Arial"/>
          <w:b/>
          <w:sz w:val="18"/>
        </w:rPr>
      </w:pPr>
      <w:r w:rsidRPr="004945BC">
        <w:rPr>
          <w:rFonts w:cs="Arial"/>
          <w:b/>
          <w:sz w:val="18"/>
        </w:rPr>
        <w:t>Proportion below a range of ‘moving line’ thresholds (</w:t>
      </w:r>
      <w:smartTag w:uri="urn:schemas-microsoft-com:office:smarttags" w:element="stockticker">
        <w:r w:rsidRPr="004945BC">
          <w:rPr>
            <w:rFonts w:cs="Arial"/>
            <w:b/>
            <w:sz w:val="18"/>
          </w:rPr>
          <w:t>BHC</w:t>
        </w:r>
      </w:smartTag>
      <w:r w:rsidRPr="004945BC">
        <w:rPr>
          <w:rFonts w:cs="Arial"/>
          <w:b/>
          <w:sz w:val="18"/>
        </w:rPr>
        <w:t xml:space="preserve">, </w:t>
      </w:r>
      <w:smartTag w:uri="urn:schemas-microsoft-com:office:smarttags" w:element="stockticker">
        <w:r w:rsidRPr="004945BC">
          <w:rPr>
            <w:rFonts w:cs="Arial"/>
            <w:b/>
            <w:sz w:val="18"/>
          </w:rPr>
          <w:t>REL</w:t>
        </w:r>
      </w:smartTag>
      <w:r w:rsidRPr="004945BC">
        <w:rPr>
          <w:rFonts w:cs="Arial"/>
          <w:b/>
          <w:sz w:val="18"/>
        </w:rPr>
        <w:t>)</w:t>
      </w:r>
    </w:p>
    <w:p w:rsidR="00E46063" w:rsidRPr="00930972" w:rsidRDefault="00EC0BE0" w:rsidP="00E46063">
      <w:pPr>
        <w:pStyle w:val="Heading3"/>
        <w:jc w:val="center"/>
      </w:pPr>
      <w:r>
        <w:rPr>
          <w:noProof/>
          <w:lang w:val="en-US"/>
        </w:rPr>
        <w:drawing>
          <wp:inline distT="0" distB="0" distL="0" distR="0">
            <wp:extent cx="3448050" cy="2114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3448050" cy="2114550"/>
                    </a:xfrm>
                    <a:prstGeom prst="rect">
                      <a:avLst/>
                    </a:prstGeom>
                    <a:noFill/>
                    <a:ln w="9525">
                      <a:noFill/>
                      <a:miter lim="800000"/>
                      <a:headEnd/>
                      <a:tailEnd/>
                    </a:ln>
                  </pic:spPr>
                </pic:pic>
              </a:graphicData>
            </a:graphic>
          </wp:inline>
        </w:drawing>
      </w:r>
    </w:p>
    <w:p w:rsidR="00E46063" w:rsidRDefault="00E46063" w:rsidP="00E46063">
      <w:pPr>
        <w:ind w:right="-25"/>
        <w:jc w:val="center"/>
      </w:pPr>
    </w:p>
    <w:p w:rsidR="00E46063" w:rsidRPr="004945BC" w:rsidRDefault="00E46063" w:rsidP="00E46063">
      <w:pPr>
        <w:ind w:right="-25"/>
        <w:jc w:val="center"/>
        <w:rPr>
          <w:b/>
          <w:sz w:val="18"/>
        </w:rPr>
      </w:pPr>
      <w:r w:rsidRPr="004945BC">
        <w:rPr>
          <w:b/>
          <w:sz w:val="18"/>
        </w:rPr>
        <w:t>Figure F.6</w:t>
      </w:r>
    </w:p>
    <w:p w:rsidR="00E46063" w:rsidRPr="00A315EE" w:rsidRDefault="00E46063" w:rsidP="00E46063">
      <w:pPr>
        <w:ind w:right="-25"/>
        <w:jc w:val="center"/>
        <w:rPr>
          <w:sz w:val="18"/>
          <w:szCs w:val="18"/>
        </w:rPr>
      </w:pPr>
      <w:r w:rsidRPr="004945BC">
        <w:rPr>
          <w:b/>
          <w:sz w:val="18"/>
        </w:rPr>
        <w:t>Proportions below a range of ‘fixed line’ thresholds (</w:t>
      </w:r>
      <w:smartTag w:uri="urn:schemas-microsoft-com:office:smarttags" w:element="stockticker">
        <w:r w:rsidRPr="004945BC">
          <w:rPr>
            <w:b/>
            <w:sz w:val="18"/>
          </w:rPr>
          <w:t>AHC</w:t>
        </w:r>
      </w:smartTag>
      <w:r w:rsidRPr="004945BC">
        <w:rPr>
          <w:b/>
          <w:sz w:val="18"/>
        </w:rPr>
        <w:t>, CV</w:t>
      </w:r>
      <w:r>
        <w:rPr>
          <w:b/>
          <w:sz w:val="18"/>
        </w:rPr>
        <w:t>2007</w:t>
      </w:r>
      <w:r w:rsidRPr="00A315EE">
        <w:rPr>
          <w:b/>
          <w:sz w:val="18"/>
          <w:szCs w:val="18"/>
        </w:rPr>
        <w:t>)</w:t>
      </w:r>
    </w:p>
    <w:p w:rsidR="00E46063" w:rsidRPr="00043B9D" w:rsidRDefault="00EC0BE0" w:rsidP="00E46063">
      <w:pPr>
        <w:pStyle w:val="Heading2"/>
        <w:jc w:val="center"/>
        <w:rPr>
          <w:szCs w:val="24"/>
        </w:rPr>
      </w:pPr>
      <w:r>
        <w:rPr>
          <w:noProof/>
          <w:lang w:val="en-US"/>
        </w:rPr>
        <w:drawing>
          <wp:inline distT="0" distB="0" distL="0" distR="0">
            <wp:extent cx="3429000" cy="2124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3429000" cy="2124075"/>
                    </a:xfrm>
                    <a:prstGeom prst="rect">
                      <a:avLst/>
                    </a:prstGeom>
                    <a:noFill/>
                    <a:ln w="9525">
                      <a:noFill/>
                      <a:miter lim="800000"/>
                      <a:headEnd/>
                      <a:tailEnd/>
                    </a:ln>
                  </pic:spPr>
                </pic:pic>
              </a:graphicData>
            </a:graphic>
          </wp:inline>
        </w:drawing>
      </w:r>
    </w:p>
    <w:p w:rsidR="00E46063" w:rsidRPr="004945BC" w:rsidRDefault="00E46063" w:rsidP="00E46063">
      <w:pPr>
        <w:pStyle w:val="Heading3"/>
        <w:rPr>
          <w:sz w:val="24"/>
          <w:szCs w:val="28"/>
        </w:rPr>
      </w:pPr>
      <w:r>
        <w:rPr>
          <w:sz w:val="28"/>
          <w:szCs w:val="28"/>
        </w:rPr>
        <w:br w:type="page"/>
      </w:r>
      <w:r w:rsidRPr="004945BC">
        <w:rPr>
          <w:sz w:val="24"/>
          <w:szCs w:val="28"/>
        </w:rPr>
        <w:lastRenderedPageBreak/>
        <w:t>Depth of poverty</w:t>
      </w:r>
    </w:p>
    <w:p w:rsidR="00E46063" w:rsidRPr="004945BC" w:rsidRDefault="00E46063" w:rsidP="00E46063">
      <w:pPr>
        <w:rPr>
          <w:sz w:val="20"/>
        </w:rPr>
      </w:pPr>
    </w:p>
    <w:p w:rsidR="00E46063" w:rsidRPr="004945BC" w:rsidRDefault="00E46063" w:rsidP="00E46063">
      <w:pPr>
        <w:jc w:val="both"/>
        <w:rPr>
          <w:sz w:val="20"/>
        </w:rPr>
      </w:pPr>
      <w:r w:rsidRPr="004945BC">
        <w:rPr>
          <w:sz w:val="20"/>
        </w:rPr>
        <w:t xml:space="preserve">Trends in ‘head count poverty rates’ tell only a part of the story.  It is important also to have an understanding of what is happening to the incomes of those identified as poor, that is, what is happening to trends in the depth of poverty. </w:t>
      </w:r>
    </w:p>
    <w:p w:rsidR="00E46063" w:rsidRPr="004945BC" w:rsidRDefault="00E46063" w:rsidP="00E46063">
      <w:pPr>
        <w:jc w:val="both"/>
        <w:rPr>
          <w:sz w:val="20"/>
        </w:rPr>
      </w:pPr>
    </w:p>
    <w:p w:rsidR="00E46063" w:rsidRPr="004945BC" w:rsidRDefault="00E46063" w:rsidP="00E46063">
      <w:pPr>
        <w:jc w:val="both"/>
        <w:rPr>
          <w:sz w:val="20"/>
        </w:rPr>
      </w:pPr>
      <w:r w:rsidRPr="004945BC">
        <w:rPr>
          <w:sz w:val="20"/>
        </w:rPr>
        <w:t>This report uses three indicators of poverty depth:</w:t>
      </w:r>
    </w:p>
    <w:p w:rsidR="00E46063" w:rsidRPr="004945BC" w:rsidRDefault="00E46063" w:rsidP="00E46063">
      <w:pPr>
        <w:jc w:val="both"/>
        <w:rPr>
          <w:sz w:val="20"/>
        </w:rPr>
      </w:pPr>
    </w:p>
    <w:p w:rsidR="00E46063" w:rsidRPr="004945BC" w:rsidRDefault="00E46063" w:rsidP="00614C04">
      <w:pPr>
        <w:numPr>
          <w:ilvl w:val="0"/>
          <w:numId w:val="53"/>
        </w:numPr>
        <w:tabs>
          <w:tab w:val="clear" w:pos="1530"/>
        </w:tabs>
        <w:ind w:left="450" w:hanging="270"/>
        <w:jc w:val="both"/>
        <w:rPr>
          <w:sz w:val="20"/>
        </w:rPr>
      </w:pPr>
      <w:r w:rsidRPr="004945BC">
        <w:rPr>
          <w:sz w:val="20"/>
        </w:rPr>
        <w:t xml:space="preserve">The ratio of the number below the 50% line to those below the 60% line.  The higher this ratio, the greater is the depth of poverty. </w:t>
      </w:r>
    </w:p>
    <w:p w:rsidR="00E46063" w:rsidRPr="004945BC" w:rsidRDefault="00E46063" w:rsidP="00E46063">
      <w:pPr>
        <w:ind w:left="180"/>
        <w:jc w:val="both"/>
        <w:rPr>
          <w:sz w:val="20"/>
        </w:rPr>
      </w:pPr>
    </w:p>
    <w:p w:rsidR="00E46063" w:rsidRPr="004945BC" w:rsidRDefault="00E46063" w:rsidP="00614C04">
      <w:pPr>
        <w:numPr>
          <w:ilvl w:val="0"/>
          <w:numId w:val="53"/>
        </w:numPr>
        <w:tabs>
          <w:tab w:val="clear" w:pos="1530"/>
        </w:tabs>
        <w:ind w:left="450" w:hanging="270"/>
        <w:jc w:val="both"/>
        <w:rPr>
          <w:sz w:val="20"/>
        </w:rPr>
      </w:pPr>
      <w:r w:rsidRPr="004945BC">
        <w:rPr>
          <w:sz w:val="20"/>
        </w:rPr>
        <w:t>Mean and median poverty gap ratios.  These compare the gap between the poverty threshold and the ‘average’ income of those below the threshold with the threshold itself.</w:t>
      </w:r>
    </w:p>
    <w:p w:rsidR="00E46063" w:rsidRPr="004945BC" w:rsidRDefault="00E46063" w:rsidP="00E46063">
      <w:pPr>
        <w:ind w:left="180"/>
        <w:jc w:val="both"/>
        <w:rPr>
          <w:sz w:val="20"/>
        </w:rPr>
      </w:pPr>
    </w:p>
    <w:p w:rsidR="00E46063" w:rsidRPr="004945BC" w:rsidRDefault="00E46063" w:rsidP="00614C04">
      <w:pPr>
        <w:numPr>
          <w:ilvl w:val="0"/>
          <w:numId w:val="53"/>
        </w:numPr>
        <w:tabs>
          <w:tab w:val="clear" w:pos="1530"/>
        </w:tabs>
        <w:ind w:left="450" w:hanging="270"/>
        <w:jc w:val="both"/>
        <w:rPr>
          <w:sz w:val="20"/>
        </w:rPr>
      </w:pPr>
      <w:r w:rsidRPr="004945BC">
        <w:rPr>
          <w:sz w:val="20"/>
        </w:rPr>
        <w:t>Total poverty gap – the total resources ($m) that would be needed to bring all those identified as poor to just above the poverty line through perfectly targeted tax transfers.</w:t>
      </w:r>
    </w:p>
    <w:p w:rsidR="00E46063" w:rsidRPr="004945BC" w:rsidRDefault="00E46063" w:rsidP="00E46063">
      <w:pPr>
        <w:rPr>
          <w:sz w:val="20"/>
        </w:rPr>
      </w:pPr>
    </w:p>
    <w:p w:rsidR="00E46063" w:rsidRDefault="00E46063" w:rsidP="00E46063">
      <w:pPr>
        <w:jc w:val="both"/>
        <w:rPr>
          <w:sz w:val="20"/>
        </w:rPr>
      </w:pPr>
      <w:r w:rsidRPr="004945BC">
        <w:rPr>
          <w:sz w:val="20"/>
        </w:rPr>
        <w:t xml:space="preserve">There are issues around the quality of the data among households with very low incomes, and these present challenges to providing robust information on poverty depth.  See </w:t>
      </w:r>
      <w:r w:rsidRPr="004945BC">
        <w:rPr>
          <w:b/>
          <w:sz w:val="20"/>
        </w:rPr>
        <w:t>Appendix 8</w:t>
      </w:r>
      <w:r w:rsidRPr="004945BC">
        <w:rPr>
          <w:sz w:val="20"/>
        </w:rPr>
        <w:t xml:space="preserve"> for a discussion on the effect of ‘noise’ in the bottom income decile on measures of poverty depth, and the noise-reducing adjustments to the dataset adopted for the estimates in this section.</w:t>
      </w:r>
      <w:r>
        <w:rPr>
          <w:sz w:val="20"/>
        </w:rPr>
        <w:t xml:space="preserve">  </w:t>
      </w:r>
    </w:p>
    <w:p w:rsidR="00E46063" w:rsidRDefault="00E46063" w:rsidP="00E46063">
      <w:pPr>
        <w:jc w:val="both"/>
        <w:rPr>
          <w:sz w:val="20"/>
        </w:rPr>
      </w:pPr>
    </w:p>
    <w:p w:rsidR="00E46063" w:rsidRDefault="00E46063" w:rsidP="00E46063">
      <w:pPr>
        <w:jc w:val="both"/>
        <w:rPr>
          <w:sz w:val="20"/>
        </w:rPr>
      </w:pPr>
      <w:r>
        <w:rPr>
          <w:sz w:val="20"/>
        </w:rPr>
        <w:t xml:space="preserve">This section is not updated beyond the 2007 HES and also retains 1998 as the reference year.  </w:t>
      </w:r>
    </w:p>
    <w:p w:rsidR="00E46063" w:rsidRDefault="00E46063" w:rsidP="00E46063">
      <w:pPr>
        <w:jc w:val="both"/>
        <w:rPr>
          <w:sz w:val="20"/>
        </w:rPr>
      </w:pPr>
    </w:p>
    <w:p w:rsidR="00E46063" w:rsidRPr="004945BC" w:rsidRDefault="00E46063" w:rsidP="00E46063">
      <w:pPr>
        <w:jc w:val="both"/>
        <w:rPr>
          <w:sz w:val="20"/>
        </w:rPr>
      </w:pPr>
    </w:p>
    <w:p w:rsidR="00E46063" w:rsidRPr="004945BC" w:rsidRDefault="00E46063" w:rsidP="00E46063">
      <w:pPr>
        <w:rPr>
          <w:sz w:val="20"/>
        </w:rPr>
      </w:pPr>
    </w:p>
    <w:p w:rsidR="00E46063" w:rsidRDefault="00E46063" w:rsidP="00E46063"/>
    <w:p w:rsidR="00E46063" w:rsidRDefault="00E46063" w:rsidP="00E46063"/>
    <w:p w:rsidR="00E46063" w:rsidRDefault="00E46063" w:rsidP="00E46063"/>
    <w:p w:rsidR="00E46063" w:rsidRDefault="00E46063" w:rsidP="00E46063">
      <w:pPr>
        <w:ind w:left="270" w:hanging="270"/>
        <w:jc w:val="center"/>
        <w:rPr>
          <w:b/>
          <w:szCs w:val="22"/>
        </w:rPr>
      </w:pPr>
    </w:p>
    <w:p w:rsidR="00E46063" w:rsidRPr="004945BC" w:rsidRDefault="00E46063" w:rsidP="00E46063">
      <w:pPr>
        <w:ind w:left="270" w:hanging="270"/>
        <w:jc w:val="both"/>
        <w:rPr>
          <w:b/>
          <w:sz w:val="20"/>
          <w:szCs w:val="22"/>
        </w:rPr>
      </w:pPr>
      <w:r>
        <w:rPr>
          <w:b/>
          <w:sz w:val="18"/>
          <w:szCs w:val="18"/>
        </w:rPr>
        <w:br w:type="page"/>
      </w:r>
      <w:r w:rsidRPr="004945BC">
        <w:rPr>
          <w:b/>
          <w:sz w:val="20"/>
          <w:szCs w:val="22"/>
        </w:rPr>
        <w:lastRenderedPageBreak/>
        <w:t>Poverty depth: the ratio of 50% poverty rates to 60% poverty rates</w:t>
      </w:r>
    </w:p>
    <w:p w:rsidR="00E46063" w:rsidRPr="004945BC" w:rsidRDefault="00E46063" w:rsidP="00E46063">
      <w:pPr>
        <w:ind w:left="270" w:hanging="270"/>
        <w:jc w:val="both"/>
        <w:rPr>
          <w:b/>
          <w:sz w:val="20"/>
          <w:szCs w:val="22"/>
        </w:rPr>
      </w:pPr>
    </w:p>
    <w:p w:rsidR="00E46063" w:rsidRPr="004945BC" w:rsidRDefault="00E46063" w:rsidP="00E46063">
      <w:pPr>
        <w:jc w:val="both"/>
        <w:rPr>
          <w:sz w:val="20"/>
          <w:szCs w:val="22"/>
        </w:rPr>
      </w:pPr>
      <w:r w:rsidRPr="004945BC">
        <w:rPr>
          <w:sz w:val="20"/>
          <w:szCs w:val="22"/>
        </w:rPr>
        <w:t>Comparing the numbers below a 50% of median threshold with those below a 60% threshold gives an indication of the ‘depth’ of poverty.  The higher the ratio, the greater the depth.</w:t>
      </w:r>
    </w:p>
    <w:p w:rsidR="00E46063" w:rsidRPr="004945BC" w:rsidRDefault="00E46063" w:rsidP="00E46063">
      <w:pPr>
        <w:jc w:val="both"/>
        <w:rPr>
          <w:sz w:val="20"/>
          <w:szCs w:val="22"/>
        </w:rPr>
      </w:pPr>
    </w:p>
    <w:p w:rsidR="00E46063" w:rsidRPr="004945BC" w:rsidRDefault="00E46063" w:rsidP="00E46063">
      <w:pPr>
        <w:jc w:val="both"/>
        <w:rPr>
          <w:sz w:val="20"/>
          <w:szCs w:val="22"/>
        </w:rPr>
      </w:pPr>
      <w:r w:rsidRPr="004945BC">
        <w:rPr>
          <w:b/>
          <w:sz w:val="20"/>
          <w:szCs w:val="22"/>
        </w:rPr>
        <w:t>Figure F.7</w:t>
      </w:r>
      <w:r w:rsidRPr="004945BC">
        <w:rPr>
          <w:sz w:val="20"/>
          <w:szCs w:val="22"/>
        </w:rPr>
        <w:t xml:space="preserve"> shows that during the 1980s the 60% CV (fixed line) </w:t>
      </w:r>
      <w:smartTag w:uri="urn:schemas-microsoft-com:office:smarttags" w:element="stockticker">
        <w:r w:rsidRPr="004945BC">
          <w:rPr>
            <w:sz w:val="20"/>
            <w:szCs w:val="22"/>
          </w:rPr>
          <w:t>BHC</w:t>
        </w:r>
      </w:smartTag>
      <w:r w:rsidRPr="004945BC">
        <w:rPr>
          <w:sz w:val="20"/>
          <w:szCs w:val="22"/>
        </w:rPr>
        <w:t xml:space="preserve"> poverty rate for those aged under 65 was relatively steady at around 12%.  Poverty depth, however, declined, as measured by the 50% to 60% ratio.  In contrast, in the 1998-2004 period, poverty depth as measured by this ratio increased while the poverty rate again remained relatively steady at 15%, pointing to increasing poverty depth.  From 2004 to 2007, the ratio was steady and the 60% rate declined, indicating no change in poverty depth.   </w:t>
      </w:r>
    </w:p>
    <w:p w:rsidR="00E46063" w:rsidRPr="004945BC" w:rsidRDefault="00E46063" w:rsidP="00E46063">
      <w:pPr>
        <w:ind w:left="270" w:hanging="270"/>
        <w:jc w:val="center"/>
        <w:rPr>
          <w:b/>
          <w:sz w:val="16"/>
          <w:szCs w:val="18"/>
        </w:rPr>
      </w:pPr>
    </w:p>
    <w:p w:rsidR="00E46063" w:rsidRPr="004945BC" w:rsidRDefault="00E46063" w:rsidP="00E46063">
      <w:pPr>
        <w:ind w:left="270" w:hanging="270"/>
        <w:jc w:val="center"/>
        <w:rPr>
          <w:b/>
          <w:sz w:val="18"/>
        </w:rPr>
      </w:pPr>
      <w:r w:rsidRPr="004945BC">
        <w:rPr>
          <w:b/>
          <w:sz w:val="18"/>
        </w:rPr>
        <w:t>Figure F.7</w:t>
      </w:r>
    </w:p>
    <w:p w:rsidR="00E46063" w:rsidRPr="004945BC" w:rsidRDefault="00E46063" w:rsidP="00E46063">
      <w:pPr>
        <w:ind w:left="270" w:hanging="270"/>
        <w:jc w:val="center"/>
        <w:rPr>
          <w:b/>
          <w:sz w:val="18"/>
        </w:rPr>
      </w:pPr>
      <w:r w:rsidRPr="004945BC">
        <w:rPr>
          <w:b/>
          <w:sz w:val="18"/>
        </w:rPr>
        <w:t>Ratio of 50% poverty rate to 60% poverty rate using 1998 CV thresholds (</w:t>
      </w:r>
      <w:smartTag w:uri="urn:schemas-microsoft-com:office:smarttags" w:element="stockticker">
        <w:r w:rsidRPr="004945BC">
          <w:rPr>
            <w:b/>
            <w:sz w:val="18"/>
          </w:rPr>
          <w:t>BHC</w:t>
        </w:r>
      </w:smartTag>
      <w:r w:rsidRPr="004945BC">
        <w:rPr>
          <w:b/>
          <w:sz w:val="18"/>
        </w:rPr>
        <w:t>),</w:t>
      </w:r>
    </w:p>
    <w:p w:rsidR="00E46063" w:rsidRPr="00AC4390" w:rsidRDefault="00E46063" w:rsidP="00E46063">
      <w:pPr>
        <w:ind w:left="270" w:hanging="270"/>
        <w:jc w:val="center"/>
        <w:rPr>
          <w:b/>
          <w:sz w:val="20"/>
        </w:rPr>
      </w:pPr>
      <w:r w:rsidRPr="004945BC">
        <w:rPr>
          <w:b/>
          <w:sz w:val="18"/>
        </w:rPr>
        <w:t>population under 65 years</w:t>
      </w:r>
    </w:p>
    <w:p w:rsidR="00E46063" w:rsidRPr="009425AF" w:rsidRDefault="00EC0BE0" w:rsidP="00E46063">
      <w:pPr>
        <w:ind w:left="270" w:hanging="270"/>
        <w:jc w:val="center"/>
      </w:pPr>
      <w:r>
        <w:rPr>
          <w:noProof/>
          <w:lang w:val="en-US"/>
        </w:rPr>
        <w:drawing>
          <wp:inline distT="0" distB="0" distL="0" distR="0">
            <wp:extent cx="3829050" cy="2257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3829050" cy="2257425"/>
                    </a:xfrm>
                    <a:prstGeom prst="rect">
                      <a:avLst/>
                    </a:prstGeom>
                    <a:noFill/>
                    <a:ln w="9525">
                      <a:noFill/>
                      <a:miter lim="800000"/>
                      <a:headEnd/>
                      <a:tailEnd/>
                    </a:ln>
                  </pic:spPr>
                </pic:pic>
              </a:graphicData>
            </a:graphic>
          </wp:inline>
        </w:drawing>
      </w:r>
    </w:p>
    <w:p w:rsidR="00E46063" w:rsidRDefault="00E46063" w:rsidP="00E46063">
      <w:pPr>
        <w:jc w:val="both"/>
        <w:rPr>
          <w:szCs w:val="22"/>
        </w:rPr>
      </w:pPr>
    </w:p>
    <w:p w:rsidR="00E46063" w:rsidRPr="004945BC" w:rsidRDefault="00E46063" w:rsidP="00E46063">
      <w:pPr>
        <w:jc w:val="both"/>
        <w:rPr>
          <w:sz w:val="20"/>
          <w:szCs w:val="22"/>
        </w:rPr>
      </w:pPr>
      <w:r w:rsidRPr="004945BC">
        <w:rPr>
          <w:b/>
          <w:sz w:val="20"/>
          <w:szCs w:val="22"/>
        </w:rPr>
        <w:t>Figure F.8</w:t>
      </w:r>
      <w:r w:rsidRPr="004945BC">
        <w:rPr>
          <w:sz w:val="20"/>
          <w:szCs w:val="22"/>
        </w:rPr>
        <w:t xml:space="preserve"> shows a similar combination of trends for children, except that both the poverty rates and poverty depth (on this measure) are higher for children than for the population as a whole.</w:t>
      </w:r>
    </w:p>
    <w:p w:rsidR="00E46063" w:rsidRPr="004945BC" w:rsidRDefault="00E46063" w:rsidP="00E46063">
      <w:pPr>
        <w:jc w:val="both"/>
        <w:rPr>
          <w:sz w:val="20"/>
          <w:szCs w:val="22"/>
        </w:rPr>
      </w:pPr>
    </w:p>
    <w:p w:rsidR="00E46063" w:rsidRPr="004945BC" w:rsidRDefault="00E46063" w:rsidP="00E46063">
      <w:pPr>
        <w:ind w:left="270" w:hanging="270"/>
        <w:jc w:val="center"/>
        <w:rPr>
          <w:b/>
          <w:sz w:val="18"/>
        </w:rPr>
      </w:pPr>
    </w:p>
    <w:p w:rsidR="00E46063" w:rsidRPr="004945BC" w:rsidRDefault="00E46063" w:rsidP="00E46063">
      <w:pPr>
        <w:ind w:left="270" w:hanging="270"/>
        <w:jc w:val="center"/>
        <w:rPr>
          <w:b/>
          <w:sz w:val="18"/>
        </w:rPr>
      </w:pPr>
      <w:r w:rsidRPr="004945BC">
        <w:rPr>
          <w:b/>
          <w:sz w:val="18"/>
        </w:rPr>
        <w:t>Figure F.8</w:t>
      </w:r>
    </w:p>
    <w:p w:rsidR="00E46063" w:rsidRPr="004945BC" w:rsidRDefault="00E46063" w:rsidP="00E46063">
      <w:pPr>
        <w:ind w:left="270" w:hanging="270"/>
        <w:jc w:val="center"/>
        <w:rPr>
          <w:b/>
          <w:sz w:val="18"/>
        </w:rPr>
      </w:pPr>
      <w:r w:rsidRPr="004945BC">
        <w:rPr>
          <w:b/>
          <w:sz w:val="18"/>
        </w:rPr>
        <w:t>Ratio of 50% poverty rate to 60% poverty rate using 1998 CV thresholds (</w:t>
      </w:r>
      <w:smartTag w:uri="urn:schemas-microsoft-com:office:smarttags" w:element="stockticker">
        <w:r w:rsidRPr="004945BC">
          <w:rPr>
            <w:b/>
            <w:sz w:val="18"/>
          </w:rPr>
          <w:t>BHC</w:t>
        </w:r>
      </w:smartTag>
      <w:r w:rsidRPr="004945BC">
        <w:rPr>
          <w:b/>
          <w:sz w:val="18"/>
        </w:rPr>
        <w:t>),</w:t>
      </w:r>
    </w:p>
    <w:p w:rsidR="00E46063" w:rsidRPr="004945BC" w:rsidRDefault="00E46063" w:rsidP="00E46063">
      <w:pPr>
        <w:ind w:left="270" w:hanging="270"/>
        <w:jc w:val="center"/>
        <w:rPr>
          <w:b/>
          <w:sz w:val="18"/>
        </w:rPr>
      </w:pPr>
      <w:r w:rsidRPr="004945BC">
        <w:rPr>
          <w:b/>
          <w:sz w:val="18"/>
        </w:rPr>
        <w:t>dependent children</w:t>
      </w:r>
    </w:p>
    <w:p w:rsidR="00E46063" w:rsidRPr="00D35A26" w:rsidRDefault="00EC0BE0" w:rsidP="00E46063">
      <w:pPr>
        <w:ind w:left="270" w:hanging="270"/>
        <w:jc w:val="center"/>
      </w:pPr>
      <w:r>
        <w:rPr>
          <w:noProof/>
          <w:lang w:val="en-US"/>
        </w:rPr>
        <w:drawing>
          <wp:inline distT="0" distB="0" distL="0" distR="0">
            <wp:extent cx="3619500" cy="2295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rsidR="00E46063" w:rsidRPr="004945BC" w:rsidRDefault="00E46063" w:rsidP="00E46063">
      <w:pPr>
        <w:ind w:left="270" w:hanging="270"/>
        <w:jc w:val="both"/>
        <w:rPr>
          <w:b/>
          <w:sz w:val="20"/>
          <w:szCs w:val="22"/>
        </w:rPr>
      </w:pPr>
      <w:r>
        <w:rPr>
          <w:b/>
          <w:sz w:val="18"/>
          <w:szCs w:val="18"/>
        </w:rPr>
        <w:br w:type="page"/>
      </w:r>
      <w:r w:rsidRPr="004945BC">
        <w:rPr>
          <w:b/>
          <w:sz w:val="20"/>
          <w:szCs w:val="22"/>
        </w:rPr>
        <w:lastRenderedPageBreak/>
        <w:t>Poverty depth: mean and median poverty gap ratios</w:t>
      </w:r>
    </w:p>
    <w:p w:rsidR="00E46063" w:rsidRPr="004945BC" w:rsidRDefault="00E46063" w:rsidP="00E46063">
      <w:pPr>
        <w:ind w:left="270" w:hanging="270"/>
        <w:jc w:val="both"/>
        <w:rPr>
          <w:b/>
          <w:sz w:val="20"/>
          <w:szCs w:val="22"/>
        </w:rPr>
      </w:pPr>
    </w:p>
    <w:p w:rsidR="00E46063" w:rsidRPr="004945BC" w:rsidRDefault="00E46063" w:rsidP="00E46063">
      <w:pPr>
        <w:jc w:val="both"/>
        <w:rPr>
          <w:sz w:val="20"/>
        </w:rPr>
      </w:pPr>
      <w:r w:rsidRPr="004945BC">
        <w:rPr>
          <w:sz w:val="20"/>
        </w:rPr>
        <w:t xml:space="preserve">The median poverty gap ratio compares the gap between the poverty threshold and the median income of those below the threshold with the threshold itself. </w:t>
      </w:r>
    </w:p>
    <w:p w:rsidR="00E46063" w:rsidRPr="004945BC" w:rsidRDefault="00E46063" w:rsidP="00E46063">
      <w:pPr>
        <w:jc w:val="both"/>
        <w:rPr>
          <w:sz w:val="20"/>
        </w:rPr>
      </w:pPr>
    </w:p>
    <w:p w:rsidR="00E46063" w:rsidRPr="004945BC" w:rsidRDefault="00E46063" w:rsidP="00E46063">
      <w:pPr>
        <w:jc w:val="both"/>
        <w:rPr>
          <w:sz w:val="20"/>
        </w:rPr>
      </w:pPr>
      <w:r w:rsidRPr="004945BC">
        <w:rPr>
          <w:sz w:val="20"/>
        </w:rPr>
        <w:t xml:space="preserve">The mean poverty gap ratio compares the gap between the poverty threshold and the mean income of those below the threshold with the threshold itself.  It is much more affected by the incomes of households with very low incomes than is the median.  </w:t>
      </w:r>
    </w:p>
    <w:p w:rsidR="00E46063" w:rsidRPr="004945BC" w:rsidRDefault="00E46063" w:rsidP="00E46063">
      <w:pPr>
        <w:jc w:val="both"/>
        <w:rPr>
          <w:sz w:val="20"/>
        </w:rPr>
      </w:pPr>
    </w:p>
    <w:p w:rsidR="00E46063" w:rsidRPr="004945BC" w:rsidRDefault="00E46063" w:rsidP="00E46063">
      <w:pPr>
        <w:jc w:val="both"/>
        <w:rPr>
          <w:sz w:val="20"/>
        </w:rPr>
      </w:pPr>
      <w:r w:rsidRPr="004945BC">
        <w:rPr>
          <w:b/>
          <w:sz w:val="20"/>
        </w:rPr>
        <w:t>Figure F.9</w:t>
      </w:r>
      <w:r w:rsidRPr="004945BC">
        <w:rPr>
          <w:sz w:val="20"/>
        </w:rPr>
        <w:t xml:space="preserve"> shows that:</w:t>
      </w:r>
    </w:p>
    <w:p w:rsidR="00E46063" w:rsidRPr="004945BC" w:rsidRDefault="00E46063" w:rsidP="00614C04">
      <w:pPr>
        <w:numPr>
          <w:ilvl w:val="0"/>
          <w:numId w:val="55"/>
        </w:numPr>
        <w:tabs>
          <w:tab w:val="clear" w:pos="1440"/>
          <w:tab w:val="num" w:pos="450"/>
        </w:tabs>
        <w:spacing w:before="120"/>
        <w:ind w:left="450" w:hanging="274"/>
        <w:jc w:val="both"/>
        <w:rPr>
          <w:sz w:val="20"/>
        </w:rPr>
      </w:pPr>
      <w:r w:rsidRPr="004945BC">
        <w:rPr>
          <w:sz w:val="20"/>
        </w:rPr>
        <w:t>median gap ratios are smaller than mean gap ratios, reflecting the higher concentration of households with incomes nearer the poverty lines compared with the concentration further down</w:t>
      </w:r>
    </w:p>
    <w:p w:rsidR="00E46063" w:rsidRPr="004945BC" w:rsidRDefault="00E46063" w:rsidP="00614C04">
      <w:pPr>
        <w:numPr>
          <w:ilvl w:val="0"/>
          <w:numId w:val="55"/>
        </w:numPr>
        <w:tabs>
          <w:tab w:val="clear" w:pos="1440"/>
          <w:tab w:val="num" w:pos="450"/>
        </w:tabs>
        <w:spacing w:before="120"/>
        <w:ind w:left="450" w:hanging="274"/>
        <w:jc w:val="both"/>
        <w:rPr>
          <w:sz w:val="20"/>
        </w:rPr>
      </w:pPr>
      <w:r w:rsidRPr="004945BC">
        <w:rPr>
          <w:sz w:val="20"/>
        </w:rPr>
        <w:t xml:space="preserve">up to 2004, the estimates of poverty gap ratios are not greatly dependent on whether a </w:t>
      </w:r>
      <w:smartTag w:uri="urn:schemas-microsoft-com:office:smarttags" w:element="stockticker">
        <w:r w:rsidRPr="004945BC">
          <w:rPr>
            <w:sz w:val="20"/>
          </w:rPr>
          <w:t>REL</w:t>
        </w:r>
      </w:smartTag>
      <w:r w:rsidRPr="004945BC">
        <w:rPr>
          <w:sz w:val="20"/>
        </w:rPr>
        <w:t xml:space="preserve"> (‘moving line’) or CV (‘fixed line’) approach is used</w:t>
      </w:r>
    </w:p>
    <w:p w:rsidR="00E46063" w:rsidRPr="004945BC" w:rsidRDefault="00E46063" w:rsidP="00614C04">
      <w:pPr>
        <w:numPr>
          <w:ilvl w:val="0"/>
          <w:numId w:val="55"/>
        </w:numPr>
        <w:tabs>
          <w:tab w:val="clear" w:pos="1440"/>
          <w:tab w:val="num" w:pos="450"/>
        </w:tabs>
        <w:spacing w:before="120"/>
        <w:ind w:left="450" w:hanging="274"/>
        <w:jc w:val="both"/>
        <w:rPr>
          <w:sz w:val="20"/>
        </w:rPr>
      </w:pPr>
      <w:r w:rsidRPr="004945BC">
        <w:rPr>
          <w:sz w:val="20"/>
        </w:rPr>
        <w:t>apart from the blip in 1990,</w:t>
      </w:r>
      <w:r w:rsidRPr="004945BC">
        <w:rPr>
          <w:rStyle w:val="FootnoteReference"/>
          <w:sz w:val="20"/>
        </w:rPr>
        <w:footnoteReference w:id="65"/>
      </w:r>
      <w:r w:rsidRPr="004945BC">
        <w:rPr>
          <w:sz w:val="20"/>
        </w:rPr>
        <w:t xml:space="preserve"> the mean gap ratio remained reasonably steady from 1982 to 2004, but has clearly risen from 2004 to 2007 on the </w:t>
      </w:r>
      <w:smartTag w:uri="urn:schemas-microsoft-com:office:smarttags" w:element="stockticker">
        <w:r w:rsidRPr="004945BC">
          <w:rPr>
            <w:sz w:val="20"/>
          </w:rPr>
          <w:t>REL</w:t>
        </w:r>
      </w:smartTag>
      <w:r w:rsidRPr="004945BC">
        <w:rPr>
          <w:sz w:val="20"/>
        </w:rPr>
        <w:t xml:space="preserve"> (moving line) measure</w:t>
      </w:r>
    </w:p>
    <w:p w:rsidR="00E46063" w:rsidRPr="004945BC" w:rsidRDefault="00E46063" w:rsidP="00E46063">
      <w:pPr>
        <w:spacing w:before="120"/>
        <w:ind w:left="176"/>
        <w:jc w:val="both"/>
        <w:rPr>
          <w:sz w:val="20"/>
        </w:rPr>
      </w:pPr>
    </w:p>
    <w:p w:rsidR="00E46063" w:rsidRPr="004945BC" w:rsidRDefault="00E46063" w:rsidP="00E46063">
      <w:pPr>
        <w:ind w:left="270" w:hanging="270"/>
        <w:jc w:val="both"/>
        <w:rPr>
          <w:b/>
          <w:sz w:val="20"/>
          <w:szCs w:val="22"/>
        </w:rPr>
      </w:pPr>
    </w:p>
    <w:p w:rsidR="00E46063" w:rsidRPr="004945BC" w:rsidRDefault="00E46063" w:rsidP="00E46063">
      <w:pPr>
        <w:ind w:left="270" w:hanging="270"/>
        <w:jc w:val="center"/>
        <w:rPr>
          <w:b/>
          <w:sz w:val="18"/>
        </w:rPr>
      </w:pPr>
      <w:r w:rsidRPr="004945BC">
        <w:rPr>
          <w:b/>
          <w:sz w:val="18"/>
        </w:rPr>
        <w:t>Figure F.9</w:t>
      </w:r>
    </w:p>
    <w:p w:rsidR="00E46063" w:rsidRPr="004945BC" w:rsidRDefault="00E46063" w:rsidP="00E46063">
      <w:pPr>
        <w:ind w:left="270" w:hanging="270"/>
        <w:jc w:val="center"/>
        <w:rPr>
          <w:b/>
          <w:sz w:val="16"/>
          <w:szCs w:val="18"/>
        </w:rPr>
      </w:pPr>
      <w:r w:rsidRPr="004945BC">
        <w:rPr>
          <w:b/>
          <w:sz w:val="18"/>
        </w:rPr>
        <w:t>Mean and median poverty gap ratios</w:t>
      </w:r>
    </w:p>
    <w:p w:rsidR="00E46063" w:rsidRPr="00D53AE0" w:rsidRDefault="00EC0BE0" w:rsidP="00E46063">
      <w:pPr>
        <w:ind w:left="270" w:hanging="270"/>
        <w:jc w:val="center"/>
      </w:pPr>
      <w:r>
        <w:rPr>
          <w:noProof/>
          <w:lang w:val="en-US"/>
        </w:rPr>
        <w:drawing>
          <wp:inline distT="0" distB="0" distL="0" distR="0">
            <wp:extent cx="4705350" cy="2752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4705350" cy="2752725"/>
                    </a:xfrm>
                    <a:prstGeom prst="rect">
                      <a:avLst/>
                    </a:prstGeom>
                    <a:noFill/>
                    <a:ln w="9525">
                      <a:noFill/>
                      <a:miter lim="800000"/>
                      <a:headEnd/>
                      <a:tailEnd/>
                    </a:ln>
                  </pic:spPr>
                </pic:pic>
              </a:graphicData>
            </a:graphic>
          </wp:inline>
        </w:drawing>
      </w:r>
    </w:p>
    <w:p w:rsidR="00E46063" w:rsidRDefault="00E46063" w:rsidP="00E46063">
      <w:pPr>
        <w:ind w:left="270" w:hanging="270"/>
        <w:jc w:val="center"/>
        <w:rPr>
          <w:b/>
          <w:sz w:val="20"/>
        </w:rPr>
      </w:pPr>
    </w:p>
    <w:p w:rsidR="00E46063" w:rsidRDefault="00E46063" w:rsidP="00E46063">
      <w:pPr>
        <w:ind w:left="270" w:hanging="270"/>
        <w:jc w:val="both"/>
        <w:rPr>
          <w:b/>
          <w:szCs w:val="22"/>
        </w:rPr>
      </w:pPr>
    </w:p>
    <w:p w:rsidR="00E46063" w:rsidRDefault="00E46063" w:rsidP="00E46063">
      <w:pPr>
        <w:ind w:left="270" w:hanging="270"/>
        <w:jc w:val="both"/>
        <w:rPr>
          <w:b/>
          <w:szCs w:val="22"/>
        </w:rPr>
      </w:pPr>
    </w:p>
    <w:p w:rsidR="00E46063" w:rsidRPr="004945BC" w:rsidRDefault="00E46063" w:rsidP="00E46063">
      <w:pPr>
        <w:ind w:left="270" w:hanging="270"/>
        <w:jc w:val="both"/>
        <w:rPr>
          <w:b/>
          <w:sz w:val="20"/>
          <w:szCs w:val="22"/>
        </w:rPr>
      </w:pPr>
      <w:r>
        <w:rPr>
          <w:b/>
          <w:szCs w:val="22"/>
        </w:rPr>
        <w:br w:type="page"/>
      </w:r>
      <w:r w:rsidRPr="004945BC">
        <w:rPr>
          <w:b/>
          <w:sz w:val="20"/>
          <w:szCs w:val="22"/>
        </w:rPr>
        <w:lastRenderedPageBreak/>
        <w:t>The total poverty gap (TPG)</w:t>
      </w:r>
    </w:p>
    <w:p w:rsidR="00E46063" w:rsidRPr="004945BC" w:rsidRDefault="00E46063" w:rsidP="00E46063">
      <w:pPr>
        <w:ind w:left="270" w:hanging="270"/>
        <w:jc w:val="both"/>
        <w:rPr>
          <w:b/>
          <w:sz w:val="20"/>
          <w:szCs w:val="22"/>
        </w:rPr>
      </w:pPr>
    </w:p>
    <w:p w:rsidR="00E46063" w:rsidRPr="004945BC" w:rsidRDefault="00E46063" w:rsidP="00E46063">
      <w:pPr>
        <w:jc w:val="both"/>
        <w:rPr>
          <w:sz w:val="20"/>
        </w:rPr>
      </w:pPr>
      <w:r w:rsidRPr="004945BC">
        <w:rPr>
          <w:sz w:val="20"/>
        </w:rPr>
        <w:t xml:space="preserve">The total poverty gap (TPG) indicates the total resources ($m) that would be needed to bring all those identified as poor on a particular measure to just above the selected poverty line through perfectly targeted government transfers.  In practice such perfect targeting is not feasible.  In addition the increased government transfers are likely to have an impact on labour market and other behaviour of recipients.  It is nevertheless a useful high level or first order indicator of poverty depth, taking into account the poverty rate, the mean poverty depth and the population size.  </w:t>
      </w:r>
    </w:p>
    <w:p w:rsidR="00E46063" w:rsidRPr="004945BC" w:rsidRDefault="00E46063" w:rsidP="00E46063">
      <w:pPr>
        <w:jc w:val="both"/>
        <w:rPr>
          <w:sz w:val="20"/>
        </w:rPr>
      </w:pPr>
    </w:p>
    <w:p w:rsidR="00E46063" w:rsidRPr="004945BC" w:rsidRDefault="00E46063" w:rsidP="00E46063">
      <w:pPr>
        <w:jc w:val="both"/>
        <w:rPr>
          <w:sz w:val="20"/>
        </w:rPr>
      </w:pPr>
      <w:r w:rsidRPr="004945BC">
        <w:rPr>
          <w:b/>
          <w:sz w:val="20"/>
        </w:rPr>
        <w:t>Figure F.10</w:t>
      </w:r>
      <w:r w:rsidRPr="004945BC">
        <w:rPr>
          <w:sz w:val="20"/>
        </w:rPr>
        <w:t xml:space="preserve"> shows that in 2007 it would have taken somewhere between $800m and $1800m of perfectly targeted transfers to reduce measured poverty to zero, depending on whether a 60% fixed line or 60% moving line measure were used.</w:t>
      </w:r>
    </w:p>
    <w:p w:rsidR="00E46063" w:rsidRPr="004945BC" w:rsidRDefault="00E46063" w:rsidP="00E46063">
      <w:pPr>
        <w:jc w:val="both"/>
        <w:rPr>
          <w:sz w:val="20"/>
        </w:rPr>
      </w:pPr>
    </w:p>
    <w:p w:rsidR="00E46063" w:rsidRPr="004945BC" w:rsidRDefault="00E46063" w:rsidP="00E46063">
      <w:pPr>
        <w:ind w:left="270" w:hanging="270"/>
        <w:jc w:val="center"/>
        <w:rPr>
          <w:b/>
          <w:sz w:val="18"/>
        </w:rPr>
      </w:pPr>
      <w:r w:rsidRPr="004945BC">
        <w:rPr>
          <w:b/>
          <w:sz w:val="18"/>
        </w:rPr>
        <w:t>Figure F.10</w:t>
      </w:r>
    </w:p>
    <w:p w:rsidR="00E46063" w:rsidRPr="004945BC" w:rsidRDefault="00E46063" w:rsidP="00E46063">
      <w:pPr>
        <w:ind w:left="270" w:hanging="270"/>
        <w:jc w:val="center"/>
        <w:rPr>
          <w:b/>
          <w:sz w:val="16"/>
          <w:szCs w:val="18"/>
        </w:rPr>
      </w:pPr>
      <w:r w:rsidRPr="004945BC">
        <w:rPr>
          <w:b/>
          <w:sz w:val="18"/>
        </w:rPr>
        <w:t>Total poverty gap for whole population (</w:t>
      </w:r>
      <w:smartTag w:uri="urn:schemas-microsoft-com:office:smarttags" w:element="stockticker">
        <w:r w:rsidRPr="004945BC">
          <w:rPr>
            <w:b/>
            <w:sz w:val="18"/>
          </w:rPr>
          <w:t>BHC</w:t>
        </w:r>
      </w:smartTag>
      <w:r w:rsidRPr="004945BC">
        <w:rPr>
          <w:b/>
          <w:sz w:val="16"/>
          <w:szCs w:val="18"/>
        </w:rPr>
        <w:t>)</w:t>
      </w:r>
    </w:p>
    <w:p w:rsidR="00E46063" w:rsidRPr="00A13E3B" w:rsidRDefault="00EC0BE0" w:rsidP="00E46063">
      <w:pPr>
        <w:ind w:left="270" w:hanging="270"/>
        <w:jc w:val="center"/>
      </w:pPr>
      <w:r>
        <w:rPr>
          <w:noProof/>
          <w:lang w:val="en-US"/>
        </w:rPr>
        <w:drawing>
          <wp:inline distT="0" distB="0" distL="0" distR="0">
            <wp:extent cx="4019550" cy="2343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4019550" cy="2343150"/>
                    </a:xfrm>
                    <a:prstGeom prst="rect">
                      <a:avLst/>
                    </a:prstGeom>
                    <a:noFill/>
                    <a:ln w="9525">
                      <a:noFill/>
                      <a:miter lim="800000"/>
                      <a:headEnd/>
                      <a:tailEnd/>
                    </a:ln>
                  </pic:spPr>
                </pic:pic>
              </a:graphicData>
            </a:graphic>
          </wp:inline>
        </w:drawing>
      </w:r>
    </w:p>
    <w:p w:rsidR="00E46063" w:rsidRDefault="00E46063" w:rsidP="00E46063">
      <w:pPr>
        <w:jc w:val="both"/>
        <w:rPr>
          <w:szCs w:val="22"/>
        </w:rPr>
      </w:pPr>
    </w:p>
    <w:p w:rsidR="00E46063" w:rsidRPr="004945BC" w:rsidRDefault="00E46063" w:rsidP="00E46063">
      <w:pPr>
        <w:jc w:val="both"/>
        <w:rPr>
          <w:sz w:val="20"/>
          <w:szCs w:val="22"/>
        </w:rPr>
      </w:pPr>
      <w:r w:rsidRPr="004945BC">
        <w:rPr>
          <w:sz w:val="20"/>
          <w:szCs w:val="22"/>
        </w:rPr>
        <w:t>Since 1990 the trajectories for the TPG have been quite different depending on whether it is calculated relative to a fixed line (CV) or a moving line (</w:t>
      </w:r>
      <w:smartTag w:uri="urn:schemas-microsoft-com:office:smarttags" w:element="stockticker">
        <w:r w:rsidRPr="004945BC">
          <w:rPr>
            <w:sz w:val="20"/>
            <w:szCs w:val="22"/>
          </w:rPr>
          <w:t>REL</w:t>
        </w:r>
      </w:smartTag>
      <w:r w:rsidRPr="004945BC">
        <w:rPr>
          <w:sz w:val="20"/>
          <w:szCs w:val="22"/>
        </w:rPr>
        <w:t xml:space="preserve">) threshold.  </w:t>
      </w:r>
    </w:p>
    <w:p w:rsidR="00E46063" w:rsidRPr="004945BC" w:rsidRDefault="00E46063" w:rsidP="00E46063">
      <w:pPr>
        <w:jc w:val="both"/>
        <w:rPr>
          <w:sz w:val="20"/>
          <w:szCs w:val="22"/>
        </w:rPr>
      </w:pPr>
    </w:p>
    <w:p w:rsidR="00E46063" w:rsidRPr="004945BC" w:rsidRDefault="00E46063" w:rsidP="00E46063">
      <w:pPr>
        <w:jc w:val="both"/>
        <w:rPr>
          <w:sz w:val="20"/>
          <w:szCs w:val="22"/>
        </w:rPr>
      </w:pPr>
      <w:r w:rsidRPr="004945BC">
        <w:rPr>
          <w:sz w:val="20"/>
          <w:szCs w:val="22"/>
          <w:u w:val="single"/>
        </w:rPr>
        <w:t>The CV-based TPG</w:t>
      </w:r>
      <w:r w:rsidRPr="004945BC">
        <w:rPr>
          <w:sz w:val="20"/>
          <w:szCs w:val="22"/>
        </w:rPr>
        <w:t xml:space="preserve"> rose rapidly during the first half of the 1990s because incomes fell relative to this fixed line and there were more households to lift further to take poverty rates to zero.  The reverse happened in the second half of the 1990s.   Since 1998, the combination of a rise in mean poverty depth and a fall in poverty rates has led to a flat CV-based TPG line 1998-2007. </w:t>
      </w:r>
    </w:p>
    <w:p w:rsidR="00E46063" w:rsidRPr="004945BC" w:rsidRDefault="00E46063" w:rsidP="00E46063">
      <w:pPr>
        <w:jc w:val="both"/>
        <w:rPr>
          <w:sz w:val="20"/>
          <w:szCs w:val="22"/>
        </w:rPr>
      </w:pPr>
    </w:p>
    <w:p w:rsidR="00E46063" w:rsidRPr="004945BC" w:rsidRDefault="00E46063" w:rsidP="00E46063">
      <w:pPr>
        <w:jc w:val="both"/>
        <w:rPr>
          <w:sz w:val="20"/>
          <w:szCs w:val="22"/>
        </w:rPr>
      </w:pPr>
      <w:r w:rsidRPr="004945BC">
        <w:rPr>
          <w:sz w:val="20"/>
          <w:szCs w:val="22"/>
        </w:rPr>
        <w:t xml:space="preserve">In contrast, in the first half of the 1990s </w:t>
      </w:r>
      <w:r w:rsidRPr="004945BC">
        <w:rPr>
          <w:sz w:val="20"/>
          <w:szCs w:val="22"/>
          <w:u w:val="single"/>
        </w:rPr>
        <w:t xml:space="preserve">the </w:t>
      </w:r>
      <w:smartTag w:uri="urn:schemas-microsoft-com:office:smarttags" w:element="stockticker">
        <w:r w:rsidRPr="004945BC">
          <w:rPr>
            <w:sz w:val="20"/>
            <w:szCs w:val="22"/>
            <w:u w:val="single"/>
          </w:rPr>
          <w:t>REL</w:t>
        </w:r>
      </w:smartTag>
      <w:r w:rsidRPr="004945BC">
        <w:rPr>
          <w:sz w:val="20"/>
          <w:szCs w:val="22"/>
          <w:u w:val="single"/>
        </w:rPr>
        <w:t>-based TPG</w:t>
      </w:r>
      <w:r w:rsidRPr="004945BC">
        <w:rPr>
          <w:sz w:val="20"/>
          <w:szCs w:val="22"/>
        </w:rPr>
        <w:t xml:space="preserve"> remained at around the level it had been for most of the 1980s.  This occurred because in the first half of the 1990s the fall in incomes at the lower end of the distribution was similar to the fall in incomes at the median. Thus, poverty rates and mean poverty depth remained relatively steady, with the net result that the </w:t>
      </w:r>
      <w:smartTag w:uri="urn:schemas-microsoft-com:office:smarttags" w:element="stockticker">
        <w:r w:rsidRPr="004945BC">
          <w:rPr>
            <w:sz w:val="20"/>
            <w:szCs w:val="22"/>
          </w:rPr>
          <w:t>REL</w:t>
        </w:r>
      </w:smartTag>
      <w:r w:rsidRPr="004945BC">
        <w:rPr>
          <w:sz w:val="20"/>
          <w:szCs w:val="22"/>
        </w:rPr>
        <w:t>-based TPG also remained steady.</w:t>
      </w:r>
    </w:p>
    <w:p w:rsidR="00E46063" w:rsidRPr="004945BC" w:rsidRDefault="00E46063" w:rsidP="00E46063">
      <w:pPr>
        <w:jc w:val="both"/>
        <w:rPr>
          <w:sz w:val="20"/>
          <w:szCs w:val="22"/>
        </w:rPr>
      </w:pPr>
    </w:p>
    <w:p w:rsidR="00E46063" w:rsidRPr="004945BC" w:rsidRDefault="00E46063" w:rsidP="00E46063">
      <w:pPr>
        <w:jc w:val="both"/>
        <w:rPr>
          <w:b/>
          <w:sz w:val="20"/>
          <w:szCs w:val="22"/>
        </w:rPr>
      </w:pPr>
      <w:r w:rsidRPr="004945BC">
        <w:rPr>
          <w:sz w:val="20"/>
          <w:szCs w:val="22"/>
        </w:rPr>
        <w:t xml:space="preserve">Since 1994, median incomes (and therefore the 60% </w:t>
      </w:r>
      <w:smartTag w:uri="urn:schemas-microsoft-com:office:smarttags" w:element="stockticker">
        <w:r w:rsidRPr="004945BC">
          <w:rPr>
            <w:sz w:val="20"/>
            <w:szCs w:val="22"/>
          </w:rPr>
          <w:t>REL</w:t>
        </w:r>
      </w:smartTag>
      <w:r w:rsidRPr="004945BC">
        <w:rPr>
          <w:sz w:val="20"/>
          <w:szCs w:val="22"/>
        </w:rPr>
        <w:t xml:space="preserve"> threshold) have risen in real terms.  The </w:t>
      </w:r>
      <w:smartTag w:uri="urn:schemas-microsoft-com:office:smarttags" w:element="stockticker">
        <w:r w:rsidRPr="004945BC">
          <w:rPr>
            <w:sz w:val="20"/>
            <w:szCs w:val="22"/>
          </w:rPr>
          <w:t>REL</w:t>
        </w:r>
      </w:smartTag>
      <w:r w:rsidRPr="004945BC">
        <w:rPr>
          <w:sz w:val="20"/>
          <w:szCs w:val="22"/>
        </w:rPr>
        <w:t xml:space="preserve"> poverty rates rose from 1994 to 2004 and poorer households had to be lifted further (in real terms) to reduce </w:t>
      </w:r>
      <w:smartTag w:uri="urn:schemas-microsoft-com:office:smarttags" w:element="stockticker">
        <w:r w:rsidRPr="004945BC">
          <w:rPr>
            <w:sz w:val="20"/>
            <w:szCs w:val="22"/>
          </w:rPr>
          <w:t>REL</w:t>
        </w:r>
      </w:smartTag>
      <w:r w:rsidRPr="004945BC">
        <w:rPr>
          <w:sz w:val="20"/>
          <w:szCs w:val="22"/>
        </w:rPr>
        <w:t xml:space="preserve"> poverty rates to zero.  The </w:t>
      </w:r>
      <w:smartTag w:uri="urn:schemas-microsoft-com:office:smarttags" w:element="stockticker">
        <w:r w:rsidRPr="004945BC">
          <w:rPr>
            <w:sz w:val="20"/>
            <w:szCs w:val="22"/>
          </w:rPr>
          <w:t>REL</w:t>
        </w:r>
      </w:smartTag>
      <w:r w:rsidRPr="004945BC">
        <w:rPr>
          <w:sz w:val="20"/>
          <w:szCs w:val="22"/>
        </w:rPr>
        <w:t xml:space="preserve">-based TPG therefore rose rapidly from 1994 to 2004. </w:t>
      </w:r>
    </w:p>
    <w:bookmarkEnd w:id="106"/>
    <w:bookmarkEnd w:id="107"/>
    <w:bookmarkEnd w:id="108"/>
    <w:bookmarkEnd w:id="109"/>
    <w:p w:rsidR="00E46063" w:rsidRPr="004945BC" w:rsidRDefault="00E46063" w:rsidP="00E46063">
      <w:pPr>
        <w:ind w:left="270" w:hanging="270"/>
        <w:jc w:val="center"/>
        <w:rPr>
          <w:sz w:val="20"/>
        </w:rPr>
      </w:pPr>
    </w:p>
    <w:p w:rsidR="00E46063" w:rsidRPr="004945BC" w:rsidRDefault="00E46063" w:rsidP="00E46063">
      <w:pPr>
        <w:jc w:val="both"/>
        <w:rPr>
          <w:sz w:val="20"/>
        </w:rPr>
      </w:pPr>
      <w:r w:rsidRPr="004945BC">
        <w:rPr>
          <w:sz w:val="20"/>
        </w:rPr>
        <w:t xml:space="preserve">Even though the </w:t>
      </w:r>
      <w:smartTag w:uri="urn:schemas-microsoft-com:office:smarttags" w:element="stockticker">
        <w:r w:rsidRPr="004945BC">
          <w:rPr>
            <w:sz w:val="20"/>
          </w:rPr>
          <w:t>REL</w:t>
        </w:r>
      </w:smartTag>
      <w:r w:rsidRPr="004945BC">
        <w:rPr>
          <w:sz w:val="20"/>
        </w:rPr>
        <w:t xml:space="preserve"> poverty rates fell from 2004 to 2007, the </w:t>
      </w:r>
      <w:smartTag w:uri="urn:schemas-microsoft-com:office:smarttags" w:element="stockticker">
        <w:r w:rsidRPr="004945BC">
          <w:rPr>
            <w:sz w:val="20"/>
          </w:rPr>
          <w:t>REL</w:t>
        </w:r>
      </w:smartTag>
      <w:r w:rsidRPr="004945BC">
        <w:rPr>
          <w:sz w:val="20"/>
        </w:rPr>
        <w:t xml:space="preserve">-based TPG kept increasing because the </w:t>
      </w:r>
      <w:smartTag w:uri="urn:schemas-microsoft-com:office:smarttags" w:element="stockticker">
        <w:r w:rsidRPr="004945BC">
          <w:rPr>
            <w:sz w:val="20"/>
          </w:rPr>
          <w:t>REL</w:t>
        </w:r>
      </w:smartTag>
      <w:r w:rsidRPr="004945BC">
        <w:rPr>
          <w:sz w:val="20"/>
        </w:rPr>
        <w:t xml:space="preserve"> mean poverty depth increased (see Figure F.9). </w:t>
      </w:r>
    </w:p>
    <w:p w:rsidR="00C96A4B" w:rsidRDefault="00C96A4B" w:rsidP="00E46063">
      <w:pPr>
        <w:sectPr w:rsidR="00C96A4B" w:rsidSect="005A3E8C">
          <w:headerReference w:type="default" r:id="rId84"/>
          <w:pgSz w:w="11909" w:h="16834" w:code="9"/>
          <w:pgMar w:top="1440" w:right="1584" w:bottom="1440" w:left="1584" w:header="706" w:footer="706" w:gutter="0"/>
          <w:cols w:space="720"/>
        </w:sectPr>
      </w:pPr>
    </w:p>
    <w:p w:rsidR="00C96A4B" w:rsidRPr="009C0870" w:rsidRDefault="00C96A4B" w:rsidP="00C96A4B">
      <w:pPr>
        <w:jc w:val="center"/>
        <w:rPr>
          <w:b/>
          <w:sz w:val="36"/>
          <w:szCs w:val="36"/>
        </w:rPr>
      </w:pPr>
      <w:r w:rsidRPr="009C0870">
        <w:rPr>
          <w:b/>
          <w:sz w:val="36"/>
          <w:szCs w:val="36"/>
        </w:rPr>
        <w:lastRenderedPageBreak/>
        <w:t>Section G</w:t>
      </w:r>
    </w:p>
    <w:p w:rsidR="00C96A4B" w:rsidRPr="009C0870" w:rsidRDefault="00C96A4B" w:rsidP="00C96A4B">
      <w:pPr>
        <w:pStyle w:val="Heading3"/>
        <w:jc w:val="center"/>
        <w:rPr>
          <w:sz w:val="32"/>
          <w:szCs w:val="32"/>
        </w:rPr>
      </w:pPr>
      <w:r w:rsidRPr="009C0870">
        <w:rPr>
          <w:sz w:val="32"/>
          <w:szCs w:val="32"/>
        </w:rPr>
        <w:t>Trends for the whole population, 1982 - 20</w:t>
      </w:r>
      <w:r>
        <w:rPr>
          <w:sz w:val="32"/>
          <w:szCs w:val="32"/>
        </w:rPr>
        <w:t>11</w:t>
      </w:r>
      <w:r w:rsidRPr="009C0870">
        <w:rPr>
          <w:sz w:val="32"/>
          <w:szCs w:val="32"/>
        </w:rPr>
        <w:t>,</w:t>
      </w:r>
    </w:p>
    <w:p w:rsidR="00C96A4B" w:rsidRDefault="00C96A4B" w:rsidP="00C96A4B">
      <w:pPr>
        <w:pStyle w:val="Heading3"/>
        <w:jc w:val="center"/>
        <w:rPr>
          <w:sz w:val="32"/>
          <w:szCs w:val="32"/>
        </w:rPr>
      </w:pPr>
      <w:r w:rsidRPr="009C0870">
        <w:rPr>
          <w:sz w:val="32"/>
          <w:szCs w:val="32"/>
        </w:rPr>
        <w:t xml:space="preserve"> by various individual and household characteristics</w:t>
      </w:r>
      <w:r>
        <w:rPr>
          <w:sz w:val="32"/>
          <w:szCs w:val="32"/>
        </w:rPr>
        <w:t xml:space="preserve"> </w:t>
      </w:r>
    </w:p>
    <w:p w:rsidR="00C96A4B" w:rsidRDefault="00C96A4B" w:rsidP="00C96A4B">
      <w:pPr>
        <w:jc w:val="both"/>
        <w:rPr>
          <w:rFonts w:cs="Arial"/>
          <w:szCs w:val="22"/>
        </w:rPr>
      </w:pPr>
    </w:p>
    <w:p w:rsidR="00C96A4B" w:rsidRPr="007944CF" w:rsidRDefault="00C96A4B" w:rsidP="00C96A4B">
      <w:pPr>
        <w:jc w:val="both"/>
        <w:rPr>
          <w:rFonts w:cs="Arial"/>
          <w:szCs w:val="22"/>
        </w:rPr>
      </w:pPr>
    </w:p>
    <w:p w:rsidR="00C96A4B" w:rsidRDefault="00C96A4B" w:rsidP="00C96A4B"/>
    <w:p w:rsidR="00C96A4B" w:rsidRPr="009D129E" w:rsidRDefault="00C96A4B" w:rsidP="00C96A4B">
      <w:pPr>
        <w:spacing w:after="120"/>
        <w:jc w:val="both"/>
        <w:rPr>
          <w:sz w:val="20"/>
        </w:rPr>
      </w:pPr>
      <w:r w:rsidRPr="009D129E">
        <w:rPr>
          <w:sz w:val="20"/>
        </w:rPr>
        <w:t>This section:</w:t>
      </w:r>
    </w:p>
    <w:p w:rsidR="00C96A4B" w:rsidRPr="009D129E" w:rsidRDefault="00C96A4B" w:rsidP="00C96A4B">
      <w:pPr>
        <w:numPr>
          <w:ilvl w:val="0"/>
          <w:numId w:val="57"/>
        </w:numPr>
        <w:spacing w:after="120"/>
        <w:jc w:val="both"/>
        <w:rPr>
          <w:sz w:val="20"/>
        </w:rPr>
      </w:pPr>
      <w:r w:rsidRPr="009D129E">
        <w:rPr>
          <w:sz w:val="20"/>
        </w:rPr>
        <w:t>compares trends in poverty rates for subgroups within the population</w:t>
      </w:r>
    </w:p>
    <w:p w:rsidR="00C96A4B" w:rsidRPr="009D129E" w:rsidRDefault="00C96A4B" w:rsidP="00C96A4B">
      <w:pPr>
        <w:numPr>
          <w:ilvl w:val="0"/>
          <w:numId w:val="57"/>
        </w:numPr>
        <w:jc w:val="both"/>
        <w:rPr>
          <w:sz w:val="20"/>
        </w:rPr>
      </w:pPr>
      <w:r w:rsidRPr="009D129E">
        <w:rPr>
          <w:sz w:val="20"/>
        </w:rPr>
        <w:t>reports on the changing composition of those identified as poor on the chosen measures.</w:t>
      </w:r>
    </w:p>
    <w:p w:rsidR="00C96A4B" w:rsidRPr="009D129E" w:rsidRDefault="00C96A4B" w:rsidP="00C96A4B">
      <w:pPr>
        <w:jc w:val="both"/>
        <w:rPr>
          <w:sz w:val="20"/>
        </w:rPr>
      </w:pPr>
    </w:p>
    <w:p w:rsidR="00C96A4B" w:rsidRPr="009D129E" w:rsidRDefault="00C96A4B" w:rsidP="00C96A4B">
      <w:pPr>
        <w:spacing w:after="120"/>
        <w:rPr>
          <w:sz w:val="20"/>
        </w:rPr>
      </w:pPr>
      <w:r w:rsidRPr="009D129E">
        <w:rPr>
          <w:sz w:val="20"/>
        </w:rPr>
        <w:t>The individual and household characteristics used for subgroup analyses are:</w:t>
      </w:r>
    </w:p>
    <w:p w:rsidR="00C96A4B" w:rsidRPr="009D129E" w:rsidRDefault="00C96A4B" w:rsidP="00614C04">
      <w:pPr>
        <w:numPr>
          <w:ilvl w:val="0"/>
          <w:numId w:val="51"/>
        </w:numPr>
        <w:spacing w:after="120"/>
        <w:ind w:hanging="270"/>
        <w:rPr>
          <w:sz w:val="20"/>
        </w:rPr>
      </w:pPr>
      <w:r w:rsidRPr="009D129E">
        <w:rPr>
          <w:sz w:val="20"/>
        </w:rPr>
        <w:t>age of the individual</w:t>
      </w:r>
    </w:p>
    <w:p w:rsidR="00C96A4B" w:rsidRDefault="00C96A4B" w:rsidP="00614C04">
      <w:pPr>
        <w:numPr>
          <w:ilvl w:val="0"/>
          <w:numId w:val="51"/>
        </w:numPr>
        <w:spacing w:after="120"/>
        <w:ind w:hanging="270"/>
        <w:rPr>
          <w:sz w:val="20"/>
        </w:rPr>
      </w:pPr>
      <w:r w:rsidRPr="009D129E">
        <w:rPr>
          <w:sz w:val="20"/>
        </w:rPr>
        <w:t>sex of the individual</w:t>
      </w:r>
    </w:p>
    <w:p w:rsidR="00C96A4B" w:rsidRPr="009D129E" w:rsidRDefault="00C96A4B" w:rsidP="00614C04">
      <w:pPr>
        <w:numPr>
          <w:ilvl w:val="0"/>
          <w:numId w:val="51"/>
        </w:numPr>
        <w:spacing w:after="120"/>
        <w:ind w:hanging="270"/>
        <w:rPr>
          <w:sz w:val="20"/>
        </w:rPr>
      </w:pPr>
      <w:r>
        <w:rPr>
          <w:sz w:val="20"/>
        </w:rPr>
        <w:t>ethnicity of the individual (no trends)</w:t>
      </w:r>
      <w:r w:rsidRPr="00732F62">
        <w:rPr>
          <w:rStyle w:val="FootnoteReference"/>
          <w:sz w:val="20"/>
        </w:rPr>
        <w:t xml:space="preserve"> </w:t>
      </w:r>
      <w:r w:rsidRPr="009D129E">
        <w:rPr>
          <w:rStyle w:val="FootnoteReference"/>
          <w:sz w:val="20"/>
        </w:rPr>
        <w:footnoteReference w:id="66"/>
      </w:r>
    </w:p>
    <w:p w:rsidR="00C96A4B" w:rsidRDefault="00C96A4B" w:rsidP="00614C04">
      <w:pPr>
        <w:numPr>
          <w:ilvl w:val="0"/>
          <w:numId w:val="51"/>
        </w:numPr>
        <w:spacing w:after="120"/>
        <w:ind w:hanging="270"/>
        <w:rPr>
          <w:sz w:val="20"/>
        </w:rPr>
      </w:pPr>
      <w:r>
        <w:rPr>
          <w:sz w:val="20"/>
        </w:rPr>
        <w:t>tenure</w:t>
      </w:r>
    </w:p>
    <w:p w:rsidR="00C96A4B" w:rsidRPr="009D129E" w:rsidRDefault="00C96A4B" w:rsidP="00614C04">
      <w:pPr>
        <w:numPr>
          <w:ilvl w:val="0"/>
          <w:numId w:val="51"/>
        </w:numPr>
        <w:spacing w:after="120"/>
        <w:ind w:hanging="270"/>
        <w:rPr>
          <w:sz w:val="20"/>
        </w:rPr>
      </w:pPr>
      <w:r w:rsidRPr="009D129E">
        <w:rPr>
          <w:sz w:val="20"/>
        </w:rPr>
        <w:t>household type</w:t>
      </w:r>
    </w:p>
    <w:p w:rsidR="00C96A4B" w:rsidRDefault="00C96A4B" w:rsidP="00614C04">
      <w:pPr>
        <w:numPr>
          <w:ilvl w:val="0"/>
          <w:numId w:val="51"/>
        </w:numPr>
        <w:spacing w:after="120"/>
        <w:ind w:hanging="270"/>
        <w:rPr>
          <w:sz w:val="20"/>
        </w:rPr>
      </w:pPr>
      <w:r w:rsidRPr="009D129E">
        <w:rPr>
          <w:sz w:val="20"/>
        </w:rPr>
        <w:t>number of children in the household</w:t>
      </w:r>
    </w:p>
    <w:p w:rsidR="00C96A4B" w:rsidRDefault="00C96A4B" w:rsidP="00614C04">
      <w:pPr>
        <w:numPr>
          <w:ilvl w:val="0"/>
          <w:numId w:val="51"/>
        </w:numPr>
        <w:spacing w:after="120"/>
        <w:ind w:hanging="270"/>
        <w:rPr>
          <w:sz w:val="20"/>
        </w:rPr>
      </w:pPr>
      <w:r w:rsidRPr="009D129E">
        <w:rPr>
          <w:sz w:val="20"/>
        </w:rPr>
        <w:t xml:space="preserve">main source of income for </w:t>
      </w:r>
      <w:r>
        <w:rPr>
          <w:sz w:val="20"/>
        </w:rPr>
        <w:t>households under 65.</w:t>
      </w:r>
    </w:p>
    <w:p w:rsidR="00C96A4B" w:rsidRPr="009D129E" w:rsidRDefault="00C96A4B" w:rsidP="00C96A4B">
      <w:pPr>
        <w:rPr>
          <w:sz w:val="20"/>
        </w:rPr>
      </w:pPr>
    </w:p>
    <w:p w:rsidR="00C96A4B" w:rsidRPr="009D129E" w:rsidRDefault="00C96A4B" w:rsidP="00C96A4B">
      <w:pPr>
        <w:jc w:val="both"/>
        <w:rPr>
          <w:sz w:val="20"/>
        </w:rPr>
      </w:pPr>
    </w:p>
    <w:p w:rsidR="00C96A4B" w:rsidRPr="009D129E" w:rsidRDefault="00C96A4B" w:rsidP="00C96A4B">
      <w:pPr>
        <w:jc w:val="both"/>
        <w:rPr>
          <w:sz w:val="20"/>
        </w:rPr>
      </w:pPr>
      <w:r>
        <w:rPr>
          <w:sz w:val="20"/>
        </w:rPr>
        <w:t xml:space="preserve">For subgroup comparisons, the report recommends the use of </w:t>
      </w:r>
      <w:smartTag w:uri="urn:schemas-microsoft-com:office:smarttags" w:element="stockticker">
        <w:r>
          <w:rPr>
            <w:sz w:val="20"/>
          </w:rPr>
          <w:t>AHC</w:t>
        </w:r>
      </w:smartTag>
      <w:r>
        <w:rPr>
          <w:sz w:val="20"/>
        </w:rPr>
        <w:t xml:space="preserve"> measures (see </w:t>
      </w:r>
      <w:r w:rsidRPr="002044D0">
        <w:rPr>
          <w:b/>
          <w:sz w:val="20"/>
        </w:rPr>
        <w:t>Appendix 5</w:t>
      </w:r>
      <w:r>
        <w:rPr>
          <w:sz w:val="20"/>
        </w:rPr>
        <w:t xml:space="preserve">).  </w:t>
      </w:r>
      <w:r w:rsidRPr="002044D0">
        <w:rPr>
          <w:b/>
          <w:sz w:val="20"/>
        </w:rPr>
        <w:t>Table G.1</w:t>
      </w:r>
      <w:r>
        <w:rPr>
          <w:sz w:val="20"/>
        </w:rPr>
        <w:t xml:space="preserve"> notes the </w:t>
      </w:r>
      <w:smartTag w:uri="urn:schemas-microsoft-com:office:smarttags" w:element="stockticker">
        <w:r>
          <w:rPr>
            <w:sz w:val="20"/>
          </w:rPr>
          <w:t>AHC</w:t>
        </w:r>
      </w:smartTag>
      <w:r>
        <w:rPr>
          <w:sz w:val="20"/>
        </w:rPr>
        <w:t xml:space="preserve"> measures used in this section.</w:t>
      </w:r>
    </w:p>
    <w:p w:rsidR="00C96A4B" w:rsidRPr="009D129E" w:rsidRDefault="00C96A4B" w:rsidP="00C96A4B">
      <w:pPr>
        <w:rPr>
          <w:sz w:val="20"/>
        </w:rPr>
      </w:pPr>
    </w:p>
    <w:p w:rsidR="00C96A4B" w:rsidRPr="009D129E" w:rsidRDefault="00C96A4B" w:rsidP="00C96A4B">
      <w:pPr>
        <w:jc w:val="center"/>
        <w:rPr>
          <w:b/>
          <w:sz w:val="18"/>
        </w:rPr>
      </w:pPr>
      <w:r w:rsidRPr="009D129E">
        <w:rPr>
          <w:b/>
          <w:sz w:val="18"/>
        </w:rPr>
        <w:t>Table G.1</w:t>
      </w:r>
    </w:p>
    <w:p w:rsidR="00C96A4B" w:rsidRPr="006E41BF" w:rsidRDefault="00C96A4B" w:rsidP="00C96A4B">
      <w:pPr>
        <w:spacing w:after="120"/>
        <w:jc w:val="center"/>
        <w:rPr>
          <w:b/>
          <w:sz w:val="18"/>
        </w:rPr>
      </w:pPr>
      <w:r w:rsidRPr="009D129E">
        <w:rPr>
          <w:b/>
          <w:sz w:val="18"/>
        </w:rPr>
        <w:t>Poverty measures reported on in Section G</w:t>
      </w:r>
      <w:r>
        <w:rPr>
          <w:b/>
          <w:sz w:val="18"/>
        </w:rPr>
        <w:t xml:space="preserve"> </w:t>
      </w:r>
      <w:r w:rsidRPr="009D129E">
        <w:rPr>
          <w:b/>
          <w:sz w:val="18"/>
        </w:rPr>
        <w:t xml:space="preserve"> for subgroups of the whole population</w:t>
      </w:r>
    </w:p>
    <w:tbl>
      <w:tblPr>
        <w:tblStyle w:val="TableGrid"/>
        <w:tblW w:w="0" w:type="auto"/>
        <w:jc w:val="center"/>
        <w:tblLook w:val="01E0"/>
      </w:tblPr>
      <w:tblGrid>
        <w:gridCol w:w="761"/>
        <w:gridCol w:w="762"/>
        <w:gridCol w:w="761"/>
        <w:gridCol w:w="762"/>
        <w:gridCol w:w="762"/>
        <w:gridCol w:w="761"/>
        <w:gridCol w:w="762"/>
        <w:gridCol w:w="762"/>
      </w:tblGrid>
      <w:tr w:rsidR="00C96A4B" w:rsidRPr="0092340C">
        <w:trPr>
          <w:trHeight w:hRule="exact" w:val="343"/>
          <w:jc w:val="center"/>
        </w:trPr>
        <w:tc>
          <w:tcPr>
            <w:tcW w:w="3046" w:type="dxa"/>
            <w:gridSpan w:val="4"/>
            <w:tcBorders>
              <w:right w:val="single" w:sz="12" w:space="0" w:color="auto"/>
            </w:tcBorders>
            <w:tcMar>
              <w:left w:w="58" w:type="dxa"/>
              <w:right w:w="58" w:type="dxa"/>
            </w:tcMar>
            <w:vAlign w:val="center"/>
          </w:tcPr>
          <w:p w:rsidR="00C96A4B" w:rsidRPr="00BA0298" w:rsidRDefault="00C96A4B" w:rsidP="00614C04">
            <w:pPr>
              <w:jc w:val="center"/>
              <w:rPr>
                <w:rFonts w:cs="Arial"/>
                <w:b/>
                <w:sz w:val="16"/>
                <w:szCs w:val="18"/>
              </w:rPr>
            </w:pPr>
            <w:smartTag w:uri="urn:schemas-microsoft-com:office:smarttags" w:element="stockticker">
              <w:r w:rsidRPr="00BA0298">
                <w:rPr>
                  <w:rFonts w:cs="Arial"/>
                  <w:b/>
                  <w:sz w:val="16"/>
                  <w:szCs w:val="18"/>
                </w:rPr>
                <w:t>BHC</w:t>
              </w:r>
            </w:smartTag>
          </w:p>
        </w:tc>
        <w:tc>
          <w:tcPr>
            <w:tcW w:w="3047" w:type="dxa"/>
            <w:gridSpan w:val="4"/>
            <w:tcBorders>
              <w:left w:val="single" w:sz="12" w:space="0" w:color="auto"/>
            </w:tcBorders>
            <w:tcMar>
              <w:left w:w="58" w:type="dxa"/>
              <w:right w:w="58" w:type="dxa"/>
            </w:tcMar>
            <w:vAlign w:val="center"/>
          </w:tcPr>
          <w:p w:rsidR="00C96A4B" w:rsidRPr="00BA0298" w:rsidRDefault="00C96A4B" w:rsidP="00614C04">
            <w:pPr>
              <w:jc w:val="center"/>
              <w:rPr>
                <w:rFonts w:cs="Arial"/>
                <w:b/>
                <w:sz w:val="16"/>
                <w:szCs w:val="18"/>
              </w:rPr>
            </w:pPr>
            <w:smartTag w:uri="urn:schemas-microsoft-com:office:smarttags" w:element="stockticker">
              <w:r w:rsidRPr="00BA0298">
                <w:rPr>
                  <w:rFonts w:cs="Arial"/>
                  <w:b/>
                  <w:sz w:val="16"/>
                  <w:szCs w:val="18"/>
                </w:rPr>
                <w:t>AHC</w:t>
              </w:r>
            </w:smartTag>
          </w:p>
        </w:tc>
      </w:tr>
      <w:tr w:rsidR="00C96A4B" w:rsidRPr="0092340C">
        <w:trPr>
          <w:trHeight w:hRule="exact" w:val="748"/>
          <w:jc w:val="center"/>
        </w:trPr>
        <w:tc>
          <w:tcPr>
            <w:tcW w:w="1523" w:type="dxa"/>
            <w:gridSpan w:val="2"/>
            <w:tcMar>
              <w:left w:w="58" w:type="dxa"/>
              <w:right w:w="58" w:type="dxa"/>
            </w:tcMar>
            <w:vAlign w:val="center"/>
          </w:tcPr>
          <w:p w:rsidR="00C96A4B" w:rsidRPr="00BA0298" w:rsidRDefault="00C96A4B"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C96A4B" w:rsidRPr="00BA0298" w:rsidRDefault="00C96A4B" w:rsidP="00614C04">
            <w:pPr>
              <w:spacing w:after="20"/>
              <w:jc w:val="center"/>
              <w:rPr>
                <w:rFonts w:cs="Arial"/>
                <w:sz w:val="16"/>
                <w:szCs w:val="18"/>
              </w:rPr>
            </w:pPr>
            <w:r w:rsidRPr="00BA0298">
              <w:rPr>
                <w:rFonts w:cs="Arial"/>
                <w:sz w:val="16"/>
                <w:szCs w:val="18"/>
              </w:rPr>
              <w:t xml:space="preserve"> (‘moving line’</w:t>
            </w:r>
            <w:r>
              <w:rPr>
                <w:rFonts w:cs="Arial"/>
                <w:sz w:val="16"/>
                <w:szCs w:val="18"/>
              </w:rPr>
              <w:t>)</w:t>
            </w:r>
          </w:p>
        </w:tc>
        <w:tc>
          <w:tcPr>
            <w:tcW w:w="1523" w:type="dxa"/>
            <w:gridSpan w:val="2"/>
            <w:tcBorders>
              <w:right w:val="single" w:sz="12" w:space="0" w:color="auto"/>
            </w:tcBorders>
            <w:tcMar>
              <w:left w:w="58" w:type="dxa"/>
              <w:right w:w="58" w:type="dxa"/>
            </w:tcMar>
            <w:vAlign w:val="center"/>
          </w:tcPr>
          <w:p w:rsidR="00C96A4B" w:rsidRPr="00BA0298" w:rsidRDefault="00C96A4B"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C96A4B" w:rsidRPr="00BA0298" w:rsidRDefault="00C96A4B"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C96A4B" w:rsidRPr="00BA0298" w:rsidRDefault="00C96A4B" w:rsidP="00614C04">
            <w:pPr>
              <w:spacing w:after="60"/>
              <w:jc w:val="center"/>
              <w:rPr>
                <w:rFonts w:cs="Arial"/>
                <w:sz w:val="16"/>
                <w:szCs w:val="18"/>
              </w:rPr>
            </w:pPr>
            <w:r w:rsidRPr="00BA0298">
              <w:rPr>
                <w:rFonts w:cs="Arial"/>
                <w:sz w:val="16"/>
                <w:szCs w:val="18"/>
              </w:rPr>
              <w:t>(‘fixed line’)</w:t>
            </w:r>
          </w:p>
        </w:tc>
        <w:tc>
          <w:tcPr>
            <w:tcW w:w="1523" w:type="dxa"/>
            <w:gridSpan w:val="2"/>
            <w:tcBorders>
              <w:left w:val="single" w:sz="12" w:space="0" w:color="auto"/>
            </w:tcBorders>
            <w:tcMar>
              <w:left w:w="58" w:type="dxa"/>
              <w:right w:w="58" w:type="dxa"/>
            </w:tcMar>
            <w:vAlign w:val="center"/>
          </w:tcPr>
          <w:p w:rsidR="00C96A4B" w:rsidRPr="00BA0298" w:rsidRDefault="00C96A4B"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C96A4B" w:rsidRPr="00BA0298" w:rsidRDefault="00C96A4B" w:rsidP="00614C04">
            <w:pPr>
              <w:spacing w:before="20" w:after="60"/>
              <w:jc w:val="center"/>
              <w:rPr>
                <w:rFonts w:cs="Arial"/>
                <w:sz w:val="16"/>
                <w:szCs w:val="18"/>
              </w:rPr>
            </w:pPr>
            <w:r w:rsidRPr="00BA0298">
              <w:rPr>
                <w:rFonts w:cs="Arial"/>
                <w:sz w:val="16"/>
                <w:szCs w:val="18"/>
              </w:rPr>
              <w:t xml:space="preserve"> (‘moving line’</w:t>
            </w:r>
            <w:r>
              <w:rPr>
                <w:rFonts w:cs="Arial"/>
                <w:sz w:val="16"/>
                <w:szCs w:val="18"/>
              </w:rPr>
              <w:t>)</w:t>
            </w:r>
          </w:p>
        </w:tc>
        <w:tc>
          <w:tcPr>
            <w:tcW w:w="1524" w:type="dxa"/>
            <w:gridSpan w:val="2"/>
            <w:tcMar>
              <w:left w:w="58" w:type="dxa"/>
              <w:right w:w="58" w:type="dxa"/>
            </w:tcMar>
            <w:vAlign w:val="center"/>
          </w:tcPr>
          <w:p w:rsidR="00C96A4B" w:rsidRPr="00BA0298" w:rsidRDefault="00C96A4B"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C96A4B" w:rsidRPr="00BA0298" w:rsidRDefault="00C96A4B"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C96A4B" w:rsidRPr="00BA0298" w:rsidRDefault="00C96A4B" w:rsidP="00614C04">
            <w:pPr>
              <w:spacing w:after="60"/>
              <w:jc w:val="center"/>
              <w:rPr>
                <w:rFonts w:cs="Arial"/>
                <w:sz w:val="16"/>
                <w:szCs w:val="18"/>
              </w:rPr>
            </w:pPr>
            <w:r w:rsidRPr="00BA0298">
              <w:rPr>
                <w:rFonts w:cs="Arial"/>
                <w:sz w:val="16"/>
                <w:szCs w:val="18"/>
              </w:rPr>
              <w:t>(‘fixed line’)</w:t>
            </w:r>
          </w:p>
        </w:tc>
      </w:tr>
      <w:tr w:rsidR="00C96A4B" w:rsidRPr="0092340C">
        <w:trPr>
          <w:trHeight w:val="330"/>
          <w:jc w:val="center"/>
        </w:trPr>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right w:val="single" w:sz="12"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2" w:type="dxa"/>
            <w:tcBorders>
              <w:left w:val="single" w:sz="12" w:space="0" w:color="auto"/>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2"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tcBorders>
            <w:shd w:val="clear" w:color="auto" w:fill="C0C0C0"/>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t>60</w:t>
            </w:r>
          </w:p>
        </w:tc>
      </w:tr>
      <w:tr w:rsidR="00C96A4B" w:rsidRPr="0092340C">
        <w:trPr>
          <w:trHeight w:val="330"/>
          <w:jc w:val="center"/>
        </w:trPr>
        <w:tc>
          <w:tcPr>
            <w:tcW w:w="761" w:type="dxa"/>
            <w:shd w:val="clear" w:color="auto" w:fill="auto"/>
            <w:tcMar>
              <w:left w:w="58" w:type="dxa"/>
              <w:right w:w="58" w:type="dxa"/>
            </w:tcMar>
            <w:vAlign w:val="center"/>
          </w:tcPr>
          <w:p w:rsidR="00C96A4B" w:rsidRPr="00BA0298" w:rsidRDefault="00C96A4B" w:rsidP="00614C04">
            <w:pPr>
              <w:jc w:val="center"/>
              <w:rPr>
                <w:rFonts w:cs="Arial"/>
                <w:sz w:val="16"/>
                <w:szCs w:val="18"/>
              </w:rPr>
            </w:pPr>
            <w:r>
              <w:rPr>
                <w:rFonts w:cs="Arial"/>
                <w:b/>
                <w:sz w:val="16"/>
                <w:szCs w:val="18"/>
              </w:rPr>
              <w:t>-</w:t>
            </w:r>
          </w:p>
        </w:tc>
        <w:tc>
          <w:tcPr>
            <w:tcW w:w="762" w:type="dxa"/>
            <w:shd w:val="clear" w:color="auto" w:fill="auto"/>
            <w:tcMar>
              <w:left w:w="58" w:type="dxa"/>
              <w:right w:w="58" w:type="dxa"/>
            </w:tcMar>
            <w:vAlign w:val="center"/>
          </w:tcPr>
          <w:p w:rsidR="00C96A4B" w:rsidRPr="00BA0298" w:rsidRDefault="00C96A4B" w:rsidP="00614C04">
            <w:pPr>
              <w:jc w:val="center"/>
              <w:rPr>
                <w:rFonts w:cs="Arial"/>
                <w:b/>
                <w:sz w:val="16"/>
                <w:szCs w:val="18"/>
              </w:rPr>
            </w:pPr>
            <w:r>
              <w:rPr>
                <w:rFonts w:cs="Arial"/>
                <w:b/>
                <w:sz w:val="16"/>
                <w:szCs w:val="18"/>
              </w:rPr>
              <w:t>-</w:t>
            </w:r>
          </w:p>
        </w:tc>
        <w:tc>
          <w:tcPr>
            <w:tcW w:w="761" w:type="dxa"/>
            <w:shd w:val="clear" w:color="auto" w:fill="auto"/>
            <w:tcMar>
              <w:left w:w="58" w:type="dxa"/>
              <w:right w:w="58" w:type="dxa"/>
            </w:tcMar>
            <w:vAlign w:val="center"/>
          </w:tcPr>
          <w:p w:rsidR="00C96A4B" w:rsidRPr="00BA0298" w:rsidRDefault="00C96A4B" w:rsidP="00614C04">
            <w:pPr>
              <w:spacing w:after="40"/>
              <w:jc w:val="center"/>
              <w:rPr>
                <w:rFonts w:cs="Arial"/>
                <w:sz w:val="16"/>
                <w:szCs w:val="18"/>
              </w:rPr>
            </w:pPr>
            <w:r>
              <w:rPr>
                <w:rFonts w:cs="Arial"/>
                <w:b/>
                <w:sz w:val="16"/>
                <w:szCs w:val="18"/>
              </w:rPr>
              <w:t>-</w:t>
            </w:r>
          </w:p>
        </w:tc>
        <w:tc>
          <w:tcPr>
            <w:tcW w:w="762" w:type="dxa"/>
            <w:tcBorders>
              <w:right w:val="single" w:sz="12" w:space="0" w:color="auto"/>
            </w:tcBorders>
            <w:shd w:val="clear" w:color="auto" w:fill="auto"/>
            <w:tcMar>
              <w:left w:w="58" w:type="dxa"/>
              <w:right w:w="58" w:type="dxa"/>
            </w:tcMar>
            <w:vAlign w:val="center"/>
          </w:tcPr>
          <w:p w:rsidR="00C96A4B" w:rsidRPr="00BA0298" w:rsidRDefault="00C96A4B" w:rsidP="00614C04">
            <w:pPr>
              <w:jc w:val="center"/>
              <w:rPr>
                <w:rFonts w:cs="Arial"/>
                <w:b/>
                <w:sz w:val="16"/>
                <w:szCs w:val="18"/>
              </w:rPr>
            </w:pPr>
            <w:r>
              <w:rPr>
                <w:rFonts w:cs="Arial"/>
                <w:b/>
                <w:sz w:val="16"/>
                <w:szCs w:val="18"/>
              </w:rPr>
              <w:t>-</w:t>
            </w:r>
          </w:p>
        </w:tc>
        <w:tc>
          <w:tcPr>
            <w:tcW w:w="762" w:type="dxa"/>
            <w:tcBorders>
              <w:left w:val="single" w:sz="12" w:space="0" w:color="auto"/>
            </w:tcBorders>
            <w:shd w:val="clear" w:color="auto" w:fill="auto"/>
            <w:tcMar>
              <w:left w:w="58" w:type="dxa"/>
              <w:right w:w="58" w:type="dxa"/>
            </w:tcMar>
            <w:vAlign w:val="center"/>
          </w:tcPr>
          <w:p w:rsidR="00C96A4B" w:rsidRPr="00BA0298" w:rsidRDefault="00C96A4B" w:rsidP="00614C04">
            <w:pPr>
              <w:jc w:val="center"/>
              <w:rPr>
                <w:rFonts w:cs="Arial"/>
                <w:sz w:val="16"/>
                <w:szCs w:val="18"/>
              </w:rPr>
            </w:pPr>
            <w:r w:rsidRPr="00BA0298">
              <w:rPr>
                <w:rFonts w:cs="Arial"/>
                <w:b/>
                <w:sz w:val="16"/>
                <w:szCs w:val="18"/>
              </w:rPr>
              <w:sym w:font="Wingdings" w:char="F0FC"/>
            </w:r>
          </w:p>
        </w:tc>
        <w:tc>
          <w:tcPr>
            <w:tcW w:w="761" w:type="dxa"/>
            <w:shd w:val="clear" w:color="auto" w:fill="auto"/>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sym w:font="Wingdings" w:char="F0FC"/>
            </w:r>
          </w:p>
        </w:tc>
        <w:tc>
          <w:tcPr>
            <w:tcW w:w="762" w:type="dxa"/>
            <w:tcBorders>
              <w:right w:val="single" w:sz="4" w:space="0" w:color="auto"/>
            </w:tcBorders>
            <w:shd w:val="clear" w:color="auto" w:fill="auto"/>
            <w:tcMar>
              <w:left w:w="58" w:type="dxa"/>
              <w:right w:w="58" w:type="dxa"/>
            </w:tcMar>
            <w:vAlign w:val="center"/>
          </w:tcPr>
          <w:p w:rsidR="00C96A4B" w:rsidRPr="00BA0298" w:rsidRDefault="00C96A4B" w:rsidP="00614C04">
            <w:pPr>
              <w:spacing w:after="40"/>
              <w:jc w:val="center"/>
              <w:rPr>
                <w:rFonts w:cs="Arial"/>
                <w:sz w:val="16"/>
                <w:szCs w:val="18"/>
              </w:rPr>
            </w:pPr>
            <w:r>
              <w:rPr>
                <w:rFonts w:cs="Arial"/>
                <w:b/>
                <w:sz w:val="16"/>
                <w:szCs w:val="18"/>
              </w:rPr>
              <w:t>-</w:t>
            </w:r>
          </w:p>
        </w:tc>
        <w:tc>
          <w:tcPr>
            <w:tcW w:w="762" w:type="dxa"/>
            <w:tcBorders>
              <w:left w:val="single" w:sz="4" w:space="0" w:color="auto"/>
            </w:tcBorders>
            <w:shd w:val="clear" w:color="auto" w:fill="C0C0C0"/>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sym w:font="Wingdings" w:char="F0FC"/>
            </w:r>
          </w:p>
        </w:tc>
      </w:tr>
    </w:tbl>
    <w:p w:rsidR="00C96A4B" w:rsidRPr="00FC5D5C" w:rsidRDefault="00C96A4B" w:rsidP="00C96A4B">
      <w:pPr>
        <w:spacing w:before="120"/>
        <w:ind w:left="1260" w:right="14"/>
        <w:jc w:val="both"/>
        <w:rPr>
          <w:sz w:val="16"/>
          <w:szCs w:val="16"/>
        </w:rPr>
      </w:pPr>
      <w:r w:rsidRPr="00FC5D5C">
        <w:rPr>
          <w:sz w:val="16"/>
          <w:szCs w:val="16"/>
        </w:rPr>
        <w:t>Note: ‘CV</w:t>
      </w:r>
      <w:r>
        <w:rPr>
          <w:sz w:val="16"/>
          <w:szCs w:val="16"/>
        </w:rPr>
        <w:t>-</w:t>
      </w:r>
      <w:r w:rsidRPr="00FC5D5C">
        <w:rPr>
          <w:sz w:val="16"/>
          <w:szCs w:val="16"/>
        </w:rPr>
        <w:t>98’ indicates that 1998 is the reference year used. ‘CV</w:t>
      </w:r>
      <w:r>
        <w:rPr>
          <w:sz w:val="16"/>
          <w:szCs w:val="16"/>
        </w:rPr>
        <w:t>-</w:t>
      </w:r>
      <w:r w:rsidRPr="00FC5D5C">
        <w:rPr>
          <w:sz w:val="16"/>
          <w:szCs w:val="16"/>
        </w:rPr>
        <w:t>07’ uses 2007</w:t>
      </w:r>
      <w:r>
        <w:rPr>
          <w:sz w:val="16"/>
          <w:szCs w:val="16"/>
        </w:rPr>
        <w:t>.</w:t>
      </w:r>
      <w:r w:rsidRPr="00FC5D5C">
        <w:rPr>
          <w:sz w:val="16"/>
          <w:szCs w:val="16"/>
        </w:rPr>
        <w:t xml:space="preserve"> </w:t>
      </w:r>
    </w:p>
    <w:p w:rsidR="00C96A4B" w:rsidRDefault="00C96A4B" w:rsidP="00C96A4B"/>
    <w:p w:rsidR="00C96A4B" w:rsidRDefault="00C96A4B" w:rsidP="00C96A4B"/>
    <w:p w:rsidR="00C96A4B" w:rsidRDefault="00C96A4B" w:rsidP="00C96A4B"/>
    <w:p w:rsidR="00C96A4B" w:rsidRPr="00501F9A" w:rsidRDefault="00C96A4B" w:rsidP="00C96A4B"/>
    <w:p w:rsidR="00C96A4B" w:rsidRDefault="00C96A4B" w:rsidP="00C96A4B">
      <w:pPr>
        <w:jc w:val="center"/>
        <w:rPr>
          <w:b/>
          <w:sz w:val="20"/>
        </w:rPr>
      </w:pPr>
    </w:p>
    <w:p w:rsidR="00C96A4B" w:rsidRPr="009D129E" w:rsidRDefault="00C96A4B" w:rsidP="00C96A4B">
      <w:pPr>
        <w:rPr>
          <w:b/>
          <w:sz w:val="20"/>
          <w:szCs w:val="22"/>
        </w:rPr>
      </w:pPr>
      <w:r>
        <w:rPr>
          <w:b/>
          <w:sz w:val="20"/>
        </w:rPr>
        <w:br w:type="page"/>
      </w:r>
      <w:r w:rsidRPr="009D129E">
        <w:rPr>
          <w:b/>
          <w:szCs w:val="24"/>
        </w:rPr>
        <w:lastRenderedPageBreak/>
        <w:t xml:space="preserve"> </w:t>
      </w:r>
      <w:r>
        <w:rPr>
          <w:b/>
          <w:szCs w:val="24"/>
        </w:rPr>
        <w:t>I</w:t>
      </w:r>
      <w:r w:rsidRPr="009D129E">
        <w:rPr>
          <w:b/>
          <w:sz w:val="20"/>
          <w:szCs w:val="22"/>
        </w:rPr>
        <w:t>ndividuals in low-income households by age</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Setting aside the 18-24 year old group, </w:t>
      </w:r>
      <w:r w:rsidRPr="0042175F">
        <w:rPr>
          <w:b/>
          <w:sz w:val="20"/>
          <w:szCs w:val="22"/>
        </w:rPr>
        <w:t>Table G.2</w:t>
      </w:r>
      <w:r>
        <w:rPr>
          <w:sz w:val="20"/>
          <w:szCs w:val="22"/>
        </w:rPr>
        <w:t xml:space="preserve"> and </w:t>
      </w:r>
      <w:r w:rsidRPr="009D129E">
        <w:rPr>
          <w:b/>
          <w:sz w:val="20"/>
          <w:szCs w:val="22"/>
        </w:rPr>
        <w:t>Figure G.1</w:t>
      </w:r>
      <w:r w:rsidRPr="009D129E">
        <w:rPr>
          <w:sz w:val="20"/>
          <w:szCs w:val="22"/>
        </w:rPr>
        <w:t xml:space="preserve"> show that there has been a hardship gradient across the age groups</w:t>
      </w:r>
      <w:r>
        <w:rPr>
          <w:sz w:val="20"/>
          <w:szCs w:val="22"/>
        </w:rPr>
        <w:t xml:space="preserve"> since the early 1990s</w:t>
      </w:r>
      <w:r w:rsidRPr="009D129E">
        <w:rPr>
          <w:sz w:val="20"/>
          <w:szCs w:val="22"/>
        </w:rPr>
        <w:t>, with older New Zealanders having lower income poverty rates than children, an</w:t>
      </w:r>
      <w:r>
        <w:rPr>
          <w:sz w:val="20"/>
          <w:szCs w:val="22"/>
        </w:rPr>
        <w:t>d other ages falling in between</w:t>
      </w:r>
      <w:r w:rsidRPr="009D129E">
        <w:rPr>
          <w:sz w:val="20"/>
          <w:szCs w:val="22"/>
        </w:rPr>
        <w:t>.</w:t>
      </w:r>
    </w:p>
    <w:p w:rsidR="00C96A4B" w:rsidRDefault="00C96A4B" w:rsidP="00614C04">
      <w:pPr>
        <w:numPr>
          <w:ilvl w:val="0"/>
          <w:numId w:val="50"/>
        </w:numPr>
        <w:tabs>
          <w:tab w:val="clear" w:pos="720"/>
          <w:tab w:val="num" w:pos="540"/>
        </w:tabs>
        <w:spacing w:before="120"/>
        <w:ind w:left="548" w:hanging="274"/>
        <w:jc w:val="both"/>
        <w:rPr>
          <w:sz w:val="20"/>
          <w:szCs w:val="22"/>
        </w:rPr>
      </w:pPr>
      <w:r w:rsidRPr="009D129E">
        <w:rPr>
          <w:sz w:val="20"/>
          <w:szCs w:val="22"/>
        </w:rPr>
        <w:t>The position of those aged 18-24 years deteriorated relative to other groups from the 1980s to 200</w:t>
      </w:r>
      <w:r>
        <w:rPr>
          <w:sz w:val="20"/>
          <w:szCs w:val="22"/>
        </w:rPr>
        <w:t>4</w:t>
      </w:r>
      <w:r w:rsidRPr="009D129E">
        <w:rPr>
          <w:sz w:val="20"/>
          <w:szCs w:val="22"/>
        </w:rPr>
        <w:t>, but there is some evidence of recovery from 200</w:t>
      </w:r>
      <w:r>
        <w:rPr>
          <w:sz w:val="20"/>
          <w:szCs w:val="22"/>
        </w:rPr>
        <w:t>4</w:t>
      </w:r>
      <w:r w:rsidRPr="009D129E">
        <w:rPr>
          <w:sz w:val="20"/>
          <w:szCs w:val="22"/>
        </w:rPr>
        <w:t xml:space="preserve"> to 20</w:t>
      </w:r>
      <w:r>
        <w:rPr>
          <w:sz w:val="20"/>
          <w:szCs w:val="22"/>
        </w:rPr>
        <w:t>10, although in 2011 the rate is back up to close to what it was in 2007.</w:t>
      </w:r>
    </w:p>
    <w:p w:rsidR="00C96A4B" w:rsidRPr="009D129E" w:rsidRDefault="00C96A4B" w:rsidP="00614C04">
      <w:pPr>
        <w:numPr>
          <w:ilvl w:val="0"/>
          <w:numId w:val="50"/>
        </w:numPr>
        <w:tabs>
          <w:tab w:val="clear" w:pos="720"/>
          <w:tab w:val="num" w:pos="540"/>
        </w:tabs>
        <w:spacing w:before="120"/>
        <w:ind w:left="548" w:hanging="274"/>
        <w:jc w:val="both"/>
        <w:rPr>
          <w:sz w:val="20"/>
          <w:szCs w:val="22"/>
        </w:rPr>
      </w:pPr>
      <w:r w:rsidRPr="0016397A">
        <w:rPr>
          <w:b/>
          <w:sz w:val="20"/>
          <w:szCs w:val="22"/>
        </w:rPr>
        <w:t>Figure G.2</w:t>
      </w:r>
      <w:r>
        <w:rPr>
          <w:sz w:val="20"/>
          <w:szCs w:val="22"/>
        </w:rPr>
        <w:t xml:space="preserve"> shows how the main living arrangements for 18-24 year olds changed from 1984 to 2010, especially the increasing proportion ‘still living at home’, and the decreasing proportion ‘partnered and not at home’.  The move ‘back home’ can be seen (initially at least) as a response to the high unemployment and uncertainties through to 1994, and also as a reflection of changing social norms which support delayed partnering and child bearing relative to, say, the 1960s and early 1970s.</w:t>
      </w:r>
    </w:p>
    <w:p w:rsidR="00C96A4B" w:rsidRPr="009D129E" w:rsidRDefault="00C96A4B" w:rsidP="00C96A4B">
      <w:pPr>
        <w:pStyle w:val="Heading3"/>
        <w:rPr>
          <w:sz w:val="20"/>
          <w:szCs w:val="22"/>
        </w:rPr>
      </w:pPr>
    </w:p>
    <w:p w:rsidR="00C96A4B" w:rsidRPr="009D129E" w:rsidRDefault="00C96A4B" w:rsidP="00C96A4B">
      <w:pPr>
        <w:pStyle w:val="Heading3"/>
        <w:jc w:val="center"/>
        <w:rPr>
          <w:sz w:val="18"/>
          <w:szCs w:val="20"/>
        </w:rPr>
      </w:pPr>
      <w:r w:rsidRPr="009D129E">
        <w:rPr>
          <w:sz w:val="18"/>
          <w:szCs w:val="20"/>
        </w:rPr>
        <w:t>Figure G.1</w:t>
      </w:r>
    </w:p>
    <w:p w:rsidR="00C96A4B" w:rsidRPr="009D129E" w:rsidRDefault="00C96A4B" w:rsidP="00C96A4B">
      <w:pPr>
        <w:jc w:val="center"/>
        <w:rPr>
          <w:b/>
          <w:sz w:val="18"/>
        </w:rPr>
      </w:pPr>
      <w:r w:rsidRPr="009D129E">
        <w:rPr>
          <w:b/>
          <w:sz w:val="18"/>
        </w:rPr>
        <w:t>Proportion of all individuals in low-income households by age</w:t>
      </w:r>
      <w:r>
        <w:rPr>
          <w:b/>
          <w:sz w:val="18"/>
        </w:rPr>
        <w:t>, 60% CV threshold</w:t>
      </w:r>
      <w:r w:rsidRPr="009D129E">
        <w:rPr>
          <w:b/>
          <w:sz w:val="18"/>
        </w:rPr>
        <w:t xml:space="preserve"> (</w:t>
      </w:r>
      <w:smartTag w:uri="urn:schemas-microsoft-com:office:smarttags" w:element="stockticker">
        <w:r w:rsidRPr="009D129E">
          <w:rPr>
            <w:b/>
            <w:sz w:val="18"/>
          </w:rPr>
          <w:t>AHC</w:t>
        </w:r>
      </w:smartTag>
      <w:r w:rsidRPr="009D129E">
        <w:rPr>
          <w:b/>
          <w:sz w:val="18"/>
        </w:rPr>
        <w:t>)</w:t>
      </w:r>
    </w:p>
    <w:p w:rsidR="00C96A4B" w:rsidRPr="006B1DF7" w:rsidRDefault="00EC0BE0" w:rsidP="00C96A4B">
      <w:pPr>
        <w:pStyle w:val="Heading3"/>
        <w:jc w:val="center"/>
      </w:pPr>
      <w:r>
        <w:rPr>
          <w:noProof/>
          <w:lang w:val="en-US"/>
        </w:rPr>
        <w:drawing>
          <wp:inline distT="0" distB="0" distL="0" distR="0">
            <wp:extent cx="3314700" cy="2047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C96A4B" w:rsidRDefault="00C96A4B" w:rsidP="00C96A4B">
      <w:pPr>
        <w:jc w:val="center"/>
        <w:rPr>
          <w:rFonts w:cs="Arial"/>
          <w:b/>
          <w:sz w:val="20"/>
        </w:rPr>
      </w:pPr>
    </w:p>
    <w:p w:rsidR="00C96A4B" w:rsidRPr="009D129E" w:rsidRDefault="00C96A4B" w:rsidP="00C96A4B">
      <w:pPr>
        <w:jc w:val="center"/>
        <w:rPr>
          <w:rFonts w:cs="Arial"/>
          <w:b/>
          <w:sz w:val="18"/>
        </w:rPr>
      </w:pPr>
      <w:r w:rsidRPr="009D129E">
        <w:rPr>
          <w:rFonts w:cs="Arial"/>
          <w:b/>
          <w:sz w:val="18"/>
        </w:rPr>
        <w:t>Table G.2</w:t>
      </w:r>
    </w:p>
    <w:p w:rsidR="00C96A4B" w:rsidRPr="00AF6EAB" w:rsidRDefault="00C96A4B" w:rsidP="00C96A4B">
      <w:pPr>
        <w:spacing w:after="120"/>
        <w:jc w:val="center"/>
        <w:rPr>
          <w:sz w:val="20"/>
        </w:rPr>
      </w:pPr>
      <w:r w:rsidRPr="009D129E">
        <w:rPr>
          <w:b/>
          <w:sz w:val="18"/>
        </w:rPr>
        <w:t>Proportion of all individuals in low-income households by age</w:t>
      </w:r>
      <w:r>
        <w:rPr>
          <w:b/>
          <w:sz w:val="18"/>
        </w:rPr>
        <w:t>, 60% CV threshold (</w:t>
      </w:r>
      <w:smartTag w:uri="urn:schemas-microsoft-com:office:smarttags" w:element="stockticker">
        <w:r>
          <w:rPr>
            <w:b/>
            <w:sz w:val="18"/>
          </w:rPr>
          <w:t>AHC</w:t>
        </w:r>
      </w:smartTag>
      <w:r>
        <w:rPr>
          <w:b/>
          <w:sz w:val="18"/>
        </w:rPr>
        <w:t>)</w:t>
      </w:r>
    </w:p>
    <w:tbl>
      <w:tblPr>
        <w:tblStyle w:val="TableGrid"/>
        <w:tblW w:w="0" w:type="auto"/>
        <w:jc w:val="center"/>
        <w:tblLayout w:type="fixed"/>
        <w:tblLook w:val="01E0"/>
      </w:tblPr>
      <w:tblGrid>
        <w:gridCol w:w="697"/>
        <w:gridCol w:w="524"/>
        <w:gridCol w:w="525"/>
        <w:gridCol w:w="525"/>
        <w:gridCol w:w="524"/>
        <w:gridCol w:w="525"/>
        <w:gridCol w:w="525"/>
        <w:gridCol w:w="524"/>
        <w:gridCol w:w="525"/>
        <w:gridCol w:w="525"/>
        <w:gridCol w:w="524"/>
        <w:gridCol w:w="525"/>
        <w:gridCol w:w="525"/>
        <w:gridCol w:w="524"/>
        <w:gridCol w:w="525"/>
        <w:gridCol w:w="525"/>
      </w:tblGrid>
      <w:tr w:rsidR="00C96A4B">
        <w:trPr>
          <w:jc w:val="center"/>
        </w:trPr>
        <w:tc>
          <w:tcPr>
            <w:tcW w:w="697" w:type="dxa"/>
            <w:vAlign w:val="center"/>
          </w:tcPr>
          <w:p w:rsidR="00C96A4B" w:rsidRPr="00F953D9" w:rsidRDefault="00C96A4B" w:rsidP="00614C04">
            <w:pPr>
              <w:spacing w:before="40" w:after="40"/>
              <w:jc w:val="center"/>
              <w:rPr>
                <w:rFonts w:cs="Arial"/>
                <w:b/>
                <w:sz w:val="14"/>
                <w:szCs w:val="16"/>
              </w:rPr>
            </w:pPr>
          </w:p>
        </w:tc>
        <w:tc>
          <w:tcPr>
            <w:tcW w:w="5771" w:type="dxa"/>
            <w:gridSpan w:val="11"/>
            <w:tcBorders>
              <w:right w:val="single" w:sz="12"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Reference year = 1998</w:t>
            </w:r>
          </w:p>
        </w:tc>
        <w:tc>
          <w:tcPr>
            <w:tcW w:w="2099" w:type="dxa"/>
            <w:gridSpan w:val="4"/>
            <w:tcBorders>
              <w:left w:val="single" w:sz="12"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Reference year = 2007</w:t>
            </w:r>
          </w:p>
        </w:tc>
      </w:tr>
      <w:tr w:rsidR="00C96A4B">
        <w:trPr>
          <w:jc w:val="center"/>
        </w:trPr>
        <w:tc>
          <w:tcPr>
            <w:tcW w:w="697" w:type="dxa"/>
            <w:vAlign w:val="center"/>
          </w:tcPr>
          <w:p w:rsidR="00C96A4B" w:rsidRPr="00F953D9" w:rsidRDefault="00C96A4B" w:rsidP="00614C04">
            <w:pPr>
              <w:spacing w:before="40" w:after="40"/>
              <w:jc w:val="center"/>
              <w:rPr>
                <w:rFonts w:cs="Arial"/>
                <w:b/>
                <w:sz w:val="14"/>
                <w:szCs w:val="16"/>
              </w:rPr>
            </w:pPr>
          </w:p>
        </w:tc>
        <w:tc>
          <w:tcPr>
            <w:tcW w:w="524"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1984</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1986</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1988</w:t>
            </w:r>
          </w:p>
        </w:tc>
        <w:tc>
          <w:tcPr>
            <w:tcW w:w="524"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1990</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1992</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1994</w:t>
            </w:r>
          </w:p>
        </w:tc>
        <w:tc>
          <w:tcPr>
            <w:tcW w:w="524"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1996</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1998</w:t>
            </w:r>
          </w:p>
        </w:tc>
        <w:tc>
          <w:tcPr>
            <w:tcW w:w="525"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2001</w:t>
            </w:r>
          </w:p>
        </w:tc>
        <w:tc>
          <w:tcPr>
            <w:tcW w:w="524" w:type="dxa"/>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2004</w:t>
            </w:r>
          </w:p>
        </w:tc>
        <w:tc>
          <w:tcPr>
            <w:tcW w:w="525" w:type="dxa"/>
            <w:tcBorders>
              <w:right w:val="single" w:sz="12"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2007</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2007</w:t>
            </w:r>
          </w:p>
        </w:tc>
        <w:tc>
          <w:tcPr>
            <w:tcW w:w="524" w:type="dxa"/>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2009</w:t>
            </w:r>
          </w:p>
        </w:tc>
        <w:tc>
          <w:tcPr>
            <w:tcW w:w="525" w:type="dxa"/>
            <w:vAlign w:val="center"/>
          </w:tcPr>
          <w:p w:rsidR="00C96A4B" w:rsidRPr="00F953D9" w:rsidRDefault="00C96A4B" w:rsidP="00614C04">
            <w:pPr>
              <w:spacing w:before="40" w:after="40"/>
              <w:jc w:val="center"/>
              <w:rPr>
                <w:rFonts w:cs="Arial"/>
                <w:b/>
                <w:sz w:val="14"/>
                <w:szCs w:val="16"/>
              </w:rPr>
            </w:pPr>
            <w:r>
              <w:rPr>
                <w:rFonts w:cs="Arial"/>
                <w:b/>
                <w:sz w:val="14"/>
                <w:szCs w:val="16"/>
              </w:rPr>
              <w:t>2010</w:t>
            </w:r>
          </w:p>
        </w:tc>
        <w:tc>
          <w:tcPr>
            <w:tcW w:w="525" w:type="dxa"/>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0-17</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15</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11</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12</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16</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32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35</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32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27</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28</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23</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16</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21</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21</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18-24</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5</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5</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6</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17</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20</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16</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21</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22</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17</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14</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21</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25-44</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10</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10</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23</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23</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21</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18</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17</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13</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18</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15</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45-64</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5</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5</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6</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6</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15</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13</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14</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13</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11</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13</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12</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14</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65+</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4</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5</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6</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6</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9</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7</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7</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14</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9</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7</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7</w:t>
            </w:r>
          </w:p>
        </w:tc>
      </w:tr>
      <w:tr w:rsidR="00C96A4B">
        <w:trPr>
          <w:jc w:val="center"/>
        </w:trPr>
        <w:tc>
          <w:tcPr>
            <w:tcW w:w="697" w:type="dxa"/>
            <w:tcMar>
              <w:left w:w="115" w:type="dxa"/>
              <w:right w:w="115"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TOTAL</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9</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9</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11</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21</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23</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21</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18</w:t>
            </w:r>
          </w:p>
        </w:tc>
        <w:tc>
          <w:tcPr>
            <w:tcW w:w="525"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19</w:t>
            </w:r>
          </w:p>
        </w:tc>
        <w:tc>
          <w:tcPr>
            <w:tcW w:w="524" w:type="dxa"/>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17</w:t>
            </w:r>
          </w:p>
        </w:tc>
        <w:tc>
          <w:tcPr>
            <w:tcW w:w="525" w:type="dxa"/>
            <w:tcBorders>
              <w:right w:val="single" w:sz="12" w:space="0" w:color="auto"/>
            </w:tcBorders>
            <w:tcMar>
              <w:left w:w="29" w:type="dxa"/>
              <w:right w:w="29" w:type="dxa"/>
            </w:tcMar>
            <w:vAlign w:val="center"/>
          </w:tcPr>
          <w:p w:rsidR="00C96A4B" w:rsidRPr="00063BF3" w:rsidRDefault="00C96A4B" w:rsidP="00614C04">
            <w:pPr>
              <w:spacing w:before="40" w:after="40"/>
              <w:jc w:val="center"/>
              <w:rPr>
                <w:rFonts w:cs="Arial"/>
                <w:sz w:val="14"/>
                <w:szCs w:val="16"/>
              </w:rPr>
            </w:pPr>
            <w:r w:rsidRPr="00063BF3">
              <w:rPr>
                <w:rFonts w:cs="Arial"/>
                <w:sz w:val="14"/>
                <w:szCs w:val="16"/>
              </w:rPr>
              <w:t>13</w:t>
            </w:r>
          </w:p>
        </w:tc>
        <w:tc>
          <w:tcPr>
            <w:tcW w:w="525" w:type="dxa"/>
            <w:tcBorders>
              <w:left w:val="single" w:sz="12"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18</w:t>
            </w:r>
          </w:p>
        </w:tc>
        <w:tc>
          <w:tcPr>
            <w:tcW w:w="524" w:type="dxa"/>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5" w:type="dxa"/>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25"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r>
    </w:tbl>
    <w:p w:rsidR="00C96A4B" w:rsidRPr="00AF6EAB" w:rsidRDefault="00C96A4B" w:rsidP="00C96A4B">
      <w:pPr>
        <w:pStyle w:val="Heading3"/>
        <w:jc w:val="center"/>
        <w:rPr>
          <w:sz w:val="18"/>
          <w:szCs w:val="18"/>
        </w:rPr>
      </w:pPr>
    </w:p>
    <w:p w:rsidR="00C96A4B" w:rsidRPr="009D129E" w:rsidRDefault="00C96A4B" w:rsidP="00C96A4B">
      <w:pPr>
        <w:pStyle w:val="Heading3"/>
        <w:jc w:val="center"/>
        <w:rPr>
          <w:sz w:val="18"/>
          <w:szCs w:val="20"/>
        </w:rPr>
      </w:pPr>
      <w:r w:rsidRPr="009D129E">
        <w:rPr>
          <w:sz w:val="18"/>
          <w:szCs w:val="20"/>
        </w:rPr>
        <w:t>Figure G.</w:t>
      </w:r>
      <w:r>
        <w:rPr>
          <w:sz w:val="18"/>
          <w:szCs w:val="20"/>
        </w:rPr>
        <w:t>2</w:t>
      </w:r>
    </w:p>
    <w:p w:rsidR="00C96A4B" w:rsidRPr="009D129E" w:rsidRDefault="00C96A4B" w:rsidP="00C96A4B">
      <w:pPr>
        <w:jc w:val="center"/>
        <w:rPr>
          <w:b/>
          <w:sz w:val="18"/>
        </w:rPr>
      </w:pPr>
      <w:r>
        <w:rPr>
          <w:b/>
          <w:sz w:val="18"/>
        </w:rPr>
        <w:t>Changing living arrangements for 18-24 year olds, 1984 to 2010</w:t>
      </w:r>
    </w:p>
    <w:p w:rsidR="00C96A4B" w:rsidRPr="004F3A6A" w:rsidRDefault="00EC0BE0" w:rsidP="00C96A4B">
      <w:pPr>
        <w:pStyle w:val="Heading3"/>
        <w:jc w:val="center"/>
      </w:pPr>
      <w:r>
        <w:rPr>
          <w:noProof/>
          <w:lang w:val="en-US"/>
        </w:rPr>
        <w:drawing>
          <wp:inline distT="0" distB="0" distL="0" distR="0">
            <wp:extent cx="2647950" cy="1647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srcRect/>
                    <a:stretch>
                      <a:fillRect/>
                    </a:stretch>
                  </pic:blipFill>
                  <pic:spPr bwMode="auto">
                    <a:xfrm>
                      <a:off x="0" y="0"/>
                      <a:ext cx="2647950" cy="1647825"/>
                    </a:xfrm>
                    <a:prstGeom prst="rect">
                      <a:avLst/>
                    </a:prstGeom>
                    <a:noFill/>
                    <a:ln w="9525">
                      <a:noFill/>
                      <a:miter lim="800000"/>
                      <a:headEnd/>
                      <a:tailEnd/>
                    </a:ln>
                  </pic:spPr>
                </pic:pic>
              </a:graphicData>
            </a:graphic>
          </wp:inline>
        </w:drawing>
      </w:r>
    </w:p>
    <w:p w:rsidR="00C96A4B" w:rsidRDefault="00C96A4B" w:rsidP="00C96A4B">
      <w:pPr>
        <w:ind w:left="360"/>
        <w:rPr>
          <w:b/>
          <w:sz w:val="18"/>
          <w:szCs w:val="18"/>
        </w:rPr>
      </w:pPr>
    </w:p>
    <w:p w:rsidR="00C96A4B" w:rsidRPr="002632EC" w:rsidRDefault="00C96A4B" w:rsidP="00C96A4B">
      <w:pPr>
        <w:pStyle w:val="Heading3"/>
        <w:jc w:val="both"/>
        <w:rPr>
          <w:b w:val="0"/>
          <w:sz w:val="20"/>
          <w:szCs w:val="20"/>
        </w:rPr>
      </w:pPr>
      <w:r>
        <w:rPr>
          <w:b w:val="0"/>
          <w:szCs w:val="22"/>
        </w:rPr>
        <w:br w:type="page"/>
      </w:r>
      <w:r w:rsidRPr="002632EC">
        <w:rPr>
          <w:sz w:val="20"/>
          <w:szCs w:val="20"/>
        </w:rPr>
        <w:lastRenderedPageBreak/>
        <w:t>Figure G.</w:t>
      </w:r>
      <w:r>
        <w:rPr>
          <w:sz w:val="20"/>
          <w:szCs w:val="20"/>
        </w:rPr>
        <w:t>3</w:t>
      </w:r>
      <w:r w:rsidRPr="002632EC">
        <w:rPr>
          <w:b w:val="0"/>
          <w:sz w:val="20"/>
          <w:szCs w:val="20"/>
        </w:rPr>
        <w:t xml:space="preserve"> shows trends in poverty rates by age group using the 60% of median </w:t>
      </w:r>
      <w:r w:rsidRPr="002632EC">
        <w:rPr>
          <w:b w:val="0"/>
          <w:sz w:val="20"/>
          <w:szCs w:val="20"/>
          <w:u w:val="single"/>
        </w:rPr>
        <w:t>moving line</w:t>
      </w:r>
      <w:r w:rsidRPr="002632EC">
        <w:rPr>
          <w:b w:val="0"/>
          <w:sz w:val="20"/>
          <w:szCs w:val="20"/>
        </w:rPr>
        <w:t xml:space="preserve"> measure (</w:t>
      </w:r>
      <w:smartTag w:uri="urn:schemas-microsoft-com:office:smarttags" w:element="stockticker">
        <w:r w:rsidRPr="002632EC">
          <w:rPr>
            <w:b w:val="0"/>
            <w:sz w:val="20"/>
            <w:szCs w:val="20"/>
          </w:rPr>
          <w:t>AHC</w:t>
        </w:r>
      </w:smartTag>
      <w:r w:rsidRPr="002632EC">
        <w:rPr>
          <w:b w:val="0"/>
          <w:sz w:val="20"/>
          <w:szCs w:val="20"/>
        </w:rPr>
        <w:t>).  The hardship gradient is evident here too, with older New Zealanders having lower income poverty rates than younger New Zealanders.</w:t>
      </w:r>
      <w:r>
        <w:rPr>
          <w:b w:val="0"/>
          <w:sz w:val="20"/>
          <w:szCs w:val="20"/>
        </w:rPr>
        <w:t xml:space="preserve">  However, f</w:t>
      </w:r>
      <w:r w:rsidRPr="002632EC">
        <w:rPr>
          <w:b w:val="0"/>
          <w:sz w:val="20"/>
          <w:szCs w:val="20"/>
        </w:rPr>
        <w:t xml:space="preserve">rom 1992 to 2009 the </w:t>
      </w:r>
      <w:r>
        <w:rPr>
          <w:b w:val="0"/>
          <w:sz w:val="20"/>
          <w:szCs w:val="20"/>
        </w:rPr>
        <w:t>age group poverty trends are</w:t>
      </w:r>
      <w:r w:rsidRPr="002632EC">
        <w:rPr>
          <w:b w:val="0"/>
          <w:sz w:val="20"/>
          <w:szCs w:val="20"/>
        </w:rPr>
        <w:t xml:space="preserve"> quite different using the moving line measure compared with the trends using the fixed line measure (Fig</w:t>
      </w:r>
      <w:r>
        <w:rPr>
          <w:b w:val="0"/>
          <w:sz w:val="20"/>
          <w:szCs w:val="20"/>
        </w:rPr>
        <w:t>ure</w:t>
      </w:r>
      <w:r w:rsidRPr="002632EC">
        <w:rPr>
          <w:b w:val="0"/>
          <w:sz w:val="20"/>
          <w:szCs w:val="20"/>
        </w:rPr>
        <w:t xml:space="preserve"> G.1).  This reflects the two different notions of poverty that underlie the measures</w:t>
      </w:r>
      <w:r>
        <w:rPr>
          <w:b w:val="0"/>
          <w:sz w:val="20"/>
          <w:szCs w:val="20"/>
        </w:rPr>
        <w:t xml:space="preserve"> (see discussion on pp80</w:t>
      </w:r>
      <w:r w:rsidRPr="002632EC">
        <w:rPr>
          <w:b w:val="0"/>
          <w:sz w:val="20"/>
          <w:szCs w:val="20"/>
        </w:rPr>
        <w:t>ff and p8</w:t>
      </w:r>
      <w:r>
        <w:rPr>
          <w:b w:val="0"/>
          <w:sz w:val="20"/>
          <w:szCs w:val="20"/>
        </w:rPr>
        <w:t>8</w:t>
      </w:r>
      <w:r w:rsidRPr="002632EC">
        <w:rPr>
          <w:b w:val="0"/>
          <w:sz w:val="20"/>
          <w:szCs w:val="20"/>
        </w:rPr>
        <w:t>).  For example:</w:t>
      </w:r>
    </w:p>
    <w:p w:rsidR="00C96A4B" w:rsidRDefault="00C96A4B" w:rsidP="00C96A4B">
      <w:pPr>
        <w:numPr>
          <w:ilvl w:val="0"/>
          <w:numId w:val="71"/>
        </w:numPr>
        <w:spacing w:before="60"/>
        <w:jc w:val="both"/>
        <w:rPr>
          <w:sz w:val="20"/>
        </w:rPr>
      </w:pPr>
      <w:r>
        <w:rPr>
          <w:sz w:val="20"/>
        </w:rPr>
        <w:t xml:space="preserve">Child poverty on this moving line measure remained steadily high (~28%) from 1994 to 2004, with no fall despite the rising employment, falling unemployment and rising real incomes for many low-income households.  The trend reflects the poverty concept for the moving line measure: it is based on distance from the median, rather than distance from a fixed standard held constant in real terms, and the median rose in real terms in the period. </w:t>
      </w:r>
    </w:p>
    <w:p w:rsidR="00C96A4B" w:rsidRDefault="00C96A4B" w:rsidP="00C96A4B">
      <w:pPr>
        <w:numPr>
          <w:ilvl w:val="0"/>
          <w:numId w:val="71"/>
        </w:numPr>
        <w:spacing w:before="60"/>
        <w:jc w:val="both"/>
        <w:rPr>
          <w:sz w:val="20"/>
        </w:rPr>
      </w:pPr>
      <w:r>
        <w:rPr>
          <w:sz w:val="20"/>
        </w:rPr>
        <w:t>The only significant fall in child poverty on the moving line measure after 1994 was from 2004 to 2007, reflecting the impact of the WFF package in lifting the incomes of many low- to middle-income families without it having any great impact on the median itself.</w:t>
      </w:r>
    </w:p>
    <w:p w:rsidR="00C96A4B" w:rsidRPr="0077687E" w:rsidRDefault="00C96A4B" w:rsidP="00C96A4B">
      <w:pPr>
        <w:numPr>
          <w:ilvl w:val="0"/>
          <w:numId w:val="71"/>
        </w:numPr>
        <w:spacing w:before="60"/>
        <w:jc w:val="both"/>
        <w:rPr>
          <w:sz w:val="20"/>
        </w:rPr>
      </w:pPr>
      <w:r>
        <w:rPr>
          <w:sz w:val="20"/>
        </w:rPr>
        <w:t>For older New Zealanders, the rise from 1992 to 2009 reflects the fact that the value of the NZS fell in this period relative to the median, even though in real terms the value of the NZS remained steady.  From 2009 to 2011, the real value of NZS rose (driven in the main by income tax changes), while the median was relatively unchanged.</w:t>
      </w:r>
    </w:p>
    <w:p w:rsidR="00C96A4B" w:rsidRPr="00206B88" w:rsidRDefault="00C96A4B" w:rsidP="00C96A4B">
      <w:pPr>
        <w:pStyle w:val="Heading3"/>
        <w:jc w:val="center"/>
        <w:rPr>
          <w:b w:val="0"/>
          <w:sz w:val="18"/>
          <w:szCs w:val="18"/>
        </w:rPr>
      </w:pPr>
    </w:p>
    <w:p w:rsidR="00C96A4B" w:rsidRPr="009D129E" w:rsidRDefault="00C96A4B" w:rsidP="00C96A4B">
      <w:pPr>
        <w:pStyle w:val="Heading3"/>
        <w:jc w:val="center"/>
        <w:rPr>
          <w:sz w:val="18"/>
          <w:szCs w:val="20"/>
        </w:rPr>
      </w:pPr>
      <w:r w:rsidRPr="009D129E">
        <w:rPr>
          <w:sz w:val="18"/>
          <w:szCs w:val="20"/>
        </w:rPr>
        <w:t>Figure G.</w:t>
      </w:r>
      <w:r>
        <w:rPr>
          <w:sz w:val="18"/>
          <w:szCs w:val="20"/>
        </w:rPr>
        <w:t>3</w:t>
      </w:r>
    </w:p>
    <w:p w:rsidR="00C96A4B" w:rsidRPr="009D129E" w:rsidRDefault="00C96A4B" w:rsidP="00C96A4B">
      <w:pPr>
        <w:jc w:val="center"/>
        <w:rPr>
          <w:b/>
          <w:sz w:val="18"/>
        </w:rPr>
      </w:pPr>
      <w:r w:rsidRPr="009D129E">
        <w:rPr>
          <w:b/>
          <w:sz w:val="18"/>
        </w:rPr>
        <w:t>Proportion of all individuals in l</w:t>
      </w:r>
      <w:r>
        <w:rPr>
          <w:b/>
          <w:sz w:val="18"/>
        </w:rPr>
        <w:t xml:space="preserve">ow-income households by age, 60% </w:t>
      </w:r>
      <w:smartTag w:uri="urn:schemas-microsoft-com:office:smarttags" w:element="stockticker">
        <w:r>
          <w:rPr>
            <w:b/>
            <w:sz w:val="18"/>
          </w:rPr>
          <w:t>REL</w:t>
        </w:r>
      </w:smartTag>
      <w:r>
        <w:rPr>
          <w:b/>
          <w:sz w:val="18"/>
        </w:rPr>
        <w:t xml:space="preserve"> threshold (</w:t>
      </w:r>
      <w:smartTag w:uri="urn:schemas-microsoft-com:office:smarttags" w:element="stockticker">
        <w:r>
          <w:rPr>
            <w:b/>
            <w:sz w:val="18"/>
          </w:rPr>
          <w:t>AHC</w:t>
        </w:r>
      </w:smartTag>
      <w:r>
        <w:rPr>
          <w:b/>
          <w:sz w:val="18"/>
        </w:rPr>
        <w:t>)</w:t>
      </w:r>
    </w:p>
    <w:p w:rsidR="00C96A4B" w:rsidRPr="006B1DF7" w:rsidRDefault="00EC0BE0" w:rsidP="00C96A4B">
      <w:pPr>
        <w:pStyle w:val="Heading3"/>
        <w:jc w:val="center"/>
        <w:rPr>
          <w:sz w:val="20"/>
          <w:szCs w:val="20"/>
        </w:rPr>
      </w:pPr>
      <w:r>
        <w:rPr>
          <w:noProof/>
          <w:lang w:val="en-US"/>
        </w:rPr>
        <w:drawing>
          <wp:inline distT="0" distB="0" distL="0" distR="0">
            <wp:extent cx="3467100" cy="2133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srcRect/>
                    <a:stretch>
                      <a:fillRect/>
                    </a:stretch>
                  </pic:blipFill>
                  <pic:spPr bwMode="auto">
                    <a:xfrm>
                      <a:off x="0" y="0"/>
                      <a:ext cx="3467100" cy="2133600"/>
                    </a:xfrm>
                    <a:prstGeom prst="rect">
                      <a:avLst/>
                    </a:prstGeom>
                    <a:noFill/>
                    <a:ln w="9525">
                      <a:noFill/>
                      <a:miter lim="800000"/>
                      <a:headEnd/>
                      <a:tailEnd/>
                    </a:ln>
                  </pic:spPr>
                </pic:pic>
              </a:graphicData>
            </a:graphic>
          </wp:inline>
        </w:drawing>
      </w:r>
    </w:p>
    <w:p w:rsidR="00C96A4B" w:rsidRPr="00206B88" w:rsidRDefault="00C96A4B" w:rsidP="00C96A4B">
      <w:pPr>
        <w:pStyle w:val="Heading3"/>
        <w:jc w:val="center"/>
        <w:rPr>
          <w:sz w:val="18"/>
          <w:szCs w:val="18"/>
        </w:rPr>
      </w:pPr>
    </w:p>
    <w:p w:rsidR="00C96A4B" w:rsidRPr="003E4DF8" w:rsidRDefault="00C96A4B" w:rsidP="00C96A4B">
      <w:pPr>
        <w:pStyle w:val="Heading3"/>
        <w:jc w:val="center"/>
        <w:rPr>
          <w:sz w:val="18"/>
          <w:szCs w:val="18"/>
        </w:rPr>
      </w:pPr>
      <w:r w:rsidRPr="003E4DF8">
        <w:rPr>
          <w:sz w:val="18"/>
          <w:szCs w:val="18"/>
        </w:rPr>
        <w:t>Table G.3</w:t>
      </w:r>
    </w:p>
    <w:p w:rsidR="00C96A4B" w:rsidRPr="003E4DF8" w:rsidRDefault="00C96A4B" w:rsidP="00C96A4B">
      <w:pPr>
        <w:spacing w:after="120"/>
        <w:jc w:val="center"/>
        <w:rPr>
          <w:b/>
          <w:sz w:val="18"/>
          <w:szCs w:val="18"/>
        </w:rPr>
      </w:pPr>
      <w:r w:rsidRPr="003E4DF8">
        <w:rPr>
          <w:b/>
          <w:sz w:val="18"/>
          <w:szCs w:val="18"/>
        </w:rPr>
        <w:t>Proportion of all individuals in low-income households by age</w:t>
      </w:r>
    </w:p>
    <w:p w:rsidR="00C96A4B" w:rsidRPr="009D129E" w:rsidRDefault="00C96A4B" w:rsidP="00C96A4B">
      <w:pPr>
        <w:spacing w:after="120"/>
        <w:ind w:left="360"/>
        <w:rPr>
          <w:sz w:val="20"/>
        </w:rPr>
      </w:pPr>
      <w:r w:rsidRPr="009D129E">
        <w:rPr>
          <w:b/>
          <w:sz w:val="16"/>
          <w:szCs w:val="18"/>
        </w:rPr>
        <w:t xml:space="preserve">A.  </w:t>
      </w:r>
      <w:smartTag w:uri="urn:schemas-microsoft-com:office:smarttags" w:element="stockticker">
        <w:r w:rsidRPr="009D129E">
          <w:rPr>
            <w:b/>
            <w:sz w:val="16"/>
            <w:szCs w:val="18"/>
          </w:rPr>
          <w:t>AHC</w:t>
        </w:r>
      </w:smartTag>
      <w:r w:rsidRPr="009D129E">
        <w:rPr>
          <w:b/>
          <w:sz w:val="16"/>
          <w:szCs w:val="18"/>
        </w:rPr>
        <w:t xml:space="preserve"> (</w:t>
      </w:r>
      <w:smartTag w:uri="urn:schemas-microsoft-com:office:smarttags" w:element="stockticker">
        <w:r>
          <w:rPr>
            <w:b/>
            <w:sz w:val="16"/>
            <w:szCs w:val="18"/>
          </w:rPr>
          <w:t>REL</w:t>
        </w:r>
      </w:smartTag>
      <w:r w:rsidRPr="009D129E">
        <w:rPr>
          <w:b/>
          <w:sz w:val="16"/>
          <w:szCs w:val="18"/>
        </w:rPr>
        <w:t xml:space="preserve"> threshold, 60% of  </w:t>
      </w:r>
      <w:smartTag w:uri="urn:schemas-microsoft-com:office:smarttags" w:element="stockticker">
        <w:r w:rsidRPr="009D129E">
          <w:rPr>
            <w:b/>
            <w:sz w:val="16"/>
            <w:szCs w:val="18"/>
          </w:rPr>
          <w:t>BHC</w:t>
        </w:r>
      </w:smartTag>
      <w:r w:rsidRPr="009D129E">
        <w:rPr>
          <w:b/>
          <w:sz w:val="16"/>
          <w:szCs w:val="18"/>
        </w:rPr>
        <w:t xml:space="preserve"> median, less 25%)</w:t>
      </w:r>
    </w:p>
    <w:tbl>
      <w:tblPr>
        <w:tblStyle w:val="TableGrid"/>
        <w:tblW w:w="0" w:type="auto"/>
        <w:jc w:val="center"/>
        <w:tblLook w:val="01E0"/>
      </w:tblPr>
      <w:tblGrid>
        <w:gridCol w:w="783"/>
        <w:gridCol w:w="578"/>
        <w:gridCol w:w="578"/>
        <w:gridCol w:w="578"/>
        <w:gridCol w:w="578"/>
        <w:gridCol w:w="579"/>
        <w:gridCol w:w="578"/>
        <w:gridCol w:w="578"/>
        <w:gridCol w:w="578"/>
        <w:gridCol w:w="578"/>
        <w:gridCol w:w="579"/>
        <w:gridCol w:w="578"/>
        <w:gridCol w:w="578"/>
        <w:gridCol w:w="578"/>
        <w:gridCol w:w="579"/>
      </w:tblGrid>
      <w:tr w:rsidR="00C96A4B">
        <w:trPr>
          <w:jc w:val="center"/>
        </w:trPr>
        <w:tc>
          <w:tcPr>
            <w:tcW w:w="783" w:type="dxa"/>
            <w:vAlign w:val="center"/>
          </w:tcPr>
          <w:p w:rsidR="00C96A4B" w:rsidRPr="00504313" w:rsidRDefault="00C96A4B" w:rsidP="00614C04">
            <w:pPr>
              <w:spacing w:before="40" w:after="40"/>
              <w:jc w:val="center"/>
              <w:rPr>
                <w:rFonts w:cs="Arial"/>
                <w:b/>
                <w:sz w:val="14"/>
                <w:szCs w:val="16"/>
              </w:rPr>
            </w:pP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1984</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1986</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1988</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1990</w:t>
            </w:r>
          </w:p>
        </w:tc>
        <w:tc>
          <w:tcPr>
            <w:tcW w:w="579"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1992</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1994</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1996</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1998</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2001</w:t>
            </w:r>
          </w:p>
        </w:tc>
        <w:tc>
          <w:tcPr>
            <w:tcW w:w="579"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2004</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2007</w:t>
            </w:r>
          </w:p>
        </w:tc>
        <w:tc>
          <w:tcPr>
            <w:tcW w:w="578"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2009</w:t>
            </w:r>
          </w:p>
        </w:tc>
        <w:tc>
          <w:tcPr>
            <w:tcW w:w="578" w:type="dxa"/>
            <w:vAlign w:val="center"/>
          </w:tcPr>
          <w:p w:rsidR="00C96A4B" w:rsidRPr="00504313" w:rsidRDefault="00C96A4B" w:rsidP="00614C04">
            <w:pPr>
              <w:spacing w:before="40" w:after="40"/>
              <w:jc w:val="center"/>
              <w:rPr>
                <w:rFonts w:cs="Arial"/>
                <w:b/>
                <w:sz w:val="14"/>
                <w:szCs w:val="16"/>
              </w:rPr>
            </w:pPr>
            <w:r>
              <w:rPr>
                <w:rFonts w:cs="Arial"/>
                <w:b/>
                <w:sz w:val="14"/>
                <w:szCs w:val="16"/>
              </w:rPr>
              <w:t>2010</w:t>
            </w:r>
          </w:p>
        </w:tc>
        <w:tc>
          <w:tcPr>
            <w:tcW w:w="579" w:type="dxa"/>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0-17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10</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13</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15</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30</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25</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25</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25</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18-24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8</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16</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16</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23</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17</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18</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25</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25-44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10</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10</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11</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19</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17</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17</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17</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45-64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6</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6</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11</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14</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16</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14</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65+</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6</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6</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3</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3</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6</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8</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14</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15</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12</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10</w:t>
            </w:r>
          </w:p>
        </w:tc>
      </w:tr>
      <w:tr w:rsidR="00C96A4B">
        <w:trPr>
          <w:jc w:val="center"/>
        </w:trPr>
        <w:tc>
          <w:tcPr>
            <w:tcW w:w="783"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TOTAL</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10</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11</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17</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19</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20</w:t>
            </w:r>
          </w:p>
        </w:tc>
        <w:tc>
          <w:tcPr>
            <w:tcW w:w="579"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20</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sidRPr="00504313">
              <w:rPr>
                <w:rFonts w:cs="Arial"/>
                <w:sz w:val="14"/>
                <w:szCs w:val="16"/>
              </w:rPr>
              <w:t>18</w:t>
            </w:r>
          </w:p>
        </w:tc>
        <w:tc>
          <w:tcPr>
            <w:tcW w:w="578" w:type="dxa"/>
            <w:vAlign w:val="center"/>
          </w:tcPr>
          <w:p w:rsidR="00C96A4B" w:rsidRPr="00504313" w:rsidRDefault="00C96A4B" w:rsidP="00614C04">
            <w:pPr>
              <w:spacing w:before="40" w:after="40"/>
              <w:jc w:val="center"/>
              <w:rPr>
                <w:rFonts w:cs="Arial"/>
                <w:sz w:val="14"/>
                <w:szCs w:val="16"/>
              </w:rPr>
            </w:pPr>
            <w:r>
              <w:rPr>
                <w:rFonts w:cs="Arial"/>
                <w:sz w:val="14"/>
                <w:szCs w:val="16"/>
              </w:rPr>
              <w:t>18</w:t>
            </w:r>
          </w:p>
        </w:tc>
        <w:tc>
          <w:tcPr>
            <w:tcW w:w="579"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19</w:t>
            </w:r>
          </w:p>
        </w:tc>
      </w:tr>
    </w:tbl>
    <w:p w:rsidR="00C96A4B" w:rsidRDefault="00C96A4B" w:rsidP="00C96A4B">
      <w:pPr>
        <w:ind w:left="360"/>
        <w:rPr>
          <w:b/>
          <w:sz w:val="18"/>
          <w:szCs w:val="18"/>
        </w:rPr>
      </w:pPr>
    </w:p>
    <w:p w:rsidR="00C96A4B" w:rsidRPr="009D129E" w:rsidRDefault="00C96A4B" w:rsidP="00C96A4B">
      <w:pPr>
        <w:spacing w:after="120"/>
        <w:ind w:left="360"/>
        <w:rPr>
          <w:rFonts w:cs="Arial"/>
          <w:b/>
          <w:sz w:val="16"/>
          <w:szCs w:val="18"/>
        </w:rPr>
      </w:pPr>
      <w:r w:rsidRPr="009D129E">
        <w:rPr>
          <w:b/>
          <w:sz w:val="16"/>
          <w:szCs w:val="18"/>
        </w:rPr>
        <w:t xml:space="preserve">B.  </w:t>
      </w:r>
      <w:smartTag w:uri="urn:schemas-microsoft-com:office:smarttags" w:element="stockticker">
        <w:r>
          <w:rPr>
            <w:b/>
            <w:sz w:val="16"/>
            <w:szCs w:val="18"/>
          </w:rPr>
          <w:t>AHC</w:t>
        </w:r>
      </w:smartTag>
      <w:r>
        <w:rPr>
          <w:b/>
          <w:sz w:val="16"/>
          <w:szCs w:val="18"/>
        </w:rPr>
        <w:t xml:space="preserve"> (</w:t>
      </w:r>
      <w:smartTag w:uri="urn:schemas-microsoft-com:office:smarttags" w:element="stockticker">
        <w:r>
          <w:rPr>
            <w:b/>
            <w:sz w:val="16"/>
            <w:szCs w:val="18"/>
          </w:rPr>
          <w:t>REL</w:t>
        </w:r>
      </w:smartTag>
      <w:r>
        <w:rPr>
          <w:b/>
          <w:sz w:val="16"/>
          <w:szCs w:val="18"/>
        </w:rPr>
        <w:t xml:space="preserve"> threshold, 5</w:t>
      </w:r>
      <w:r w:rsidRPr="009D129E">
        <w:rPr>
          <w:b/>
          <w:sz w:val="16"/>
          <w:szCs w:val="18"/>
        </w:rPr>
        <w:t xml:space="preserve">0% of </w:t>
      </w:r>
      <w:smartTag w:uri="urn:schemas-microsoft-com:office:smarttags" w:element="stockticker">
        <w:r w:rsidRPr="009D129E">
          <w:rPr>
            <w:b/>
            <w:sz w:val="16"/>
            <w:szCs w:val="18"/>
          </w:rPr>
          <w:t>BHC</w:t>
        </w:r>
      </w:smartTag>
      <w:r w:rsidRPr="009D129E">
        <w:rPr>
          <w:b/>
          <w:sz w:val="16"/>
          <w:szCs w:val="18"/>
        </w:rPr>
        <w:t xml:space="preserve"> median, less 25%)</w:t>
      </w:r>
    </w:p>
    <w:tbl>
      <w:tblPr>
        <w:tblStyle w:val="TableGrid"/>
        <w:tblW w:w="0" w:type="auto"/>
        <w:jc w:val="center"/>
        <w:tblLook w:val="01E0"/>
      </w:tblPr>
      <w:tblGrid>
        <w:gridCol w:w="867"/>
        <w:gridCol w:w="572"/>
        <w:gridCol w:w="572"/>
        <w:gridCol w:w="572"/>
        <w:gridCol w:w="572"/>
        <w:gridCol w:w="573"/>
        <w:gridCol w:w="572"/>
        <w:gridCol w:w="572"/>
        <w:gridCol w:w="572"/>
        <w:gridCol w:w="572"/>
        <w:gridCol w:w="573"/>
        <w:gridCol w:w="572"/>
        <w:gridCol w:w="572"/>
        <w:gridCol w:w="572"/>
        <w:gridCol w:w="573"/>
      </w:tblGrid>
      <w:tr w:rsidR="00C96A4B">
        <w:trPr>
          <w:jc w:val="center"/>
        </w:trPr>
        <w:tc>
          <w:tcPr>
            <w:tcW w:w="867" w:type="dxa"/>
            <w:vAlign w:val="center"/>
          </w:tcPr>
          <w:p w:rsidR="00C96A4B" w:rsidRPr="00504313" w:rsidRDefault="00C96A4B" w:rsidP="00614C04">
            <w:pPr>
              <w:spacing w:before="40" w:after="40"/>
              <w:jc w:val="center"/>
              <w:rPr>
                <w:rFonts w:cs="Arial"/>
                <w:b/>
                <w:sz w:val="14"/>
                <w:szCs w:val="16"/>
              </w:rPr>
            </w:pP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1984</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1986</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1988</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1990</w:t>
            </w:r>
          </w:p>
        </w:tc>
        <w:tc>
          <w:tcPr>
            <w:tcW w:w="573"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1992</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1994</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1996</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1998</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2001</w:t>
            </w:r>
          </w:p>
        </w:tc>
        <w:tc>
          <w:tcPr>
            <w:tcW w:w="573"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2004</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2007</w:t>
            </w:r>
          </w:p>
        </w:tc>
        <w:tc>
          <w:tcPr>
            <w:tcW w:w="572" w:type="dxa"/>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2009</w:t>
            </w:r>
          </w:p>
        </w:tc>
        <w:tc>
          <w:tcPr>
            <w:tcW w:w="572" w:type="dxa"/>
          </w:tcPr>
          <w:p w:rsidR="00C96A4B" w:rsidRPr="00504313" w:rsidRDefault="00C96A4B" w:rsidP="00614C04">
            <w:pPr>
              <w:spacing w:before="40" w:after="40"/>
              <w:jc w:val="center"/>
              <w:rPr>
                <w:rFonts w:cs="Arial"/>
                <w:b/>
                <w:sz w:val="14"/>
                <w:szCs w:val="16"/>
              </w:rPr>
            </w:pPr>
            <w:r>
              <w:rPr>
                <w:rFonts w:cs="Arial"/>
                <w:b/>
                <w:sz w:val="14"/>
                <w:szCs w:val="16"/>
              </w:rPr>
              <w:t>2010</w:t>
            </w:r>
          </w:p>
        </w:tc>
        <w:tc>
          <w:tcPr>
            <w:tcW w:w="573" w:type="dxa"/>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0-17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9</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8</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20</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20</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20</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21</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19</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16</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18</w:t>
            </w:r>
          </w:p>
        </w:tc>
        <w:tc>
          <w:tcPr>
            <w:tcW w:w="572" w:type="dxa"/>
            <w:vAlign w:val="center"/>
          </w:tcPr>
          <w:p w:rsidR="00C96A4B" w:rsidRPr="00504313" w:rsidRDefault="00C96A4B" w:rsidP="00614C04">
            <w:pPr>
              <w:spacing w:before="40" w:after="40"/>
              <w:jc w:val="center"/>
              <w:rPr>
                <w:rFonts w:cs="Arial"/>
                <w:sz w:val="14"/>
                <w:szCs w:val="16"/>
              </w:rPr>
            </w:pPr>
            <w:r>
              <w:rPr>
                <w:rFonts w:cs="Arial"/>
                <w:sz w:val="14"/>
                <w:szCs w:val="16"/>
              </w:rPr>
              <w:t>16</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18-24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5</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10</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12</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15</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18</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12</w:t>
            </w:r>
          </w:p>
        </w:tc>
        <w:tc>
          <w:tcPr>
            <w:tcW w:w="572" w:type="dxa"/>
            <w:vAlign w:val="center"/>
          </w:tcPr>
          <w:p w:rsidR="00C96A4B" w:rsidRPr="00504313" w:rsidRDefault="00C96A4B" w:rsidP="00614C04">
            <w:pPr>
              <w:spacing w:before="40" w:after="40"/>
              <w:jc w:val="center"/>
              <w:rPr>
                <w:rFonts w:cs="Arial"/>
                <w:sz w:val="14"/>
                <w:szCs w:val="16"/>
              </w:rPr>
            </w:pPr>
            <w:r>
              <w:rPr>
                <w:rFonts w:cs="Arial"/>
                <w:sz w:val="14"/>
                <w:szCs w:val="16"/>
              </w:rPr>
              <w:t>12</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17</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25-44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6</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12</w:t>
            </w:r>
          </w:p>
        </w:tc>
        <w:tc>
          <w:tcPr>
            <w:tcW w:w="572" w:type="dxa"/>
            <w:vAlign w:val="center"/>
          </w:tcPr>
          <w:p w:rsidR="00C96A4B" w:rsidRPr="00504313" w:rsidRDefault="00C96A4B" w:rsidP="00614C04">
            <w:pPr>
              <w:spacing w:before="40" w:after="40"/>
              <w:jc w:val="center"/>
              <w:rPr>
                <w:rFonts w:cs="Arial"/>
                <w:sz w:val="14"/>
                <w:szCs w:val="16"/>
              </w:rPr>
            </w:pPr>
            <w:r>
              <w:rPr>
                <w:rFonts w:cs="Arial"/>
                <w:sz w:val="14"/>
                <w:szCs w:val="16"/>
              </w:rPr>
              <w:t>11</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12</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45-64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3</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6</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8</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9</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10</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9</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11</w:t>
            </w:r>
          </w:p>
        </w:tc>
        <w:tc>
          <w:tcPr>
            <w:tcW w:w="572" w:type="dxa"/>
            <w:vAlign w:val="center"/>
          </w:tcPr>
          <w:p w:rsidR="00C96A4B" w:rsidRPr="00504313" w:rsidRDefault="00C96A4B" w:rsidP="00614C04">
            <w:pPr>
              <w:spacing w:before="40" w:after="40"/>
              <w:jc w:val="center"/>
              <w:rPr>
                <w:rFonts w:cs="Arial"/>
                <w:sz w:val="14"/>
                <w:szCs w:val="16"/>
              </w:rPr>
            </w:pPr>
            <w:r>
              <w:rPr>
                <w:rFonts w:cs="Arial"/>
                <w:sz w:val="14"/>
                <w:szCs w:val="16"/>
              </w:rPr>
              <w:t>10</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12</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sidRPr="00504313">
              <w:rPr>
                <w:rFonts w:cs="Arial"/>
                <w:b/>
                <w:sz w:val="14"/>
                <w:szCs w:val="16"/>
              </w:rPr>
              <w:t>65+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2</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3</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sidRPr="00504313">
              <w:rPr>
                <w:rFonts w:cs="Arial"/>
                <w:sz w:val="14"/>
                <w:szCs w:val="16"/>
              </w:rPr>
              <w:t>7</w:t>
            </w:r>
          </w:p>
        </w:tc>
        <w:tc>
          <w:tcPr>
            <w:tcW w:w="572" w:type="dxa"/>
            <w:vAlign w:val="center"/>
          </w:tcPr>
          <w:p w:rsidR="00C96A4B" w:rsidRPr="00504313" w:rsidRDefault="00C96A4B" w:rsidP="00614C04">
            <w:pPr>
              <w:spacing w:before="40" w:after="40"/>
              <w:jc w:val="center"/>
              <w:rPr>
                <w:rFonts w:cs="Arial"/>
                <w:sz w:val="14"/>
                <w:szCs w:val="16"/>
              </w:rPr>
            </w:pPr>
            <w:r>
              <w:rPr>
                <w:rFonts w:cs="Arial"/>
                <w:sz w:val="14"/>
                <w:szCs w:val="16"/>
              </w:rPr>
              <w:t>5</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5</w:t>
            </w:r>
          </w:p>
        </w:tc>
      </w:tr>
      <w:tr w:rsidR="00C96A4B">
        <w:trPr>
          <w:jc w:val="center"/>
        </w:trPr>
        <w:tc>
          <w:tcPr>
            <w:tcW w:w="867" w:type="dxa"/>
            <w:tcMar>
              <w:left w:w="115" w:type="dxa"/>
              <w:right w:w="115" w:type="dxa"/>
            </w:tcMar>
            <w:vAlign w:val="center"/>
          </w:tcPr>
          <w:p w:rsidR="00C96A4B" w:rsidRPr="00504313" w:rsidRDefault="00C96A4B" w:rsidP="00614C04">
            <w:pPr>
              <w:spacing w:before="40" w:after="40"/>
              <w:jc w:val="center"/>
              <w:rPr>
                <w:rFonts w:cs="Arial"/>
                <w:b/>
                <w:sz w:val="14"/>
                <w:szCs w:val="16"/>
              </w:rPr>
            </w:pPr>
            <w:r>
              <w:rPr>
                <w:rFonts w:cs="Arial"/>
                <w:b/>
                <w:sz w:val="14"/>
                <w:szCs w:val="16"/>
              </w:rPr>
              <w:t>TOTAL</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6</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5</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6</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6</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11</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3"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14</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2" w:type="dxa"/>
            <w:tcMar>
              <w:left w:w="115" w:type="dxa"/>
              <w:right w:w="202" w:type="dxa"/>
            </w:tcMar>
            <w:vAlign w:val="center"/>
          </w:tcPr>
          <w:p w:rsidR="00C96A4B" w:rsidRPr="00504313" w:rsidRDefault="00C96A4B" w:rsidP="00614C04">
            <w:pPr>
              <w:spacing w:before="40" w:after="40"/>
              <w:jc w:val="right"/>
              <w:rPr>
                <w:rFonts w:cs="Arial"/>
                <w:sz w:val="14"/>
                <w:szCs w:val="16"/>
              </w:rPr>
            </w:pPr>
            <w:r>
              <w:rPr>
                <w:rFonts w:cs="Arial"/>
                <w:sz w:val="14"/>
                <w:szCs w:val="16"/>
              </w:rPr>
              <w:t>13</w:t>
            </w:r>
          </w:p>
        </w:tc>
        <w:tc>
          <w:tcPr>
            <w:tcW w:w="572" w:type="dxa"/>
            <w:vAlign w:val="center"/>
          </w:tcPr>
          <w:p w:rsidR="00C96A4B" w:rsidRDefault="00C96A4B" w:rsidP="00614C04">
            <w:pPr>
              <w:spacing w:before="40" w:after="40"/>
              <w:jc w:val="center"/>
              <w:rPr>
                <w:rFonts w:cs="Arial"/>
                <w:sz w:val="14"/>
                <w:szCs w:val="16"/>
              </w:rPr>
            </w:pPr>
            <w:r>
              <w:rPr>
                <w:rFonts w:cs="Arial"/>
                <w:sz w:val="14"/>
                <w:szCs w:val="16"/>
              </w:rPr>
              <w:t>11</w:t>
            </w:r>
          </w:p>
        </w:tc>
        <w:tc>
          <w:tcPr>
            <w:tcW w:w="57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13</w:t>
            </w:r>
          </w:p>
        </w:tc>
      </w:tr>
    </w:tbl>
    <w:p w:rsidR="00C96A4B" w:rsidRPr="009D129E" w:rsidRDefault="00C96A4B" w:rsidP="00C96A4B">
      <w:pPr>
        <w:rPr>
          <w:b/>
          <w:sz w:val="20"/>
          <w:szCs w:val="22"/>
        </w:rPr>
      </w:pPr>
      <w:r>
        <w:rPr>
          <w:b/>
          <w:sz w:val="20"/>
          <w:szCs w:val="22"/>
        </w:rPr>
        <w:br w:type="page"/>
      </w:r>
      <w:r>
        <w:rPr>
          <w:b/>
          <w:sz w:val="20"/>
          <w:szCs w:val="22"/>
        </w:rPr>
        <w:lastRenderedPageBreak/>
        <w:t>Individuals</w:t>
      </w:r>
      <w:r w:rsidRPr="009D129E">
        <w:rPr>
          <w:b/>
          <w:sz w:val="20"/>
          <w:szCs w:val="22"/>
        </w:rPr>
        <w:t xml:space="preserve"> in low-income households by sex</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spacing w:after="120"/>
        <w:ind w:left="548" w:hanging="274"/>
        <w:jc w:val="both"/>
        <w:rPr>
          <w:color w:val="000080"/>
          <w:sz w:val="20"/>
          <w:szCs w:val="22"/>
        </w:rPr>
      </w:pPr>
      <w:r w:rsidRPr="009D129E">
        <w:rPr>
          <w:b/>
          <w:sz w:val="20"/>
          <w:szCs w:val="22"/>
        </w:rPr>
        <w:t>Table G.</w:t>
      </w:r>
      <w:r>
        <w:rPr>
          <w:b/>
          <w:sz w:val="20"/>
          <w:szCs w:val="22"/>
        </w:rPr>
        <w:t>4</w:t>
      </w:r>
      <w:r w:rsidRPr="009D129E">
        <w:rPr>
          <w:sz w:val="20"/>
          <w:szCs w:val="22"/>
        </w:rPr>
        <w:t xml:space="preserve"> shows that from 198</w:t>
      </w:r>
      <w:r>
        <w:rPr>
          <w:sz w:val="20"/>
          <w:szCs w:val="22"/>
        </w:rPr>
        <w:t>8</w:t>
      </w:r>
      <w:r w:rsidRPr="009D129E">
        <w:rPr>
          <w:sz w:val="20"/>
          <w:szCs w:val="22"/>
        </w:rPr>
        <w:t xml:space="preserve"> to </w:t>
      </w:r>
      <w:r>
        <w:rPr>
          <w:sz w:val="20"/>
          <w:szCs w:val="22"/>
        </w:rPr>
        <w:t>2011</w:t>
      </w:r>
      <w:r w:rsidRPr="009D129E">
        <w:rPr>
          <w:sz w:val="20"/>
          <w:szCs w:val="22"/>
        </w:rPr>
        <w:t xml:space="preserve"> on the preferred </w:t>
      </w:r>
      <w:smartTag w:uri="urn:schemas-microsoft-com:office:smarttags" w:element="stockticker">
        <w:r w:rsidRPr="009D129E">
          <w:rPr>
            <w:sz w:val="20"/>
            <w:szCs w:val="22"/>
          </w:rPr>
          <w:t>AHC</w:t>
        </w:r>
      </w:smartTag>
      <w:r w:rsidRPr="009D129E">
        <w:rPr>
          <w:sz w:val="20"/>
          <w:szCs w:val="22"/>
        </w:rPr>
        <w:t xml:space="preserve"> </w:t>
      </w:r>
      <w:r>
        <w:rPr>
          <w:sz w:val="20"/>
          <w:szCs w:val="22"/>
        </w:rPr>
        <w:t xml:space="preserve">fixed line </w:t>
      </w:r>
      <w:r w:rsidRPr="009D129E">
        <w:rPr>
          <w:sz w:val="20"/>
          <w:szCs w:val="22"/>
        </w:rPr>
        <w:t xml:space="preserve">measure, females were slightly more likely than males to be below </w:t>
      </w:r>
      <w:r>
        <w:rPr>
          <w:sz w:val="20"/>
          <w:szCs w:val="22"/>
        </w:rPr>
        <w:t>the</w:t>
      </w:r>
      <w:r w:rsidRPr="009D129E">
        <w:rPr>
          <w:sz w:val="20"/>
          <w:szCs w:val="22"/>
        </w:rPr>
        <w:t xml:space="preserve"> threshold.   </w:t>
      </w:r>
    </w:p>
    <w:p w:rsidR="00C96A4B" w:rsidRPr="009D129E" w:rsidRDefault="00C96A4B" w:rsidP="00C96A4B">
      <w:pPr>
        <w:jc w:val="center"/>
        <w:rPr>
          <w:rFonts w:cs="Arial"/>
          <w:b/>
          <w:sz w:val="18"/>
        </w:rPr>
      </w:pPr>
    </w:p>
    <w:p w:rsidR="00C96A4B" w:rsidRPr="009D129E" w:rsidRDefault="00C96A4B" w:rsidP="00C96A4B">
      <w:pPr>
        <w:jc w:val="center"/>
        <w:rPr>
          <w:rFonts w:cs="Arial"/>
          <w:b/>
          <w:sz w:val="18"/>
        </w:rPr>
      </w:pPr>
      <w:r w:rsidRPr="009D129E">
        <w:rPr>
          <w:rFonts w:cs="Arial"/>
          <w:b/>
          <w:sz w:val="18"/>
        </w:rPr>
        <w:t>Table G.</w:t>
      </w:r>
      <w:r>
        <w:rPr>
          <w:rFonts w:cs="Arial"/>
          <w:b/>
          <w:sz w:val="18"/>
        </w:rPr>
        <w:t>4</w:t>
      </w:r>
    </w:p>
    <w:p w:rsidR="00C96A4B" w:rsidRPr="009D129E" w:rsidRDefault="00C96A4B" w:rsidP="00C96A4B">
      <w:pPr>
        <w:jc w:val="center"/>
        <w:rPr>
          <w:b/>
          <w:sz w:val="18"/>
        </w:rPr>
      </w:pPr>
      <w:r w:rsidRPr="009D129E">
        <w:rPr>
          <w:b/>
          <w:sz w:val="18"/>
        </w:rPr>
        <w:t>Proportion of individuals aged 15+ in low-income households by sex</w:t>
      </w:r>
      <w:r>
        <w:rPr>
          <w:b/>
          <w:sz w:val="18"/>
        </w:rPr>
        <w:t>,</w:t>
      </w:r>
    </w:p>
    <w:p w:rsidR="00C96A4B" w:rsidRPr="005C19EA" w:rsidRDefault="00C96A4B" w:rsidP="00C96A4B">
      <w:pPr>
        <w:spacing w:after="120"/>
        <w:ind w:left="360"/>
        <w:jc w:val="center"/>
        <w:rPr>
          <w:rFonts w:cs="Arial"/>
          <w:b/>
          <w:sz w:val="18"/>
          <w:szCs w:val="18"/>
        </w:rPr>
      </w:pPr>
      <w:smartTag w:uri="urn:schemas-microsoft-com:office:smarttags" w:element="stockticker">
        <w:r w:rsidRPr="00DF2327">
          <w:rPr>
            <w:b/>
            <w:sz w:val="18"/>
            <w:szCs w:val="18"/>
          </w:rPr>
          <w:t>AHC</w:t>
        </w:r>
      </w:smartTag>
      <w:r>
        <w:rPr>
          <w:b/>
          <w:sz w:val="18"/>
          <w:szCs w:val="18"/>
        </w:rPr>
        <w:t xml:space="preserve"> income, 60% of median</w:t>
      </w:r>
      <w:r w:rsidRPr="00DF2327">
        <w:rPr>
          <w:b/>
          <w:sz w:val="18"/>
          <w:szCs w:val="18"/>
        </w:rPr>
        <w:t xml:space="preserve"> (CV threshold</w:t>
      </w:r>
      <w:r>
        <w:rPr>
          <w:b/>
          <w:sz w:val="18"/>
          <w:szCs w:val="18"/>
        </w:rPr>
        <w:t>)</w:t>
      </w:r>
    </w:p>
    <w:tbl>
      <w:tblPr>
        <w:tblStyle w:val="TableGrid"/>
        <w:tblW w:w="0" w:type="auto"/>
        <w:jc w:val="center"/>
        <w:tblLook w:val="01E0"/>
      </w:tblPr>
      <w:tblGrid>
        <w:gridCol w:w="1084"/>
        <w:gridCol w:w="570"/>
        <w:gridCol w:w="571"/>
        <w:gridCol w:w="570"/>
        <w:gridCol w:w="571"/>
        <w:gridCol w:w="570"/>
        <w:gridCol w:w="571"/>
        <w:gridCol w:w="570"/>
        <w:gridCol w:w="571"/>
        <w:gridCol w:w="570"/>
        <w:gridCol w:w="571"/>
        <w:gridCol w:w="570"/>
        <w:gridCol w:w="571"/>
        <w:gridCol w:w="571"/>
      </w:tblGrid>
      <w:tr w:rsidR="00C96A4B">
        <w:trPr>
          <w:jc w:val="center"/>
        </w:trPr>
        <w:tc>
          <w:tcPr>
            <w:tcW w:w="1084" w:type="dxa"/>
            <w:vAlign w:val="center"/>
          </w:tcPr>
          <w:p w:rsidR="00C96A4B" w:rsidRPr="00DF2327" w:rsidRDefault="00C96A4B" w:rsidP="00614C04">
            <w:pPr>
              <w:spacing w:before="40" w:after="40"/>
              <w:jc w:val="center"/>
              <w:rPr>
                <w:rFonts w:cs="Arial"/>
                <w:b/>
                <w:sz w:val="14"/>
                <w:szCs w:val="16"/>
              </w:rPr>
            </w:pPr>
          </w:p>
        </w:tc>
        <w:tc>
          <w:tcPr>
            <w:tcW w:w="5134" w:type="dxa"/>
            <w:gridSpan w:val="9"/>
            <w:tcBorders>
              <w:right w:val="single" w:sz="12" w:space="0" w:color="auto"/>
            </w:tcBorders>
            <w:vAlign w:val="center"/>
          </w:tcPr>
          <w:p w:rsidR="00C96A4B" w:rsidRPr="007D3536" w:rsidRDefault="00C96A4B" w:rsidP="00614C04">
            <w:pPr>
              <w:spacing w:before="40" w:after="40"/>
              <w:jc w:val="center"/>
              <w:rPr>
                <w:rFonts w:cs="Arial"/>
                <w:b/>
                <w:sz w:val="14"/>
                <w:szCs w:val="16"/>
              </w:rPr>
            </w:pPr>
            <w:r>
              <w:rPr>
                <w:rFonts w:cs="Arial"/>
                <w:b/>
                <w:sz w:val="14"/>
                <w:szCs w:val="16"/>
              </w:rPr>
              <w:t>Reference year = 1998</w:t>
            </w:r>
          </w:p>
        </w:tc>
        <w:tc>
          <w:tcPr>
            <w:tcW w:w="2283" w:type="dxa"/>
            <w:gridSpan w:val="4"/>
            <w:tcBorders>
              <w:left w:val="single" w:sz="12" w:space="0" w:color="auto"/>
            </w:tcBorders>
            <w:vAlign w:val="center"/>
          </w:tcPr>
          <w:p w:rsidR="00C96A4B" w:rsidRDefault="00C96A4B" w:rsidP="00614C04">
            <w:pPr>
              <w:spacing w:before="40" w:after="40"/>
              <w:jc w:val="center"/>
              <w:rPr>
                <w:rFonts w:cs="Arial"/>
                <w:b/>
                <w:sz w:val="14"/>
                <w:szCs w:val="16"/>
              </w:rPr>
            </w:pPr>
            <w:r>
              <w:rPr>
                <w:rFonts w:cs="Arial"/>
                <w:b/>
                <w:sz w:val="14"/>
                <w:szCs w:val="16"/>
              </w:rPr>
              <w:t>Reference year = 2007</w:t>
            </w:r>
          </w:p>
        </w:tc>
      </w:tr>
      <w:tr w:rsidR="00C96A4B">
        <w:trPr>
          <w:jc w:val="center"/>
        </w:trPr>
        <w:tc>
          <w:tcPr>
            <w:tcW w:w="1084" w:type="dxa"/>
            <w:vAlign w:val="center"/>
          </w:tcPr>
          <w:p w:rsidR="00C96A4B" w:rsidRPr="00DF2327" w:rsidRDefault="00C96A4B" w:rsidP="00614C04">
            <w:pPr>
              <w:spacing w:before="40" w:after="40"/>
              <w:jc w:val="center"/>
              <w:rPr>
                <w:rFonts w:cs="Arial"/>
                <w:b/>
                <w:sz w:val="14"/>
                <w:szCs w:val="16"/>
              </w:rPr>
            </w:pPr>
          </w:p>
        </w:tc>
        <w:tc>
          <w:tcPr>
            <w:tcW w:w="570"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1988</w:t>
            </w:r>
          </w:p>
        </w:tc>
        <w:tc>
          <w:tcPr>
            <w:tcW w:w="571"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1990</w:t>
            </w:r>
          </w:p>
        </w:tc>
        <w:tc>
          <w:tcPr>
            <w:tcW w:w="570"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1992</w:t>
            </w:r>
          </w:p>
        </w:tc>
        <w:tc>
          <w:tcPr>
            <w:tcW w:w="571"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1994</w:t>
            </w:r>
          </w:p>
        </w:tc>
        <w:tc>
          <w:tcPr>
            <w:tcW w:w="570"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1996</w:t>
            </w:r>
          </w:p>
        </w:tc>
        <w:tc>
          <w:tcPr>
            <w:tcW w:w="571"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1998</w:t>
            </w:r>
          </w:p>
        </w:tc>
        <w:tc>
          <w:tcPr>
            <w:tcW w:w="570"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2001</w:t>
            </w:r>
          </w:p>
        </w:tc>
        <w:tc>
          <w:tcPr>
            <w:tcW w:w="571" w:type="dxa"/>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2004</w:t>
            </w:r>
          </w:p>
        </w:tc>
        <w:tc>
          <w:tcPr>
            <w:tcW w:w="570" w:type="dxa"/>
            <w:tcBorders>
              <w:right w:val="single" w:sz="12" w:space="0" w:color="auto"/>
            </w:tcBorders>
            <w:vAlign w:val="center"/>
          </w:tcPr>
          <w:p w:rsidR="00C96A4B" w:rsidRPr="007D3536" w:rsidRDefault="00C96A4B" w:rsidP="00614C04">
            <w:pPr>
              <w:spacing w:before="40" w:after="40"/>
              <w:jc w:val="center"/>
              <w:rPr>
                <w:rFonts w:cs="Arial"/>
                <w:b/>
                <w:sz w:val="14"/>
                <w:szCs w:val="16"/>
              </w:rPr>
            </w:pPr>
            <w:r w:rsidRPr="007D3536">
              <w:rPr>
                <w:rFonts w:cs="Arial"/>
                <w:b/>
                <w:sz w:val="14"/>
                <w:szCs w:val="16"/>
              </w:rPr>
              <w:t>2007</w:t>
            </w:r>
          </w:p>
        </w:tc>
        <w:tc>
          <w:tcPr>
            <w:tcW w:w="571" w:type="dxa"/>
            <w:tcBorders>
              <w:left w:val="single" w:sz="12" w:space="0" w:color="auto"/>
            </w:tcBorders>
            <w:vAlign w:val="center"/>
          </w:tcPr>
          <w:p w:rsidR="00C96A4B" w:rsidRPr="00DF2327" w:rsidRDefault="00C96A4B" w:rsidP="00614C04">
            <w:pPr>
              <w:spacing w:before="40" w:after="40"/>
              <w:jc w:val="center"/>
              <w:rPr>
                <w:rFonts w:cs="Arial"/>
                <w:b/>
                <w:sz w:val="14"/>
                <w:szCs w:val="16"/>
              </w:rPr>
            </w:pPr>
            <w:r>
              <w:rPr>
                <w:rFonts w:cs="Arial"/>
                <w:b/>
                <w:sz w:val="14"/>
                <w:szCs w:val="16"/>
              </w:rPr>
              <w:t>2007</w:t>
            </w:r>
          </w:p>
        </w:tc>
        <w:tc>
          <w:tcPr>
            <w:tcW w:w="570" w:type="dxa"/>
            <w:vAlign w:val="center"/>
          </w:tcPr>
          <w:p w:rsidR="00C96A4B" w:rsidRPr="00DF2327" w:rsidRDefault="00C96A4B" w:rsidP="00614C04">
            <w:pPr>
              <w:spacing w:before="40" w:after="40"/>
              <w:jc w:val="center"/>
              <w:rPr>
                <w:rFonts w:cs="Arial"/>
                <w:b/>
                <w:sz w:val="14"/>
                <w:szCs w:val="16"/>
              </w:rPr>
            </w:pPr>
            <w:r w:rsidRPr="00DF2327">
              <w:rPr>
                <w:rFonts w:cs="Arial"/>
                <w:b/>
                <w:sz w:val="14"/>
                <w:szCs w:val="16"/>
              </w:rPr>
              <w:t>2009</w:t>
            </w:r>
          </w:p>
        </w:tc>
        <w:tc>
          <w:tcPr>
            <w:tcW w:w="571" w:type="dxa"/>
            <w:vAlign w:val="center"/>
          </w:tcPr>
          <w:p w:rsidR="00C96A4B" w:rsidRPr="00DF2327" w:rsidRDefault="00C96A4B" w:rsidP="00614C04">
            <w:pPr>
              <w:spacing w:before="40" w:after="40"/>
              <w:jc w:val="center"/>
              <w:rPr>
                <w:rFonts w:cs="Arial"/>
                <w:b/>
                <w:sz w:val="14"/>
                <w:szCs w:val="16"/>
              </w:rPr>
            </w:pPr>
            <w:r w:rsidRPr="00DF2327">
              <w:rPr>
                <w:rFonts w:cs="Arial"/>
                <w:b/>
                <w:sz w:val="14"/>
                <w:szCs w:val="16"/>
              </w:rPr>
              <w:t>2010</w:t>
            </w:r>
          </w:p>
        </w:tc>
        <w:tc>
          <w:tcPr>
            <w:tcW w:w="571" w:type="dxa"/>
            <w:vAlign w:val="center"/>
          </w:tcPr>
          <w:p w:rsidR="00C96A4B" w:rsidRPr="00DF2327"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1084" w:type="dxa"/>
            <w:tcMar>
              <w:left w:w="115" w:type="dxa"/>
              <w:right w:w="115" w:type="dxa"/>
            </w:tcMar>
            <w:vAlign w:val="center"/>
          </w:tcPr>
          <w:p w:rsidR="00C96A4B" w:rsidRPr="00DF2327" w:rsidRDefault="00C96A4B" w:rsidP="00614C04">
            <w:pPr>
              <w:spacing w:before="40" w:after="40"/>
              <w:jc w:val="center"/>
              <w:rPr>
                <w:rFonts w:cs="Arial"/>
                <w:b/>
                <w:sz w:val="14"/>
                <w:szCs w:val="16"/>
              </w:rPr>
            </w:pPr>
            <w:r w:rsidRPr="00DF2327">
              <w:rPr>
                <w:rFonts w:cs="Arial"/>
                <w:b/>
                <w:sz w:val="14"/>
                <w:szCs w:val="16"/>
              </w:rPr>
              <w:t>Female</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8</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9</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18</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20</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18</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16</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17</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15</w:t>
            </w:r>
          </w:p>
        </w:tc>
        <w:tc>
          <w:tcPr>
            <w:tcW w:w="570" w:type="dxa"/>
            <w:tcBorders>
              <w:right w:val="single" w:sz="12" w:space="0" w:color="auto"/>
            </w:tcBorders>
            <w:vAlign w:val="center"/>
          </w:tcPr>
          <w:p w:rsidR="00C96A4B" w:rsidRPr="007D3536" w:rsidRDefault="00C96A4B" w:rsidP="00614C04">
            <w:pPr>
              <w:spacing w:before="40" w:after="40"/>
              <w:jc w:val="center"/>
              <w:rPr>
                <w:rFonts w:cs="Arial"/>
                <w:sz w:val="14"/>
                <w:szCs w:val="16"/>
              </w:rPr>
            </w:pPr>
            <w:r w:rsidRPr="007D3536">
              <w:rPr>
                <w:rFonts w:cs="Arial"/>
                <w:sz w:val="14"/>
                <w:szCs w:val="16"/>
              </w:rPr>
              <w:t>13</w:t>
            </w:r>
          </w:p>
        </w:tc>
        <w:tc>
          <w:tcPr>
            <w:tcW w:w="571" w:type="dxa"/>
            <w:tcBorders>
              <w:left w:val="single" w:sz="12" w:space="0" w:color="auto"/>
            </w:tcBorders>
            <w:vAlign w:val="center"/>
          </w:tcPr>
          <w:p w:rsidR="00C96A4B" w:rsidRPr="00DF2327" w:rsidRDefault="00C96A4B" w:rsidP="00614C04">
            <w:pPr>
              <w:spacing w:before="40" w:after="40"/>
              <w:jc w:val="center"/>
              <w:rPr>
                <w:rFonts w:cs="Arial"/>
                <w:sz w:val="14"/>
                <w:szCs w:val="16"/>
              </w:rPr>
            </w:pPr>
            <w:r w:rsidRPr="00DF2327">
              <w:rPr>
                <w:rFonts w:cs="Arial"/>
                <w:sz w:val="14"/>
                <w:szCs w:val="16"/>
              </w:rPr>
              <w:t>18</w:t>
            </w:r>
          </w:p>
        </w:tc>
        <w:tc>
          <w:tcPr>
            <w:tcW w:w="570" w:type="dxa"/>
            <w:vAlign w:val="center"/>
          </w:tcPr>
          <w:p w:rsidR="00C96A4B" w:rsidRPr="00DF2327" w:rsidRDefault="00C96A4B" w:rsidP="00614C04">
            <w:pPr>
              <w:spacing w:before="40" w:after="40"/>
              <w:jc w:val="center"/>
              <w:rPr>
                <w:rFonts w:cs="Arial"/>
                <w:sz w:val="14"/>
                <w:szCs w:val="16"/>
              </w:rPr>
            </w:pPr>
            <w:r w:rsidRPr="00DF2327">
              <w:rPr>
                <w:rFonts w:cs="Arial"/>
                <w:sz w:val="14"/>
                <w:szCs w:val="16"/>
              </w:rPr>
              <w:t>14</w:t>
            </w:r>
          </w:p>
        </w:tc>
        <w:tc>
          <w:tcPr>
            <w:tcW w:w="571" w:type="dxa"/>
            <w:vAlign w:val="center"/>
          </w:tcPr>
          <w:p w:rsidR="00C96A4B" w:rsidRPr="00DF2327" w:rsidRDefault="00C96A4B" w:rsidP="00614C04">
            <w:pPr>
              <w:spacing w:before="40" w:after="40"/>
              <w:jc w:val="center"/>
              <w:rPr>
                <w:rFonts w:cs="Arial"/>
                <w:sz w:val="14"/>
                <w:szCs w:val="16"/>
              </w:rPr>
            </w:pPr>
            <w:r>
              <w:rPr>
                <w:rFonts w:cs="Arial"/>
                <w:sz w:val="14"/>
                <w:szCs w:val="16"/>
              </w:rPr>
              <w:t>13</w:t>
            </w:r>
          </w:p>
        </w:tc>
        <w:tc>
          <w:tcPr>
            <w:tcW w:w="571" w:type="dxa"/>
            <w:vAlign w:val="center"/>
          </w:tcPr>
          <w:p w:rsidR="00C96A4B" w:rsidRDefault="00C96A4B" w:rsidP="00614C04">
            <w:pPr>
              <w:spacing w:before="40" w:after="40"/>
              <w:jc w:val="center"/>
              <w:rPr>
                <w:rFonts w:cs="Arial"/>
                <w:sz w:val="14"/>
                <w:szCs w:val="16"/>
              </w:rPr>
            </w:pPr>
            <w:r>
              <w:rPr>
                <w:rFonts w:cs="Arial"/>
                <w:sz w:val="14"/>
                <w:szCs w:val="16"/>
              </w:rPr>
              <w:t>15</w:t>
            </w:r>
          </w:p>
        </w:tc>
      </w:tr>
      <w:tr w:rsidR="00C96A4B">
        <w:trPr>
          <w:jc w:val="center"/>
        </w:trPr>
        <w:tc>
          <w:tcPr>
            <w:tcW w:w="1084" w:type="dxa"/>
            <w:tcMar>
              <w:left w:w="115" w:type="dxa"/>
              <w:right w:w="115" w:type="dxa"/>
            </w:tcMar>
            <w:vAlign w:val="center"/>
          </w:tcPr>
          <w:p w:rsidR="00C96A4B" w:rsidRPr="00DF2327" w:rsidRDefault="00C96A4B" w:rsidP="00614C04">
            <w:pPr>
              <w:spacing w:before="40" w:after="40"/>
              <w:jc w:val="center"/>
              <w:rPr>
                <w:rFonts w:cs="Arial"/>
                <w:b/>
                <w:sz w:val="14"/>
                <w:szCs w:val="16"/>
              </w:rPr>
            </w:pPr>
            <w:r w:rsidRPr="00DF2327">
              <w:rPr>
                <w:rFonts w:cs="Arial"/>
                <w:b/>
                <w:sz w:val="14"/>
                <w:szCs w:val="16"/>
              </w:rPr>
              <w:t>Male</w:t>
            </w:r>
          </w:p>
        </w:tc>
        <w:tc>
          <w:tcPr>
            <w:tcW w:w="570"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7</w:t>
            </w:r>
          </w:p>
        </w:tc>
        <w:tc>
          <w:tcPr>
            <w:tcW w:w="571"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8</w:t>
            </w:r>
          </w:p>
        </w:tc>
        <w:tc>
          <w:tcPr>
            <w:tcW w:w="570"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16</w:t>
            </w:r>
          </w:p>
        </w:tc>
        <w:tc>
          <w:tcPr>
            <w:tcW w:w="571"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17</w:t>
            </w:r>
          </w:p>
        </w:tc>
        <w:tc>
          <w:tcPr>
            <w:tcW w:w="570"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15</w:t>
            </w:r>
          </w:p>
        </w:tc>
        <w:tc>
          <w:tcPr>
            <w:tcW w:w="571"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13</w:t>
            </w:r>
          </w:p>
        </w:tc>
        <w:tc>
          <w:tcPr>
            <w:tcW w:w="570"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14</w:t>
            </w:r>
          </w:p>
        </w:tc>
        <w:tc>
          <w:tcPr>
            <w:tcW w:w="571" w:type="dxa"/>
            <w:vAlign w:val="center"/>
          </w:tcPr>
          <w:p w:rsidR="00C96A4B" w:rsidRPr="007D3536" w:rsidRDefault="00C96A4B" w:rsidP="00614C04">
            <w:pPr>
              <w:spacing w:before="40" w:after="60"/>
              <w:jc w:val="center"/>
              <w:rPr>
                <w:rFonts w:cs="Arial"/>
                <w:sz w:val="14"/>
                <w:szCs w:val="16"/>
              </w:rPr>
            </w:pPr>
            <w:r w:rsidRPr="007D3536">
              <w:rPr>
                <w:rFonts w:cs="Arial"/>
                <w:sz w:val="14"/>
                <w:szCs w:val="16"/>
              </w:rPr>
              <w:t>15</w:t>
            </w:r>
          </w:p>
        </w:tc>
        <w:tc>
          <w:tcPr>
            <w:tcW w:w="570" w:type="dxa"/>
            <w:tcBorders>
              <w:right w:val="single" w:sz="12" w:space="0" w:color="auto"/>
            </w:tcBorders>
            <w:vAlign w:val="center"/>
          </w:tcPr>
          <w:p w:rsidR="00C96A4B" w:rsidRPr="007D3536" w:rsidRDefault="00C96A4B" w:rsidP="00614C04">
            <w:pPr>
              <w:spacing w:before="40" w:after="60"/>
              <w:jc w:val="center"/>
              <w:rPr>
                <w:rFonts w:cs="Arial"/>
                <w:sz w:val="14"/>
                <w:szCs w:val="16"/>
              </w:rPr>
            </w:pPr>
            <w:r w:rsidRPr="007D3536">
              <w:rPr>
                <w:rFonts w:cs="Arial"/>
                <w:sz w:val="14"/>
                <w:szCs w:val="16"/>
              </w:rPr>
              <w:t>11</w:t>
            </w:r>
          </w:p>
        </w:tc>
        <w:tc>
          <w:tcPr>
            <w:tcW w:w="571" w:type="dxa"/>
            <w:tcBorders>
              <w:left w:val="single" w:sz="12" w:space="0" w:color="auto"/>
            </w:tcBorders>
            <w:vAlign w:val="center"/>
          </w:tcPr>
          <w:p w:rsidR="00C96A4B" w:rsidRPr="00DF2327" w:rsidRDefault="00C96A4B" w:rsidP="00614C04">
            <w:pPr>
              <w:spacing w:before="40" w:after="60"/>
              <w:jc w:val="center"/>
              <w:rPr>
                <w:rFonts w:cs="Arial"/>
                <w:sz w:val="14"/>
                <w:szCs w:val="16"/>
              </w:rPr>
            </w:pPr>
            <w:r w:rsidRPr="00DF2327">
              <w:rPr>
                <w:rFonts w:cs="Arial"/>
                <w:sz w:val="14"/>
                <w:szCs w:val="16"/>
              </w:rPr>
              <w:t>16</w:t>
            </w:r>
          </w:p>
        </w:tc>
        <w:tc>
          <w:tcPr>
            <w:tcW w:w="570" w:type="dxa"/>
            <w:vAlign w:val="center"/>
          </w:tcPr>
          <w:p w:rsidR="00C96A4B" w:rsidRPr="00DF2327" w:rsidRDefault="00C96A4B" w:rsidP="00614C04">
            <w:pPr>
              <w:spacing w:before="40" w:after="60"/>
              <w:jc w:val="center"/>
              <w:rPr>
                <w:rFonts w:cs="Arial"/>
                <w:sz w:val="14"/>
                <w:szCs w:val="16"/>
              </w:rPr>
            </w:pPr>
            <w:r w:rsidRPr="00DF2327">
              <w:rPr>
                <w:rFonts w:cs="Arial"/>
                <w:sz w:val="14"/>
                <w:szCs w:val="16"/>
              </w:rPr>
              <w:t>13</w:t>
            </w:r>
          </w:p>
        </w:tc>
        <w:tc>
          <w:tcPr>
            <w:tcW w:w="571" w:type="dxa"/>
            <w:vAlign w:val="center"/>
          </w:tcPr>
          <w:p w:rsidR="00C96A4B" w:rsidRPr="00DF2327" w:rsidRDefault="00C96A4B" w:rsidP="00614C04">
            <w:pPr>
              <w:spacing w:before="40" w:after="60"/>
              <w:jc w:val="center"/>
              <w:rPr>
                <w:rFonts w:cs="Arial"/>
                <w:sz w:val="14"/>
                <w:szCs w:val="16"/>
              </w:rPr>
            </w:pPr>
            <w:r>
              <w:rPr>
                <w:rFonts w:cs="Arial"/>
                <w:sz w:val="14"/>
                <w:szCs w:val="16"/>
              </w:rPr>
              <w:t>12</w:t>
            </w:r>
          </w:p>
        </w:tc>
        <w:tc>
          <w:tcPr>
            <w:tcW w:w="571" w:type="dxa"/>
            <w:vAlign w:val="center"/>
          </w:tcPr>
          <w:p w:rsidR="00C96A4B" w:rsidRDefault="00C96A4B" w:rsidP="00614C04">
            <w:pPr>
              <w:spacing w:before="40" w:after="60"/>
              <w:jc w:val="center"/>
              <w:rPr>
                <w:rFonts w:cs="Arial"/>
                <w:sz w:val="14"/>
                <w:szCs w:val="16"/>
              </w:rPr>
            </w:pPr>
            <w:r>
              <w:rPr>
                <w:rFonts w:cs="Arial"/>
                <w:sz w:val="14"/>
                <w:szCs w:val="16"/>
              </w:rPr>
              <w:t>14</w:t>
            </w:r>
          </w:p>
        </w:tc>
      </w:tr>
      <w:tr w:rsidR="00C96A4B">
        <w:trPr>
          <w:jc w:val="center"/>
        </w:trPr>
        <w:tc>
          <w:tcPr>
            <w:tcW w:w="1084" w:type="dxa"/>
            <w:tcMar>
              <w:left w:w="115" w:type="dxa"/>
              <w:right w:w="115" w:type="dxa"/>
            </w:tcMar>
            <w:vAlign w:val="center"/>
          </w:tcPr>
          <w:p w:rsidR="00C96A4B" w:rsidRPr="00DF2327" w:rsidRDefault="00C96A4B" w:rsidP="00614C04">
            <w:pPr>
              <w:spacing w:before="40" w:after="40"/>
              <w:jc w:val="center"/>
              <w:rPr>
                <w:rFonts w:cs="Arial"/>
                <w:b/>
                <w:sz w:val="14"/>
                <w:szCs w:val="16"/>
              </w:rPr>
            </w:pPr>
            <w:r w:rsidRPr="00DF2327">
              <w:rPr>
                <w:rFonts w:cs="Arial"/>
                <w:b/>
                <w:sz w:val="14"/>
                <w:szCs w:val="16"/>
              </w:rPr>
              <w:t>TOTAL (15+)</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8</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9</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17</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18</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17</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15</w:t>
            </w:r>
          </w:p>
        </w:tc>
        <w:tc>
          <w:tcPr>
            <w:tcW w:w="570"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16</w:t>
            </w:r>
          </w:p>
        </w:tc>
        <w:tc>
          <w:tcPr>
            <w:tcW w:w="571" w:type="dxa"/>
            <w:vAlign w:val="center"/>
          </w:tcPr>
          <w:p w:rsidR="00C96A4B" w:rsidRPr="007D3536" w:rsidRDefault="00C96A4B" w:rsidP="00614C04">
            <w:pPr>
              <w:spacing w:before="40" w:after="40"/>
              <w:jc w:val="center"/>
              <w:rPr>
                <w:rFonts w:cs="Arial"/>
                <w:sz w:val="14"/>
                <w:szCs w:val="16"/>
              </w:rPr>
            </w:pPr>
            <w:r w:rsidRPr="007D3536">
              <w:rPr>
                <w:rFonts w:cs="Arial"/>
                <w:sz w:val="14"/>
                <w:szCs w:val="16"/>
              </w:rPr>
              <w:t>15</w:t>
            </w:r>
          </w:p>
        </w:tc>
        <w:tc>
          <w:tcPr>
            <w:tcW w:w="570" w:type="dxa"/>
            <w:tcBorders>
              <w:right w:val="single" w:sz="12" w:space="0" w:color="auto"/>
            </w:tcBorders>
            <w:vAlign w:val="center"/>
          </w:tcPr>
          <w:p w:rsidR="00C96A4B" w:rsidRPr="007D3536" w:rsidRDefault="00C96A4B" w:rsidP="00614C04">
            <w:pPr>
              <w:spacing w:before="40" w:after="40"/>
              <w:jc w:val="center"/>
              <w:rPr>
                <w:rFonts w:cs="Arial"/>
                <w:sz w:val="14"/>
                <w:szCs w:val="16"/>
              </w:rPr>
            </w:pPr>
            <w:r w:rsidRPr="007D3536">
              <w:rPr>
                <w:rFonts w:cs="Arial"/>
                <w:sz w:val="14"/>
                <w:szCs w:val="16"/>
              </w:rPr>
              <w:t>12</w:t>
            </w:r>
          </w:p>
        </w:tc>
        <w:tc>
          <w:tcPr>
            <w:tcW w:w="571" w:type="dxa"/>
            <w:tcBorders>
              <w:left w:val="single" w:sz="12" w:space="0" w:color="auto"/>
            </w:tcBorders>
            <w:vAlign w:val="center"/>
          </w:tcPr>
          <w:p w:rsidR="00C96A4B" w:rsidRPr="00DF2327" w:rsidRDefault="00C96A4B" w:rsidP="00614C04">
            <w:pPr>
              <w:spacing w:before="40" w:after="40"/>
              <w:jc w:val="center"/>
              <w:rPr>
                <w:rFonts w:cs="Arial"/>
                <w:sz w:val="14"/>
                <w:szCs w:val="16"/>
              </w:rPr>
            </w:pPr>
            <w:r w:rsidRPr="00DF2327">
              <w:rPr>
                <w:rFonts w:cs="Arial"/>
                <w:sz w:val="14"/>
                <w:szCs w:val="16"/>
              </w:rPr>
              <w:t>17</w:t>
            </w:r>
          </w:p>
        </w:tc>
        <w:tc>
          <w:tcPr>
            <w:tcW w:w="570" w:type="dxa"/>
            <w:vAlign w:val="center"/>
          </w:tcPr>
          <w:p w:rsidR="00C96A4B" w:rsidRPr="00DF2327" w:rsidRDefault="00C96A4B" w:rsidP="00614C04">
            <w:pPr>
              <w:spacing w:before="40" w:after="40"/>
              <w:jc w:val="center"/>
              <w:rPr>
                <w:rFonts w:cs="Arial"/>
                <w:sz w:val="14"/>
                <w:szCs w:val="16"/>
              </w:rPr>
            </w:pPr>
            <w:r w:rsidRPr="00DF2327">
              <w:rPr>
                <w:rFonts w:cs="Arial"/>
                <w:sz w:val="14"/>
                <w:szCs w:val="16"/>
              </w:rPr>
              <w:t>14</w:t>
            </w:r>
          </w:p>
        </w:tc>
        <w:tc>
          <w:tcPr>
            <w:tcW w:w="571" w:type="dxa"/>
            <w:vAlign w:val="center"/>
          </w:tcPr>
          <w:p w:rsidR="00C96A4B" w:rsidRPr="00DF2327" w:rsidRDefault="00C96A4B" w:rsidP="00614C04">
            <w:pPr>
              <w:spacing w:before="40" w:after="40"/>
              <w:jc w:val="center"/>
              <w:rPr>
                <w:rFonts w:cs="Arial"/>
                <w:sz w:val="14"/>
                <w:szCs w:val="16"/>
              </w:rPr>
            </w:pPr>
            <w:r>
              <w:rPr>
                <w:rFonts w:cs="Arial"/>
                <w:sz w:val="14"/>
                <w:szCs w:val="16"/>
              </w:rPr>
              <w:t>13</w:t>
            </w:r>
          </w:p>
        </w:tc>
        <w:tc>
          <w:tcPr>
            <w:tcW w:w="571" w:type="dxa"/>
            <w:vAlign w:val="center"/>
          </w:tcPr>
          <w:p w:rsidR="00C96A4B" w:rsidRDefault="00C96A4B" w:rsidP="00614C04">
            <w:pPr>
              <w:spacing w:before="40" w:after="40"/>
              <w:jc w:val="center"/>
              <w:rPr>
                <w:rFonts w:cs="Arial"/>
                <w:sz w:val="14"/>
                <w:szCs w:val="16"/>
              </w:rPr>
            </w:pPr>
            <w:r>
              <w:rPr>
                <w:rFonts w:cs="Arial"/>
                <w:sz w:val="14"/>
                <w:szCs w:val="16"/>
              </w:rPr>
              <w:t>15</w:t>
            </w:r>
          </w:p>
        </w:tc>
      </w:tr>
    </w:tbl>
    <w:p w:rsidR="00C96A4B" w:rsidRDefault="00C96A4B" w:rsidP="00C96A4B">
      <w:pPr>
        <w:rPr>
          <w:b/>
          <w:sz w:val="18"/>
          <w:szCs w:val="18"/>
        </w:rPr>
      </w:pPr>
    </w:p>
    <w:p w:rsidR="00C96A4B" w:rsidRDefault="00C96A4B" w:rsidP="00C96A4B">
      <w:pPr>
        <w:rPr>
          <w:b/>
          <w:sz w:val="18"/>
          <w:szCs w:val="18"/>
        </w:rPr>
      </w:pPr>
    </w:p>
    <w:p w:rsidR="00C96A4B" w:rsidRDefault="00C96A4B" w:rsidP="00C96A4B">
      <w:pPr>
        <w:rPr>
          <w:b/>
          <w:szCs w:val="22"/>
        </w:rPr>
      </w:pPr>
    </w:p>
    <w:p w:rsidR="00C96A4B" w:rsidRDefault="00C96A4B" w:rsidP="00C96A4B">
      <w:pPr>
        <w:pStyle w:val="Heading3"/>
        <w:rPr>
          <w:sz w:val="20"/>
          <w:szCs w:val="22"/>
        </w:rPr>
      </w:pPr>
    </w:p>
    <w:p w:rsidR="00C96A4B" w:rsidRPr="009D129E" w:rsidRDefault="00C96A4B" w:rsidP="00C96A4B">
      <w:pPr>
        <w:pStyle w:val="Heading3"/>
        <w:rPr>
          <w:sz w:val="20"/>
          <w:szCs w:val="22"/>
        </w:rPr>
      </w:pPr>
      <w:r>
        <w:rPr>
          <w:sz w:val="20"/>
          <w:szCs w:val="22"/>
        </w:rPr>
        <w:t xml:space="preserve">Individuals aged 15+ </w:t>
      </w:r>
      <w:r w:rsidRPr="009D129E">
        <w:rPr>
          <w:sz w:val="20"/>
          <w:szCs w:val="22"/>
        </w:rPr>
        <w:t xml:space="preserve">in low-income households by </w:t>
      </w:r>
      <w:r>
        <w:rPr>
          <w:sz w:val="20"/>
          <w:szCs w:val="22"/>
        </w:rPr>
        <w:t>ethnicity</w:t>
      </w:r>
    </w:p>
    <w:p w:rsidR="00C96A4B" w:rsidRPr="009D129E" w:rsidRDefault="00C96A4B" w:rsidP="00C96A4B">
      <w:pPr>
        <w:rPr>
          <w:sz w:val="20"/>
        </w:rPr>
      </w:pPr>
    </w:p>
    <w:p w:rsidR="00C96A4B" w:rsidRDefault="00C96A4B" w:rsidP="00C96A4B">
      <w:pPr>
        <w:jc w:val="both"/>
        <w:rPr>
          <w:sz w:val="20"/>
          <w:szCs w:val="22"/>
        </w:rPr>
      </w:pPr>
      <w:r>
        <w:rPr>
          <w:sz w:val="20"/>
          <w:szCs w:val="22"/>
        </w:rPr>
        <w:t>As noted in the Introduction, only limited analysis by ethnicity is reported because of the relatively small sample sizes for Maori, Pacific and Other ethnic groups (especially Pacific).</w:t>
      </w:r>
    </w:p>
    <w:p w:rsidR="00C96A4B" w:rsidRDefault="00C96A4B" w:rsidP="00C96A4B">
      <w:pPr>
        <w:jc w:val="both"/>
        <w:rPr>
          <w:sz w:val="20"/>
          <w:szCs w:val="22"/>
        </w:rPr>
      </w:pPr>
    </w:p>
    <w:p w:rsidR="00C96A4B" w:rsidRDefault="00C96A4B" w:rsidP="00C96A4B">
      <w:pPr>
        <w:jc w:val="both"/>
        <w:rPr>
          <w:sz w:val="20"/>
          <w:szCs w:val="22"/>
        </w:rPr>
      </w:pPr>
      <w:r>
        <w:rPr>
          <w:sz w:val="20"/>
          <w:szCs w:val="22"/>
        </w:rPr>
        <w:t>Poverty rates for those aged 15+ in the Maori and Pacific ethnic groups are consistently higher than for those in the European/Pakeha ethnic group (roughly double), whatever measure is used.</w:t>
      </w:r>
    </w:p>
    <w:p w:rsidR="00C96A4B" w:rsidRDefault="00C96A4B" w:rsidP="00C96A4B">
      <w:pPr>
        <w:jc w:val="both"/>
        <w:rPr>
          <w:sz w:val="20"/>
          <w:szCs w:val="22"/>
        </w:rPr>
      </w:pPr>
    </w:p>
    <w:p w:rsidR="00C96A4B" w:rsidRDefault="00C96A4B" w:rsidP="00C96A4B">
      <w:pPr>
        <w:jc w:val="both"/>
        <w:rPr>
          <w:rFonts w:cs="Arial"/>
          <w:sz w:val="20"/>
        </w:rPr>
      </w:pPr>
      <w:r>
        <w:rPr>
          <w:sz w:val="20"/>
          <w:szCs w:val="22"/>
        </w:rPr>
        <w:t xml:space="preserve">For example, on average over the three surveys HES 2009, 2010 and 2011, using the </w:t>
      </w:r>
      <w:smartTag w:uri="urn:schemas-microsoft-com:office:smarttags" w:element="stockticker">
        <w:r>
          <w:rPr>
            <w:sz w:val="20"/>
            <w:szCs w:val="22"/>
          </w:rPr>
          <w:t>AHC</w:t>
        </w:r>
      </w:smartTag>
      <w:r>
        <w:rPr>
          <w:sz w:val="20"/>
          <w:szCs w:val="22"/>
        </w:rPr>
        <w:t xml:space="preserve"> 60% fixed line measure, around </w:t>
      </w:r>
      <w:r w:rsidRPr="005F1335">
        <w:rPr>
          <w:rFonts w:cs="Arial"/>
          <w:sz w:val="20"/>
        </w:rPr>
        <w:t xml:space="preserve">one in </w:t>
      </w:r>
      <w:r>
        <w:rPr>
          <w:rFonts w:cs="Arial"/>
          <w:sz w:val="20"/>
        </w:rPr>
        <w:t xml:space="preserve">ten </w:t>
      </w:r>
      <w:r w:rsidRPr="005F1335">
        <w:rPr>
          <w:rFonts w:cs="Arial"/>
          <w:sz w:val="20"/>
        </w:rPr>
        <w:t>European/Pakeha</w:t>
      </w:r>
      <w:r>
        <w:rPr>
          <w:rFonts w:cs="Arial"/>
          <w:sz w:val="20"/>
        </w:rPr>
        <w:t xml:space="preserve"> (aged 15+)</w:t>
      </w:r>
      <w:r w:rsidRPr="005F1335">
        <w:rPr>
          <w:rFonts w:cs="Arial"/>
          <w:b/>
          <w:sz w:val="20"/>
        </w:rPr>
        <w:t xml:space="preserve">, </w:t>
      </w:r>
      <w:r>
        <w:rPr>
          <w:rFonts w:cs="Arial"/>
          <w:sz w:val="20"/>
        </w:rPr>
        <w:t>around</w:t>
      </w:r>
      <w:r>
        <w:rPr>
          <w:rFonts w:cs="Arial"/>
          <w:b/>
          <w:sz w:val="20"/>
        </w:rPr>
        <w:t xml:space="preserve"> </w:t>
      </w:r>
      <w:r w:rsidRPr="005F1335">
        <w:rPr>
          <w:rFonts w:cs="Arial"/>
          <w:sz w:val="20"/>
        </w:rPr>
        <w:t>one in</w:t>
      </w:r>
      <w:r>
        <w:rPr>
          <w:rFonts w:cs="Arial"/>
          <w:sz w:val="20"/>
        </w:rPr>
        <w:t xml:space="preserve"> five</w:t>
      </w:r>
      <w:r w:rsidRPr="005F1335">
        <w:rPr>
          <w:rFonts w:cs="Arial"/>
          <w:sz w:val="20"/>
        </w:rPr>
        <w:t xml:space="preserve"> </w:t>
      </w:r>
      <w:r>
        <w:rPr>
          <w:rFonts w:cs="Arial"/>
          <w:sz w:val="20"/>
        </w:rPr>
        <w:t xml:space="preserve">Maori, </w:t>
      </w:r>
      <w:r w:rsidRPr="005F1335">
        <w:rPr>
          <w:rFonts w:cs="Arial"/>
          <w:sz w:val="20"/>
        </w:rPr>
        <w:t xml:space="preserve">and </w:t>
      </w:r>
      <w:r>
        <w:rPr>
          <w:rFonts w:cs="Arial"/>
          <w:sz w:val="20"/>
        </w:rPr>
        <w:t>one in five Pacific were in households with incomes below this line.</w:t>
      </w:r>
      <w:r w:rsidRPr="005F1335">
        <w:rPr>
          <w:rFonts w:cs="Arial"/>
          <w:sz w:val="20"/>
        </w:rPr>
        <w:t xml:space="preserve"> </w:t>
      </w:r>
    </w:p>
    <w:p w:rsidR="00C96A4B" w:rsidRDefault="00C96A4B" w:rsidP="00C96A4B">
      <w:pPr>
        <w:jc w:val="both"/>
        <w:rPr>
          <w:rFonts w:cs="Arial"/>
          <w:sz w:val="20"/>
        </w:rPr>
      </w:pPr>
    </w:p>
    <w:p w:rsidR="009B5173" w:rsidRDefault="009B5173" w:rsidP="00C96A4B">
      <w:pPr>
        <w:jc w:val="both"/>
        <w:rPr>
          <w:rFonts w:cs="Arial"/>
          <w:sz w:val="20"/>
        </w:rPr>
      </w:pPr>
    </w:p>
    <w:p w:rsidR="009B5173" w:rsidRPr="009B5173" w:rsidRDefault="009B5173" w:rsidP="00C96A4B">
      <w:pPr>
        <w:jc w:val="both"/>
        <w:rPr>
          <w:rFonts w:cs="Arial"/>
          <w:sz w:val="20"/>
          <w:u w:val="single"/>
        </w:rPr>
      </w:pPr>
      <w:r w:rsidRPr="009B5173">
        <w:rPr>
          <w:rFonts w:cs="Arial"/>
          <w:sz w:val="20"/>
          <w:u w:val="single"/>
        </w:rPr>
        <w:t>Composition of the poor by ethnicity</w:t>
      </w:r>
    </w:p>
    <w:p w:rsidR="009B5173" w:rsidRDefault="009B5173" w:rsidP="00C96A4B">
      <w:pPr>
        <w:jc w:val="both"/>
        <w:rPr>
          <w:rFonts w:cs="Arial"/>
          <w:sz w:val="20"/>
        </w:rPr>
      </w:pPr>
    </w:p>
    <w:p w:rsidR="009B5173" w:rsidRDefault="009B5173" w:rsidP="00C96A4B">
      <w:pPr>
        <w:jc w:val="both"/>
        <w:rPr>
          <w:rFonts w:cs="Arial"/>
          <w:sz w:val="20"/>
        </w:rPr>
      </w:pPr>
      <w:r>
        <w:rPr>
          <w:rFonts w:cs="Arial"/>
          <w:sz w:val="20"/>
        </w:rPr>
        <w:t>It is important to distinguish between the proportion of a group who are counted as poor, and the proportion of the poor who are from a particular group, that is, between rates and composition.</w:t>
      </w:r>
    </w:p>
    <w:p w:rsidR="009B5173" w:rsidRDefault="009B5173" w:rsidP="00C96A4B">
      <w:pPr>
        <w:jc w:val="both"/>
        <w:rPr>
          <w:rFonts w:cs="Arial"/>
          <w:sz w:val="20"/>
        </w:rPr>
      </w:pPr>
    </w:p>
    <w:p w:rsidR="00C96A4B" w:rsidRDefault="009B5173" w:rsidP="00C96A4B">
      <w:pPr>
        <w:jc w:val="both"/>
        <w:rPr>
          <w:rFonts w:cs="Arial"/>
          <w:sz w:val="20"/>
        </w:rPr>
      </w:pPr>
      <w:r>
        <w:rPr>
          <w:rFonts w:cs="Arial"/>
          <w:sz w:val="20"/>
        </w:rPr>
        <w:t>Using the AHC 60% of median fixed line measure</w:t>
      </w:r>
      <w:r w:rsidR="00C96A4B">
        <w:rPr>
          <w:rFonts w:cs="Arial"/>
          <w:sz w:val="20"/>
        </w:rPr>
        <w:t>, just over half (52%) of those identified as poor are in the European/Pakeha group, 27% in the Maori and Pacific groups, and 21% in the Other group.</w:t>
      </w:r>
    </w:p>
    <w:p w:rsidR="00C96A4B" w:rsidRDefault="00C96A4B" w:rsidP="00C96A4B">
      <w:pPr>
        <w:jc w:val="both"/>
        <w:rPr>
          <w:rFonts w:cs="Arial"/>
          <w:sz w:val="20"/>
        </w:rPr>
      </w:pPr>
    </w:p>
    <w:p w:rsidR="00C96A4B" w:rsidRDefault="00C96A4B" w:rsidP="00C96A4B">
      <w:pPr>
        <w:jc w:val="both"/>
        <w:rPr>
          <w:rFonts w:cs="Arial"/>
          <w:sz w:val="20"/>
        </w:rPr>
      </w:pPr>
      <w:r>
        <w:rPr>
          <w:rFonts w:cs="Arial"/>
          <w:sz w:val="20"/>
        </w:rPr>
        <w:t xml:space="preserve">Using a more stringent poverty line (50% of median), the composition proportions are 51%, 25% and 24% respectively.  </w:t>
      </w:r>
      <w:r w:rsidR="009B5173">
        <w:rPr>
          <w:rFonts w:cs="Arial"/>
          <w:sz w:val="20"/>
        </w:rPr>
        <w:t xml:space="preserve"> </w:t>
      </w:r>
      <w:r>
        <w:rPr>
          <w:rFonts w:cs="Arial"/>
          <w:sz w:val="20"/>
        </w:rPr>
        <w:t>There is no evidence here of greater depth of poverty for any one group.</w:t>
      </w:r>
      <w:r w:rsidR="009B5173">
        <w:rPr>
          <w:rFonts w:cs="Arial"/>
          <w:sz w:val="20"/>
        </w:rPr>
        <w:t xml:space="preserve"> </w:t>
      </w:r>
    </w:p>
    <w:p w:rsidR="00C96A4B" w:rsidRDefault="00C96A4B" w:rsidP="00C96A4B">
      <w:pPr>
        <w:jc w:val="both"/>
        <w:rPr>
          <w:rFonts w:cs="Arial"/>
          <w:sz w:val="20"/>
        </w:rPr>
      </w:pPr>
    </w:p>
    <w:p w:rsidR="00C96A4B" w:rsidRDefault="00C96A4B" w:rsidP="00C96A4B">
      <w:pPr>
        <w:pStyle w:val="Heading3"/>
        <w:rPr>
          <w:szCs w:val="22"/>
        </w:rPr>
      </w:pPr>
    </w:p>
    <w:p w:rsidR="00C96A4B" w:rsidRPr="00E34DC5" w:rsidRDefault="00C96A4B" w:rsidP="00C96A4B"/>
    <w:p w:rsidR="00C96A4B" w:rsidRDefault="00C96A4B" w:rsidP="00C96A4B">
      <w:pPr>
        <w:pStyle w:val="Heading3"/>
        <w:rPr>
          <w:szCs w:val="22"/>
        </w:rPr>
      </w:pPr>
    </w:p>
    <w:p w:rsidR="00C96A4B" w:rsidRDefault="00C96A4B" w:rsidP="00C96A4B">
      <w:pPr>
        <w:pStyle w:val="Heading3"/>
        <w:rPr>
          <w:szCs w:val="22"/>
        </w:rPr>
      </w:pPr>
    </w:p>
    <w:p w:rsidR="00C96A4B" w:rsidRPr="00F36EEE" w:rsidRDefault="00C96A4B" w:rsidP="00C96A4B">
      <w:pPr>
        <w:rPr>
          <w:b/>
          <w:color w:val="000000"/>
          <w:sz w:val="20"/>
          <w:szCs w:val="22"/>
        </w:rPr>
      </w:pPr>
      <w:r>
        <w:rPr>
          <w:b/>
          <w:sz w:val="20"/>
          <w:szCs w:val="22"/>
        </w:rPr>
        <w:br w:type="page"/>
      </w:r>
      <w:r>
        <w:rPr>
          <w:b/>
          <w:color w:val="000000"/>
          <w:sz w:val="20"/>
          <w:szCs w:val="22"/>
        </w:rPr>
        <w:lastRenderedPageBreak/>
        <w:t>Individuals</w:t>
      </w:r>
      <w:r w:rsidRPr="00F36EEE">
        <w:rPr>
          <w:b/>
          <w:color w:val="000000"/>
          <w:sz w:val="20"/>
          <w:szCs w:val="22"/>
        </w:rPr>
        <w:t xml:space="preserve"> in low-income households by tenure</w:t>
      </w:r>
    </w:p>
    <w:p w:rsidR="00C96A4B" w:rsidRPr="00F36EEE" w:rsidRDefault="00C96A4B" w:rsidP="00C96A4B">
      <w:pPr>
        <w:ind w:left="270"/>
        <w:jc w:val="both"/>
        <w:rPr>
          <w:color w:val="000000"/>
          <w:sz w:val="20"/>
          <w:szCs w:val="22"/>
        </w:rPr>
      </w:pPr>
    </w:p>
    <w:p w:rsidR="00C96A4B" w:rsidRDefault="00C96A4B" w:rsidP="00614C04">
      <w:pPr>
        <w:numPr>
          <w:ilvl w:val="0"/>
          <w:numId w:val="50"/>
        </w:numPr>
        <w:tabs>
          <w:tab w:val="clear" w:pos="720"/>
          <w:tab w:val="num" w:pos="540"/>
        </w:tabs>
        <w:spacing w:after="120"/>
        <w:ind w:left="548" w:hanging="274"/>
        <w:jc w:val="both"/>
        <w:rPr>
          <w:color w:val="000000"/>
          <w:sz w:val="20"/>
          <w:szCs w:val="22"/>
        </w:rPr>
      </w:pPr>
      <w:r>
        <w:rPr>
          <w:color w:val="000000"/>
          <w:sz w:val="20"/>
          <w:szCs w:val="22"/>
        </w:rPr>
        <w:t>There is a clear hardship gradient across different tenures for those aged under 65 (</w:t>
      </w:r>
      <w:r w:rsidRPr="00BA3982">
        <w:rPr>
          <w:b/>
          <w:color w:val="000000"/>
          <w:sz w:val="20"/>
          <w:szCs w:val="22"/>
        </w:rPr>
        <w:t>Table G.5A</w:t>
      </w:r>
      <w:r>
        <w:rPr>
          <w:color w:val="000000"/>
          <w:sz w:val="20"/>
          <w:szCs w:val="22"/>
        </w:rPr>
        <w:t>): low poverty rates for those in mortgage-free homes and a little higher for those who still have a mortgage, and relatively high rates for those in rental properties, especially in HNZC tenancies.</w:t>
      </w:r>
    </w:p>
    <w:p w:rsidR="00C96A4B" w:rsidRDefault="00C96A4B" w:rsidP="00614C04">
      <w:pPr>
        <w:numPr>
          <w:ilvl w:val="0"/>
          <w:numId w:val="50"/>
        </w:numPr>
        <w:tabs>
          <w:tab w:val="clear" w:pos="720"/>
          <w:tab w:val="num" w:pos="540"/>
        </w:tabs>
        <w:spacing w:after="120"/>
        <w:ind w:left="548" w:hanging="274"/>
        <w:jc w:val="both"/>
        <w:rPr>
          <w:color w:val="000000"/>
          <w:sz w:val="20"/>
          <w:szCs w:val="22"/>
        </w:rPr>
      </w:pPr>
      <w:r>
        <w:rPr>
          <w:color w:val="000000"/>
          <w:sz w:val="20"/>
          <w:szCs w:val="22"/>
        </w:rPr>
        <w:t>For those aged 65+, the hardship gradient is also clear (</w:t>
      </w:r>
      <w:r w:rsidRPr="00BA3982">
        <w:rPr>
          <w:b/>
          <w:color w:val="000000"/>
          <w:sz w:val="20"/>
          <w:szCs w:val="22"/>
        </w:rPr>
        <w:t>Table G.5B</w:t>
      </w:r>
      <w:r>
        <w:rPr>
          <w:color w:val="000000"/>
          <w:sz w:val="20"/>
          <w:szCs w:val="22"/>
        </w:rPr>
        <w:t xml:space="preserve">).  The figures underline the value of having a mortgage-free home in ‘retirement’ years.  This is not a surprising finding given the use of an </w:t>
      </w:r>
      <w:smartTag w:uri="urn:schemas-microsoft-com:office:smarttags" w:element="stockticker">
        <w:r>
          <w:rPr>
            <w:color w:val="000000"/>
            <w:sz w:val="20"/>
            <w:szCs w:val="22"/>
          </w:rPr>
          <w:t>AHC</w:t>
        </w:r>
      </w:smartTag>
      <w:r>
        <w:rPr>
          <w:color w:val="000000"/>
          <w:sz w:val="20"/>
          <w:szCs w:val="22"/>
        </w:rPr>
        <w:t xml:space="preserve"> measure.</w:t>
      </w:r>
    </w:p>
    <w:p w:rsidR="00C96A4B" w:rsidRPr="00F36EEE" w:rsidRDefault="00C96A4B" w:rsidP="00614C04">
      <w:pPr>
        <w:numPr>
          <w:ilvl w:val="0"/>
          <w:numId w:val="50"/>
        </w:numPr>
        <w:tabs>
          <w:tab w:val="clear" w:pos="720"/>
          <w:tab w:val="num" w:pos="540"/>
        </w:tabs>
        <w:ind w:left="548" w:hanging="274"/>
        <w:jc w:val="both"/>
        <w:rPr>
          <w:color w:val="000000"/>
          <w:sz w:val="20"/>
          <w:szCs w:val="22"/>
        </w:rPr>
      </w:pPr>
      <w:r>
        <w:rPr>
          <w:color w:val="000000"/>
          <w:sz w:val="20"/>
          <w:szCs w:val="22"/>
        </w:rPr>
        <w:t xml:space="preserve">Around half </w:t>
      </w:r>
      <w:r w:rsidR="000356DD">
        <w:rPr>
          <w:color w:val="000000"/>
          <w:sz w:val="20"/>
          <w:szCs w:val="22"/>
        </w:rPr>
        <w:t>(</w:t>
      </w:r>
      <w:r w:rsidR="00D660F2">
        <w:rPr>
          <w:color w:val="000000"/>
          <w:sz w:val="20"/>
          <w:szCs w:val="22"/>
        </w:rPr>
        <w:t>49</w:t>
      </w:r>
      <w:r w:rsidR="000356DD">
        <w:rPr>
          <w:color w:val="000000"/>
          <w:sz w:val="20"/>
          <w:szCs w:val="22"/>
        </w:rPr>
        <w:t>%)</w:t>
      </w:r>
      <w:r>
        <w:rPr>
          <w:color w:val="000000"/>
          <w:sz w:val="20"/>
          <w:szCs w:val="22"/>
        </w:rPr>
        <w:t>of all those aged under 65 who are in poverty live in private rental accommodation.  The figure rises to two in three</w:t>
      </w:r>
      <w:r w:rsidR="000356DD">
        <w:rPr>
          <w:color w:val="000000"/>
          <w:sz w:val="20"/>
          <w:szCs w:val="22"/>
        </w:rPr>
        <w:t xml:space="preserve"> (</w:t>
      </w:r>
      <w:r w:rsidR="00D660F2">
        <w:rPr>
          <w:color w:val="000000"/>
          <w:sz w:val="20"/>
          <w:szCs w:val="22"/>
        </w:rPr>
        <w:t>65</w:t>
      </w:r>
      <w:r w:rsidR="000356DD">
        <w:rPr>
          <w:color w:val="000000"/>
          <w:sz w:val="20"/>
          <w:szCs w:val="22"/>
        </w:rPr>
        <w:t>%)</w:t>
      </w:r>
      <w:r>
        <w:rPr>
          <w:color w:val="000000"/>
          <w:sz w:val="20"/>
          <w:szCs w:val="22"/>
        </w:rPr>
        <w:t xml:space="preserve"> when HNZC and private rentals are counted together.</w:t>
      </w:r>
    </w:p>
    <w:p w:rsidR="00C96A4B" w:rsidRDefault="00C96A4B" w:rsidP="00C96A4B">
      <w:pPr>
        <w:jc w:val="center"/>
        <w:rPr>
          <w:rFonts w:cs="Arial"/>
          <w:b/>
          <w:sz w:val="18"/>
        </w:rPr>
      </w:pPr>
    </w:p>
    <w:p w:rsidR="00C96A4B" w:rsidRDefault="00C96A4B" w:rsidP="00C96A4B">
      <w:pPr>
        <w:jc w:val="center"/>
        <w:rPr>
          <w:rFonts w:cs="Arial"/>
          <w:b/>
          <w:sz w:val="18"/>
        </w:rPr>
      </w:pPr>
    </w:p>
    <w:p w:rsidR="00C96A4B" w:rsidRPr="00B72414" w:rsidRDefault="00C96A4B" w:rsidP="00C96A4B">
      <w:pPr>
        <w:jc w:val="center"/>
        <w:rPr>
          <w:rFonts w:cs="Arial"/>
          <w:b/>
          <w:sz w:val="18"/>
          <w:szCs w:val="18"/>
        </w:rPr>
      </w:pPr>
      <w:r w:rsidRPr="00B72414">
        <w:rPr>
          <w:rFonts w:cs="Arial"/>
          <w:b/>
          <w:sz w:val="18"/>
          <w:szCs w:val="18"/>
        </w:rPr>
        <w:t>Table G.5A</w:t>
      </w:r>
    </w:p>
    <w:p w:rsidR="00C96A4B" w:rsidRPr="00B72414" w:rsidRDefault="00C96A4B" w:rsidP="00C96A4B">
      <w:pPr>
        <w:jc w:val="center"/>
        <w:rPr>
          <w:b/>
          <w:sz w:val="18"/>
          <w:szCs w:val="18"/>
        </w:rPr>
      </w:pPr>
      <w:r w:rsidRPr="00B72414">
        <w:rPr>
          <w:b/>
          <w:sz w:val="18"/>
          <w:szCs w:val="18"/>
        </w:rPr>
        <w:t>Proportion</w:t>
      </w:r>
      <w:r>
        <w:rPr>
          <w:b/>
          <w:sz w:val="18"/>
          <w:szCs w:val="18"/>
        </w:rPr>
        <w:t xml:space="preserve">(%) </w:t>
      </w:r>
      <w:r w:rsidRPr="00B72414">
        <w:rPr>
          <w:b/>
          <w:sz w:val="18"/>
          <w:szCs w:val="18"/>
        </w:rPr>
        <w:t>of individuals aged under 65 in low-income households by tenure</w:t>
      </w:r>
      <w:r>
        <w:rPr>
          <w:b/>
          <w:sz w:val="18"/>
          <w:szCs w:val="18"/>
        </w:rPr>
        <w:t>,</w:t>
      </w:r>
    </w:p>
    <w:p w:rsidR="00C96A4B" w:rsidRPr="009716D4" w:rsidRDefault="00C96A4B" w:rsidP="00C96A4B">
      <w:pPr>
        <w:spacing w:after="120"/>
        <w:jc w:val="center"/>
        <w:rPr>
          <w:b/>
          <w:sz w:val="18"/>
          <w:szCs w:val="18"/>
        </w:rPr>
      </w:pPr>
      <w:smartTag w:uri="urn:schemas-microsoft-com:office:smarttags" w:element="stockticker">
        <w:r w:rsidRPr="00B72414">
          <w:rPr>
            <w:b/>
            <w:sz w:val="18"/>
            <w:szCs w:val="18"/>
          </w:rPr>
          <w:t>AHC</w:t>
        </w:r>
      </w:smartTag>
      <w:r>
        <w:rPr>
          <w:b/>
          <w:sz w:val="18"/>
          <w:szCs w:val="18"/>
        </w:rPr>
        <w:t xml:space="preserve"> CV threshold (</w:t>
      </w:r>
      <w:r w:rsidRPr="00B72414">
        <w:rPr>
          <w:b/>
          <w:sz w:val="18"/>
          <w:szCs w:val="18"/>
        </w:rPr>
        <w:t xml:space="preserve">60% of </w:t>
      </w:r>
      <w:r>
        <w:rPr>
          <w:b/>
          <w:sz w:val="18"/>
          <w:szCs w:val="18"/>
        </w:rPr>
        <w:t>1998 or 2007</w:t>
      </w:r>
      <w:r w:rsidRPr="00B72414">
        <w:rPr>
          <w:b/>
          <w:sz w:val="18"/>
          <w:szCs w:val="18"/>
        </w:rPr>
        <w:t xml:space="preserve"> </w:t>
      </w:r>
      <w:smartTag w:uri="urn:schemas-microsoft-com:office:smarttags" w:element="stockticker">
        <w:r w:rsidRPr="00B72414">
          <w:rPr>
            <w:b/>
            <w:sz w:val="18"/>
            <w:szCs w:val="18"/>
          </w:rPr>
          <w:t>BHC</w:t>
        </w:r>
      </w:smartTag>
      <w:r w:rsidRPr="00B72414">
        <w:rPr>
          <w:b/>
          <w:sz w:val="18"/>
          <w:szCs w:val="18"/>
        </w:rPr>
        <w:t xml:space="preserve"> median, less 25%)</w:t>
      </w:r>
    </w:p>
    <w:tbl>
      <w:tblPr>
        <w:tblStyle w:val="TableGrid"/>
        <w:tblW w:w="8166" w:type="dxa"/>
        <w:jc w:val="center"/>
        <w:tblInd w:w="798" w:type="dxa"/>
        <w:tblLayout w:type="fixed"/>
        <w:tblLook w:val="01E0"/>
      </w:tblPr>
      <w:tblGrid>
        <w:gridCol w:w="2366"/>
        <w:gridCol w:w="527"/>
        <w:gridCol w:w="527"/>
        <w:gridCol w:w="527"/>
        <w:gridCol w:w="528"/>
        <w:gridCol w:w="527"/>
        <w:gridCol w:w="527"/>
        <w:gridCol w:w="484"/>
        <w:gridCol w:w="571"/>
        <w:gridCol w:w="527"/>
        <w:gridCol w:w="527"/>
        <w:gridCol w:w="528"/>
      </w:tblGrid>
      <w:tr w:rsidR="00C96A4B" w:rsidRPr="00327E63">
        <w:trPr>
          <w:jc w:val="center"/>
        </w:trPr>
        <w:tc>
          <w:tcPr>
            <w:tcW w:w="2366" w:type="dxa"/>
            <w:tcMar>
              <w:left w:w="115" w:type="dxa"/>
              <w:right w:w="115" w:type="dxa"/>
            </w:tcMar>
            <w:vAlign w:val="center"/>
          </w:tcPr>
          <w:p w:rsidR="00C96A4B" w:rsidRPr="00181DC4" w:rsidRDefault="00C96A4B" w:rsidP="00614C04">
            <w:pPr>
              <w:spacing w:before="40" w:after="40"/>
              <w:rPr>
                <w:rFonts w:cs="Arial"/>
                <w:b/>
                <w:sz w:val="14"/>
                <w:szCs w:val="16"/>
              </w:rPr>
            </w:pPr>
          </w:p>
        </w:tc>
        <w:tc>
          <w:tcPr>
            <w:tcW w:w="3647" w:type="dxa"/>
            <w:gridSpan w:val="7"/>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Reference year = 1998</w:t>
            </w:r>
          </w:p>
        </w:tc>
        <w:tc>
          <w:tcPr>
            <w:tcW w:w="2153" w:type="dxa"/>
            <w:gridSpan w:val="4"/>
            <w:tcBorders>
              <w:left w:val="single" w:sz="12"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Reference year = 2007</w:t>
            </w:r>
          </w:p>
        </w:tc>
      </w:tr>
      <w:tr w:rsidR="00C96A4B" w:rsidRPr="00327E63">
        <w:trPr>
          <w:jc w:val="center"/>
        </w:trPr>
        <w:tc>
          <w:tcPr>
            <w:tcW w:w="2366" w:type="dxa"/>
            <w:tcMar>
              <w:left w:w="115" w:type="dxa"/>
              <w:right w:w="115" w:type="dxa"/>
            </w:tcMar>
            <w:vAlign w:val="center"/>
          </w:tcPr>
          <w:p w:rsidR="00C96A4B" w:rsidRPr="00181DC4" w:rsidRDefault="00C96A4B" w:rsidP="00614C04">
            <w:pPr>
              <w:spacing w:before="40" w:after="40"/>
              <w:rPr>
                <w:rFonts w:cs="Arial"/>
                <w:b/>
                <w:sz w:val="14"/>
                <w:szCs w:val="16"/>
              </w:rPr>
            </w:pP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1992</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1994</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1996</w:t>
            </w:r>
          </w:p>
        </w:tc>
        <w:tc>
          <w:tcPr>
            <w:tcW w:w="528"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1998</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2001</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2004</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2007</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2007</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2009</w:t>
            </w:r>
          </w:p>
        </w:tc>
        <w:tc>
          <w:tcPr>
            <w:tcW w:w="527" w:type="dxa"/>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2010</w:t>
            </w:r>
          </w:p>
        </w:tc>
        <w:tc>
          <w:tcPr>
            <w:tcW w:w="528" w:type="dxa"/>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rsidRPr="00327E63">
        <w:trPr>
          <w:jc w:val="center"/>
        </w:trPr>
        <w:tc>
          <w:tcPr>
            <w:tcW w:w="2366"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Owned or FT without mortgage</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10</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8</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9</w:t>
            </w:r>
          </w:p>
        </w:tc>
        <w:tc>
          <w:tcPr>
            <w:tcW w:w="528"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10</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9</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6</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12</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8"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7</w:t>
            </w:r>
          </w:p>
        </w:tc>
      </w:tr>
      <w:tr w:rsidR="00C96A4B" w:rsidRPr="00327E63">
        <w:trPr>
          <w:jc w:val="center"/>
        </w:trPr>
        <w:tc>
          <w:tcPr>
            <w:tcW w:w="2366"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Owned or FT with mortgage</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22</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23</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20</w:t>
            </w:r>
          </w:p>
        </w:tc>
        <w:tc>
          <w:tcPr>
            <w:tcW w:w="528"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15</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17</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12</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9</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14</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12</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12</w:t>
            </w:r>
          </w:p>
        </w:tc>
        <w:tc>
          <w:tcPr>
            <w:tcW w:w="528"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10</w:t>
            </w:r>
          </w:p>
        </w:tc>
      </w:tr>
      <w:tr w:rsidR="00C96A4B" w:rsidRPr="00327E63">
        <w:trPr>
          <w:jc w:val="center"/>
        </w:trPr>
        <w:tc>
          <w:tcPr>
            <w:tcW w:w="2366"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Rented - private</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33</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41</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36</w:t>
            </w:r>
          </w:p>
        </w:tc>
        <w:tc>
          <w:tcPr>
            <w:tcW w:w="528"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35</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33</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30</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23</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28</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26</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23</w:t>
            </w:r>
          </w:p>
        </w:tc>
        <w:tc>
          <w:tcPr>
            <w:tcW w:w="528"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26</w:t>
            </w:r>
          </w:p>
        </w:tc>
      </w:tr>
      <w:tr w:rsidR="00C96A4B" w:rsidRPr="00327E63">
        <w:trPr>
          <w:jc w:val="center"/>
        </w:trPr>
        <w:tc>
          <w:tcPr>
            <w:tcW w:w="2366"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Rented – HNZC or local authority</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55</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64</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59</w:t>
            </w:r>
          </w:p>
        </w:tc>
        <w:tc>
          <w:tcPr>
            <w:tcW w:w="528"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53</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37</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41</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29</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37</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38</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38</w:t>
            </w:r>
          </w:p>
        </w:tc>
        <w:tc>
          <w:tcPr>
            <w:tcW w:w="528"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46</w:t>
            </w:r>
          </w:p>
        </w:tc>
      </w:tr>
      <w:tr w:rsidR="00C96A4B">
        <w:trPr>
          <w:jc w:val="center"/>
        </w:trPr>
        <w:tc>
          <w:tcPr>
            <w:tcW w:w="2366"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TOTAL (under 65)</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23</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25</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22</w:t>
            </w:r>
          </w:p>
        </w:tc>
        <w:tc>
          <w:tcPr>
            <w:tcW w:w="528"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19</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20</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18</w:t>
            </w:r>
          </w:p>
        </w:tc>
        <w:tc>
          <w:tcPr>
            <w:tcW w:w="484"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14</w:t>
            </w:r>
          </w:p>
        </w:tc>
        <w:tc>
          <w:tcPr>
            <w:tcW w:w="571"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19</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16</w:t>
            </w:r>
          </w:p>
        </w:tc>
        <w:tc>
          <w:tcPr>
            <w:tcW w:w="527"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16</w:t>
            </w:r>
          </w:p>
        </w:tc>
        <w:tc>
          <w:tcPr>
            <w:tcW w:w="528"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17</w:t>
            </w:r>
          </w:p>
        </w:tc>
      </w:tr>
    </w:tbl>
    <w:p w:rsidR="00C96A4B" w:rsidRPr="00D64707" w:rsidRDefault="00C96A4B" w:rsidP="00C96A4B">
      <w:pPr>
        <w:tabs>
          <w:tab w:val="left" w:pos="720"/>
        </w:tabs>
        <w:spacing w:before="120"/>
        <w:ind w:left="900" w:right="371" w:hanging="900"/>
        <w:rPr>
          <w:sz w:val="18"/>
          <w:szCs w:val="18"/>
        </w:rPr>
      </w:pPr>
      <w:r w:rsidRPr="00A436CB">
        <w:rPr>
          <w:sz w:val="16"/>
          <w:szCs w:val="16"/>
        </w:rPr>
        <w:t>Notes:</w:t>
      </w:r>
      <w:r w:rsidRPr="00A436CB">
        <w:rPr>
          <w:sz w:val="16"/>
          <w:szCs w:val="16"/>
        </w:rPr>
        <w:tab/>
        <w:t>1</w:t>
      </w:r>
      <w:r w:rsidRPr="00A436CB">
        <w:rPr>
          <w:sz w:val="16"/>
          <w:szCs w:val="16"/>
        </w:rPr>
        <w:tab/>
      </w:r>
      <w:r w:rsidRPr="00A436CB">
        <w:rPr>
          <w:rFonts w:cs="Arial"/>
          <w:sz w:val="16"/>
          <w:szCs w:val="16"/>
        </w:rPr>
        <w:t>‘Owned or FT without mortgage’ means that the dwelling is owned by the householders or a Family Trust, and the householders make no mortgage payments</w:t>
      </w:r>
      <w:r>
        <w:rPr>
          <w:rFonts w:cs="Arial"/>
          <w:sz w:val="18"/>
          <w:szCs w:val="18"/>
        </w:rPr>
        <w:t>.</w:t>
      </w:r>
    </w:p>
    <w:p w:rsidR="00C96A4B" w:rsidRDefault="00C96A4B" w:rsidP="00C96A4B">
      <w:pPr>
        <w:ind w:left="360"/>
        <w:rPr>
          <w:b/>
          <w:sz w:val="18"/>
          <w:szCs w:val="18"/>
        </w:rPr>
      </w:pPr>
    </w:p>
    <w:p w:rsidR="00C96A4B" w:rsidRDefault="00C96A4B" w:rsidP="00C96A4B">
      <w:pPr>
        <w:ind w:left="360"/>
        <w:rPr>
          <w:b/>
          <w:sz w:val="18"/>
          <w:szCs w:val="18"/>
        </w:rPr>
      </w:pPr>
    </w:p>
    <w:p w:rsidR="00C96A4B" w:rsidRPr="00B72414" w:rsidRDefault="00C96A4B" w:rsidP="00C96A4B">
      <w:pPr>
        <w:jc w:val="center"/>
        <w:rPr>
          <w:rFonts w:cs="Arial"/>
          <w:b/>
          <w:sz w:val="18"/>
          <w:szCs w:val="18"/>
        </w:rPr>
      </w:pPr>
      <w:r w:rsidRPr="00B72414">
        <w:rPr>
          <w:rFonts w:cs="Arial"/>
          <w:b/>
          <w:sz w:val="18"/>
          <w:szCs w:val="18"/>
        </w:rPr>
        <w:t>Table G.5</w:t>
      </w:r>
      <w:r>
        <w:rPr>
          <w:rFonts w:cs="Arial"/>
          <w:b/>
          <w:sz w:val="18"/>
          <w:szCs w:val="18"/>
        </w:rPr>
        <w:t>B</w:t>
      </w:r>
    </w:p>
    <w:p w:rsidR="00C96A4B" w:rsidRPr="00B72414" w:rsidRDefault="00C96A4B" w:rsidP="00C96A4B">
      <w:pPr>
        <w:jc w:val="center"/>
        <w:rPr>
          <w:b/>
          <w:sz w:val="18"/>
          <w:szCs w:val="18"/>
        </w:rPr>
      </w:pPr>
      <w:r w:rsidRPr="00B72414">
        <w:rPr>
          <w:b/>
          <w:sz w:val="18"/>
          <w:szCs w:val="18"/>
        </w:rPr>
        <w:t xml:space="preserve">Proportion </w:t>
      </w:r>
      <w:r>
        <w:rPr>
          <w:b/>
          <w:sz w:val="18"/>
          <w:szCs w:val="18"/>
        </w:rPr>
        <w:t xml:space="preserve">(%) </w:t>
      </w:r>
      <w:r w:rsidRPr="00B72414">
        <w:rPr>
          <w:b/>
          <w:sz w:val="18"/>
          <w:szCs w:val="18"/>
        </w:rPr>
        <w:t xml:space="preserve">of individuals </w:t>
      </w:r>
      <w:r>
        <w:rPr>
          <w:b/>
          <w:sz w:val="18"/>
          <w:szCs w:val="18"/>
        </w:rPr>
        <w:t>aged 65+</w:t>
      </w:r>
      <w:r w:rsidRPr="00B72414">
        <w:rPr>
          <w:b/>
          <w:sz w:val="18"/>
          <w:szCs w:val="18"/>
        </w:rPr>
        <w:t xml:space="preserve"> in low-income households by tenure</w:t>
      </w:r>
      <w:r>
        <w:rPr>
          <w:b/>
          <w:sz w:val="18"/>
          <w:szCs w:val="18"/>
        </w:rPr>
        <w:t>,</w:t>
      </w:r>
    </w:p>
    <w:p w:rsidR="00C96A4B" w:rsidRPr="00B72414" w:rsidRDefault="00C96A4B" w:rsidP="00C96A4B">
      <w:pPr>
        <w:spacing w:after="120"/>
        <w:jc w:val="center"/>
        <w:rPr>
          <w:b/>
          <w:sz w:val="18"/>
          <w:szCs w:val="18"/>
        </w:rPr>
      </w:pPr>
      <w:smartTag w:uri="urn:schemas-microsoft-com:office:smarttags" w:element="stockticker">
        <w:r w:rsidRPr="00B72414">
          <w:rPr>
            <w:b/>
            <w:sz w:val="18"/>
            <w:szCs w:val="18"/>
          </w:rPr>
          <w:t>AHC</w:t>
        </w:r>
      </w:smartTag>
      <w:r>
        <w:rPr>
          <w:b/>
          <w:sz w:val="18"/>
          <w:szCs w:val="18"/>
        </w:rPr>
        <w:t xml:space="preserve"> CV threshold (</w:t>
      </w:r>
      <w:r w:rsidRPr="00B72414">
        <w:rPr>
          <w:b/>
          <w:sz w:val="18"/>
          <w:szCs w:val="18"/>
        </w:rPr>
        <w:t xml:space="preserve">60% of </w:t>
      </w:r>
      <w:r>
        <w:rPr>
          <w:b/>
          <w:sz w:val="18"/>
          <w:szCs w:val="18"/>
        </w:rPr>
        <w:t xml:space="preserve">1998 or </w:t>
      </w:r>
      <w:r w:rsidRPr="00B72414">
        <w:rPr>
          <w:b/>
          <w:sz w:val="18"/>
          <w:szCs w:val="18"/>
        </w:rPr>
        <w:t xml:space="preserve">2007 </w:t>
      </w:r>
      <w:smartTag w:uri="urn:schemas-microsoft-com:office:smarttags" w:element="stockticker">
        <w:r w:rsidRPr="00B72414">
          <w:rPr>
            <w:b/>
            <w:sz w:val="18"/>
            <w:szCs w:val="18"/>
          </w:rPr>
          <w:t>BHC</w:t>
        </w:r>
      </w:smartTag>
      <w:r w:rsidRPr="00B72414">
        <w:rPr>
          <w:b/>
          <w:sz w:val="18"/>
          <w:szCs w:val="18"/>
        </w:rPr>
        <w:t xml:space="preserve"> median, less 25%)</w:t>
      </w:r>
    </w:p>
    <w:tbl>
      <w:tblPr>
        <w:tblStyle w:val="TableGrid"/>
        <w:tblW w:w="0" w:type="auto"/>
        <w:jc w:val="center"/>
        <w:tblInd w:w="792" w:type="dxa"/>
        <w:tblLook w:val="01E0"/>
      </w:tblPr>
      <w:tblGrid>
        <w:gridCol w:w="2340"/>
        <w:gridCol w:w="523"/>
        <w:gridCol w:w="523"/>
        <w:gridCol w:w="523"/>
        <w:gridCol w:w="523"/>
        <w:gridCol w:w="523"/>
        <w:gridCol w:w="523"/>
        <w:gridCol w:w="498"/>
        <w:gridCol w:w="548"/>
        <w:gridCol w:w="523"/>
        <w:gridCol w:w="523"/>
        <w:gridCol w:w="523"/>
      </w:tblGrid>
      <w:tr w:rsidR="00C96A4B" w:rsidRPr="00327E63">
        <w:trPr>
          <w:jc w:val="center"/>
        </w:trPr>
        <w:tc>
          <w:tcPr>
            <w:tcW w:w="2340" w:type="dxa"/>
            <w:tcMar>
              <w:left w:w="115" w:type="dxa"/>
              <w:right w:w="14" w:type="dxa"/>
            </w:tcMar>
            <w:vAlign w:val="center"/>
          </w:tcPr>
          <w:p w:rsidR="00C96A4B" w:rsidRPr="00181DC4" w:rsidRDefault="00C96A4B" w:rsidP="00614C04">
            <w:pPr>
              <w:spacing w:before="40" w:after="40"/>
              <w:rPr>
                <w:rFonts w:cs="Arial"/>
                <w:b/>
                <w:sz w:val="14"/>
                <w:szCs w:val="16"/>
              </w:rPr>
            </w:pPr>
          </w:p>
        </w:tc>
        <w:tc>
          <w:tcPr>
            <w:tcW w:w="3636" w:type="dxa"/>
            <w:gridSpan w:val="7"/>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Reference year = 1998</w:t>
            </w:r>
          </w:p>
        </w:tc>
        <w:tc>
          <w:tcPr>
            <w:tcW w:w="2117" w:type="dxa"/>
            <w:gridSpan w:val="4"/>
            <w:tcBorders>
              <w:left w:val="single" w:sz="12"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Reference year = 2007</w:t>
            </w:r>
          </w:p>
        </w:tc>
      </w:tr>
      <w:tr w:rsidR="00C96A4B" w:rsidRPr="00327E63">
        <w:trPr>
          <w:jc w:val="center"/>
        </w:trPr>
        <w:tc>
          <w:tcPr>
            <w:tcW w:w="2340" w:type="dxa"/>
            <w:tcMar>
              <w:left w:w="115" w:type="dxa"/>
              <w:right w:w="14" w:type="dxa"/>
            </w:tcMar>
            <w:vAlign w:val="center"/>
          </w:tcPr>
          <w:p w:rsidR="00C96A4B" w:rsidRPr="00181DC4" w:rsidRDefault="00C96A4B" w:rsidP="00614C04">
            <w:pPr>
              <w:spacing w:before="40" w:after="40"/>
              <w:rPr>
                <w:rFonts w:cs="Arial"/>
                <w:b/>
                <w:sz w:val="14"/>
                <w:szCs w:val="16"/>
              </w:rPr>
            </w:pP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1992</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1994</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1996</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1998</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2001</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2004</w:t>
            </w:r>
          </w:p>
        </w:tc>
        <w:tc>
          <w:tcPr>
            <w:tcW w:w="498"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2007</w:t>
            </w:r>
          </w:p>
        </w:tc>
        <w:tc>
          <w:tcPr>
            <w:tcW w:w="548"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2007</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sidRPr="00181DC4">
              <w:rPr>
                <w:rFonts w:cs="Arial"/>
                <w:b/>
                <w:sz w:val="14"/>
                <w:szCs w:val="16"/>
              </w:rPr>
              <w:t>2009</w:t>
            </w:r>
          </w:p>
        </w:tc>
        <w:tc>
          <w:tcPr>
            <w:tcW w:w="523" w:type="dxa"/>
            <w:tcMar>
              <w:left w:w="29" w:type="dxa"/>
              <w:right w:w="29" w:type="dxa"/>
            </w:tcMar>
            <w:vAlign w:val="center"/>
          </w:tcPr>
          <w:p w:rsidR="00C96A4B" w:rsidRPr="00181DC4" w:rsidRDefault="00C96A4B" w:rsidP="00614C04">
            <w:pPr>
              <w:spacing w:before="40" w:after="40"/>
              <w:jc w:val="center"/>
              <w:rPr>
                <w:rFonts w:cs="Arial"/>
                <w:b/>
                <w:sz w:val="14"/>
                <w:szCs w:val="16"/>
              </w:rPr>
            </w:pPr>
            <w:r>
              <w:rPr>
                <w:rFonts w:cs="Arial"/>
                <w:b/>
                <w:sz w:val="14"/>
                <w:szCs w:val="16"/>
              </w:rPr>
              <w:t>2010</w:t>
            </w:r>
          </w:p>
        </w:tc>
        <w:tc>
          <w:tcPr>
            <w:tcW w:w="523" w:type="dxa"/>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rsidRPr="00327E63">
        <w:trPr>
          <w:jc w:val="center"/>
        </w:trPr>
        <w:tc>
          <w:tcPr>
            <w:tcW w:w="2340"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Owned or FT without mortgage</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1</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w:t>
            </w:r>
          </w:p>
        </w:tc>
        <w:tc>
          <w:tcPr>
            <w:tcW w:w="498"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4</w:t>
            </w:r>
          </w:p>
        </w:tc>
        <w:tc>
          <w:tcPr>
            <w:tcW w:w="548"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sidRPr="00181DC4">
              <w:rPr>
                <w:rFonts w:cs="Arial"/>
                <w:sz w:val="14"/>
                <w:szCs w:val="16"/>
              </w:rPr>
              <w:t>3</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w:t>
            </w:r>
          </w:p>
        </w:tc>
        <w:tc>
          <w:tcPr>
            <w:tcW w:w="52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3</w:t>
            </w:r>
          </w:p>
        </w:tc>
      </w:tr>
      <w:tr w:rsidR="00C96A4B" w:rsidRPr="00327E63">
        <w:trPr>
          <w:jc w:val="center"/>
        </w:trPr>
        <w:tc>
          <w:tcPr>
            <w:tcW w:w="2340" w:type="dxa"/>
            <w:tcMar>
              <w:left w:w="115" w:type="dxa"/>
              <w:right w:w="14" w:type="dxa"/>
            </w:tcMar>
            <w:vAlign w:val="center"/>
          </w:tcPr>
          <w:p w:rsidR="00C96A4B" w:rsidRPr="00DD2C7A" w:rsidRDefault="00C96A4B" w:rsidP="00614C04">
            <w:pPr>
              <w:spacing w:before="40" w:after="40"/>
              <w:rPr>
                <w:rFonts w:cs="Arial"/>
                <w:b/>
                <w:i/>
                <w:sz w:val="14"/>
                <w:szCs w:val="16"/>
              </w:rPr>
            </w:pPr>
            <w:r w:rsidRPr="00DD2C7A">
              <w:rPr>
                <w:rFonts w:cs="Arial"/>
                <w:b/>
                <w:i/>
                <w:sz w:val="14"/>
                <w:szCs w:val="16"/>
              </w:rPr>
              <w:t>Owned or FT with mortgage</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6</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16</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15</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32</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31</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11</w:t>
            </w:r>
          </w:p>
        </w:tc>
        <w:tc>
          <w:tcPr>
            <w:tcW w:w="498" w:type="dxa"/>
            <w:tcBorders>
              <w:right w:val="single" w:sz="12" w:space="0" w:color="auto"/>
            </w:tcBorders>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10</w:t>
            </w:r>
          </w:p>
        </w:tc>
        <w:tc>
          <w:tcPr>
            <w:tcW w:w="548" w:type="dxa"/>
            <w:tcBorders>
              <w:left w:val="single" w:sz="12" w:space="0" w:color="auto"/>
            </w:tcBorders>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16</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20</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sidRPr="00DD2C7A">
              <w:rPr>
                <w:rFonts w:cs="Arial"/>
                <w:i/>
                <w:sz w:val="14"/>
                <w:szCs w:val="16"/>
              </w:rPr>
              <w:t>7</w:t>
            </w:r>
          </w:p>
        </w:tc>
        <w:tc>
          <w:tcPr>
            <w:tcW w:w="523" w:type="dxa"/>
            <w:tcMar>
              <w:left w:w="29" w:type="dxa"/>
              <w:right w:w="29" w:type="dxa"/>
            </w:tcMar>
            <w:vAlign w:val="center"/>
          </w:tcPr>
          <w:p w:rsidR="00C96A4B" w:rsidRPr="00DD2C7A" w:rsidRDefault="00C96A4B" w:rsidP="00614C04">
            <w:pPr>
              <w:spacing w:before="40" w:after="40"/>
              <w:jc w:val="center"/>
              <w:rPr>
                <w:rFonts w:cs="Arial"/>
                <w:i/>
                <w:sz w:val="14"/>
                <w:szCs w:val="16"/>
              </w:rPr>
            </w:pPr>
            <w:r>
              <w:rPr>
                <w:rFonts w:cs="Arial"/>
                <w:i/>
                <w:sz w:val="14"/>
                <w:szCs w:val="16"/>
              </w:rPr>
              <w:t>15</w:t>
            </w:r>
          </w:p>
        </w:tc>
      </w:tr>
      <w:tr w:rsidR="00C96A4B" w:rsidRPr="00327E63">
        <w:trPr>
          <w:jc w:val="center"/>
        </w:trPr>
        <w:tc>
          <w:tcPr>
            <w:tcW w:w="2340"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 xml:space="preserve">Rented </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36</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53</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64</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53</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30</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37</w:t>
            </w:r>
          </w:p>
        </w:tc>
        <w:tc>
          <w:tcPr>
            <w:tcW w:w="498"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23</w:t>
            </w:r>
          </w:p>
        </w:tc>
        <w:tc>
          <w:tcPr>
            <w:tcW w:w="548"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44</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47</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24</w:t>
            </w:r>
          </w:p>
        </w:tc>
        <w:tc>
          <w:tcPr>
            <w:tcW w:w="52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28</w:t>
            </w:r>
          </w:p>
        </w:tc>
      </w:tr>
      <w:tr w:rsidR="00C96A4B">
        <w:trPr>
          <w:jc w:val="center"/>
        </w:trPr>
        <w:tc>
          <w:tcPr>
            <w:tcW w:w="2340" w:type="dxa"/>
            <w:tcMar>
              <w:left w:w="115" w:type="dxa"/>
              <w:right w:w="14" w:type="dxa"/>
            </w:tcMar>
            <w:vAlign w:val="center"/>
          </w:tcPr>
          <w:p w:rsidR="00C96A4B" w:rsidRPr="00181DC4" w:rsidRDefault="00C96A4B" w:rsidP="00614C04">
            <w:pPr>
              <w:spacing w:before="40" w:after="40"/>
              <w:rPr>
                <w:rFonts w:cs="Arial"/>
                <w:b/>
                <w:sz w:val="14"/>
                <w:szCs w:val="16"/>
              </w:rPr>
            </w:pPr>
            <w:r w:rsidRPr="00181DC4">
              <w:rPr>
                <w:rFonts w:cs="Arial"/>
                <w:b/>
                <w:sz w:val="14"/>
                <w:szCs w:val="16"/>
              </w:rPr>
              <w:t>TOTAL (65+)</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6</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8</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8</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9</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498" w:type="dxa"/>
            <w:tcBorders>
              <w:righ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8</w:t>
            </w:r>
          </w:p>
        </w:tc>
        <w:tc>
          <w:tcPr>
            <w:tcW w:w="548" w:type="dxa"/>
            <w:tcBorders>
              <w:left w:val="single" w:sz="12" w:space="0" w:color="auto"/>
            </w:tcBorders>
            <w:tcMar>
              <w:left w:w="29" w:type="dxa"/>
              <w:right w:w="29" w:type="dxa"/>
            </w:tcMar>
            <w:vAlign w:val="center"/>
          </w:tcPr>
          <w:p w:rsidR="00C96A4B" w:rsidRPr="00181DC4" w:rsidRDefault="00C96A4B" w:rsidP="00614C04">
            <w:pPr>
              <w:spacing w:before="40" w:after="40"/>
              <w:jc w:val="center"/>
              <w:rPr>
                <w:rFonts w:cs="Arial"/>
                <w:sz w:val="14"/>
                <w:szCs w:val="16"/>
              </w:rPr>
            </w:pPr>
            <w:r w:rsidRPr="00181DC4">
              <w:rPr>
                <w:rFonts w:cs="Arial"/>
                <w:sz w:val="14"/>
                <w:szCs w:val="16"/>
              </w:rPr>
              <w:t>14</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sidRPr="00181DC4">
              <w:rPr>
                <w:rFonts w:cs="Arial"/>
                <w:sz w:val="14"/>
                <w:szCs w:val="16"/>
              </w:rPr>
              <w:t>9</w:t>
            </w:r>
          </w:p>
        </w:tc>
        <w:tc>
          <w:tcPr>
            <w:tcW w:w="523" w:type="dxa"/>
            <w:tcMar>
              <w:left w:w="29" w:type="dxa"/>
              <w:right w:w="29" w:type="dxa"/>
            </w:tcMar>
            <w:vAlign w:val="center"/>
          </w:tcPr>
          <w:p w:rsidR="00C96A4B" w:rsidRPr="00181DC4" w:rsidRDefault="00C96A4B" w:rsidP="00614C04">
            <w:pPr>
              <w:spacing w:before="40" w:after="40"/>
              <w:jc w:val="center"/>
              <w:rPr>
                <w:rFonts w:cs="Arial"/>
                <w:sz w:val="14"/>
                <w:szCs w:val="16"/>
              </w:rPr>
            </w:pPr>
            <w:r>
              <w:rPr>
                <w:rFonts w:cs="Arial"/>
                <w:sz w:val="14"/>
                <w:szCs w:val="16"/>
              </w:rPr>
              <w:t>7</w:t>
            </w:r>
          </w:p>
        </w:tc>
        <w:tc>
          <w:tcPr>
            <w:tcW w:w="523" w:type="dxa"/>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7</w:t>
            </w:r>
          </w:p>
        </w:tc>
      </w:tr>
    </w:tbl>
    <w:p w:rsidR="00C96A4B" w:rsidRPr="00A436CB" w:rsidRDefault="00C96A4B" w:rsidP="00C96A4B">
      <w:pPr>
        <w:tabs>
          <w:tab w:val="left" w:pos="990"/>
        </w:tabs>
        <w:spacing w:before="120"/>
        <w:ind w:left="1170" w:right="371" w:hanging="810"/>
        <w:rPr>
          <w:sz w:val="16"/>
          <w:szCs w:val="16"/>
        </w:rPr>
      </w:pPr>
      <w:r>
        <w:rPr>
          <w:sz w:val="18"/>
          <w:szCs w:val="18"/>
        </w:rPr>
        <w:t>Notes:</w:t>
      </w:r>
      <w:r>
        <w:rPr>
          <w:sz w:val="18"/>
          <w:szCs w:val="18"/>
        </w:rPr>
        <w:tab/>
      </w:r>
      <w:r w:rsidRPr="00A436CB">
        <w:rPr>
          <w:sz w:val="16"/>
          <w:szCs w:val="16"/>
        </w:rPr>
        <w:t>1</w:t>
      </w:r>
      <w:r w:rsidRPr="00A436CB">
        <w:rPr>
          <w:sz w:val="16"/>
          <w:szCs w:val="16"/>
        </w:rPr>
        <w:tab/>
      </w:r>
      <w:r w:rsidRPr="00A436CB">
        <w:rPr>
          <w:rFonts w:cs="Arial"/>
          <w:sz w:val="16"/>
          <w:szCs w:val="16"/>
        </w:rPr>
        <w:t>‘Owned or FT without mortgage’ means that the dwelling is owned by the householders or a Family Trust, and the householders make no mortgage payments.</w:t>
      </w:r>
    </w:p>
    <w:p w:rsidR="00C96A4B" w:rsidRPr="00A436CB" w:rsidRDefault="00C96A4B" w:rsidP="00C96A4B">
      <w:pPr>
        <w:tabs>
          <w:tab w:val="left" w:pos="990"/>
        </w:tabs>
        <w:spacing w:before="60"/>
        <w:ind w:left="1170" w:right="374" w:hanging="810"/>
        <w:rPr>
          <w:sz w:val="16"/>
          <w:szCs w:val="16"/>
        </w:rPr>
      </w:pPr>
      <w:r w:rsidRPr="00A436CB">
        <w:rPr>
          <w:sz w:val="16"/>
          <w:szCs w:val="16"/>
        </w:rPr>
        <w:tab/>
        <w:t>2</w:t>
      </w:r>
      <w:r w:rsidRPr="00A436CB">
        <w:rPr>
          <w:sz w:val="16"/>
          <w:szCs w:val="16"/>
        </w:rPr>
        <w:tab/>
        <w:t xml:space="preserve">For the 65+ ‘owned or FT with mortgage’, the sample numbers are small – the general conclusion that  the poverty rate for mortgage payers is significantly higher than for those who own without a mortgage is robust, but the sample numbers do not support precise figures.  </w:t>
      </w:r>
    </w:p>
    <w:p w:rsidR="00C96A4B" w:rsidRPr="00A436CB" w:rsidRDefault="00C96A4B" w:rsidP="00C96A4B">
      <w:pPr>
        <w:tabs>
          <w:tab w:val="left" w:pos="990"/>
        </w:tabs>
        <w:spacing w:before="60"/>
        <w:ind w:left="1170" w:right="374" w:hanging="810"/>
        <w:rPr>
          <w:sz w:val="16"/>
          <w:szCs w:val="16"/>
        </w:rPr>
      </w:pPr>
      <w:r w:rsidRPr="00A436CB">
        <w:rPr>
          <w:sz w:val="16"/>
          <w:szCs w:val="16"/>
        </w:rPr>
        <w:tab/>
        <w:t>3</w:t>
      </w:r>
      <w:r w:rsidRPr="00A436CB">
        <w:rPr>
          <w:sz w:val="16"/>
          <w:szCs w:val="16"/>
        </w:rPr>
        <w:tab/>
        <w:t>For the 65+, all renters are grouped together as the sample numbers are too small to split private and HNZC renters.</w:t>
      </w:r>
    </w:p>
    <w:p w:rsidR="00C96A4B" w:rsidRPr="00536727" w:rsidRDefault="00C96A4B" w:rsidP="00C96A4B">
      <w:pPr>
        <w:rPr>
          <w:sz w:val="20"/>
        </w:rPr>
      </w:pPr>
    </w:p>
    <w:p w:rsidR="00C96A4B" w:rsidRPr="00E05567" w:rsidRDefault="00C96A4B" w:rsidP="00C96A4B"/>
    <w:p w:rsidR="00C96A4B" w:rsidRPr="009D129E" w:rsidRDefault="00C96A4B" w:rsidP="00C96A4B">
      <w:pPr>
        <w:pStyle w:val="Heading3"/>
        <w:ind w:left="990" w:hanging="990"/>
        <w:rPr>
          <w:sz w:val="20"/>
          <w:szCs w:val="22"/>
        </w:rPr>
      </w:pPr>
      <w:r>
        <w:rPr>
          <w:szCs w:val="22"/>
        </w:rPr>
        <w:br w:type="page"/>
      </w:r>
      <w:r>
        <w:rPr>
          <w:sz w:val="20"/>
          <w:szCs w:val="22"/>
        </w:rPr>
        <w:lastRenderedPageBreak/>
        <w:t>Individuals</w:t>
      </w:r>
      <w:r w:rsidRPr="009D129E">
        <w:rPr>
          <w:sz w:val="20"/>
          <w:szCs w:val="22"/>
        </w:rPr>
        <w:t xml:space="preserve"> in low-income households by household type</w:t>
      </w:r>
    </w:p>
    <w:p w:rsidR="00C96A4B" w:rsidRPr="009D129E" w:rsidRDefault="00C96A4B" w:rsidP="00C96A4B">
      <w:pPr>
        <w:pStyle w:val="Heading3"/>
        <w:rPr>
          <w:sz w:val="20"/>
          <w:szCs w:val="22"/>
        </w:rPr>
      </w:pPr>
    </w:p>
    <w:p w:rsidR="00C96A4B" w:rsidRPr="009D129E" w:rsidRDefault="00C96A4B" w:rsidP="00C96A4B">
      <w:pPr>
        <w:pStyle w:val="Heading3"/>
        <w:jc w:val="both"/>
        <w:rPr>
          <w:sz w:val="20"/>
          <w:szCs w:val="22"/>
        </w:rPr>
      </w:pPr>
    </w:p>
    <w:p w:rsidR="00C96A4B" w:rsidRPr="009D129E" w:rsidRDefault="00C96A4B" w:rsidP="00C96A4B">
      <w:pPr>
        <w:jc w:val="both"/>
        <w:rPr>
          <w:b/>
          <w:sz w:val="20"/>
          <w:szCs w:val="22"/>
        </w:rPr>
      </w:pPr>
      <w:r w:rsidRPr="009D129E">
        <w:rPr>
          <w:b/>
          <w:sz w:val="20"/>
          <w:szCs w:val="22"/>
        </w:rPr>
        <w:t>Key findings</w:t>
      </w:r>
    </w:p>
    <w:p w:rsidR="00C96A4B" w:rsidRPr="009D129E" w:rsidRDefault="00C96A4B" w:rsidP="00C96A4B">
      <w:pPr>
        <w:rPr>
          <w:sz w:val="20"/>
        </w:rPr>
      </w:pPr>
    </w:p>
    <w:p w:rsidR="00C96A4B" w:rsidRPr="009D129E" w:rsidRDefault="00C96A4B" w:rsidP="00C96A4B">
      <w:pPr>
        <w:ind w:left="270"/>
        <w:jc w:val="both"/>
        <w:rPr>
          <w:sz w:val="20"/>
          <w:szCs w:val="22"/>
        </w:rPr>
      </w:pPr>
      <w:r w:rsidRPr="009D129E">
        <w:rPr>
          <w:sz w:val="20"/>
          <w:szCs w:val="22"/>
        </w:rPr>
        <w:t xml:space="preserve">Using </w:t>
      </w:r>
      <w:smartTag w:uri="urn:schemas-microsoft-com:office:smarttags" w:element="stockticker">
        <w:r w:rsidRPr="009D129E">
          <w:rPr>
            <w:sz w:val="20"/>
            <w:szCs w:val="22"/>
          </w:rPr>
          <w:t>AHC</w:t>
        </w:r>
      </w:smartTag>
      <w:r w:rsidRPr="009D129E">
        <w:rPr>
          <w:sz w:val="20"/>
          <w:szCs w:val="22"/>
        </w:rPr>
        <w:t xml:space="preserve"> incomes:</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Sole-parent households with dependent children have the highest income poverty rates of all household types (</w:t>
      </w:r>
      <w:r w:rsidRPr="009D129E">
        <w:rPr>
          <w:b/>
          <w:sz w:val="20"/>
          <w:szCs w:val="22"/>
        </w:rPr>
        <w:t>Table G.</w:t>
      </w:r>
      <w:r>
        <w:rPr>
          <w:b/>
          <w:sz w:val="20"/>
          <w:szCs w:val="22"/>
        </w:rPr>
        <w:t>6</w:t>
      </w:r>
      <w:r w:rsidRPr="009D129E">
        <w:rPr>
          <w:sz w:val="20"/>
          <w:szCs w:val="22"/>
        </w:rPr>
        <w:t>)</w:t>
      </w:r>
      <w:r>
        <w:rPr>
          <w:sz w:val="20"/>
          <w:szCs w:val="22"/>
        </w:rPr>
        <w:t>, 58% in 2011.</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Around one in three sole-parent families (EFUs) live in wider households with others.</w:t>
      </w:r>
      <w:r w:rsidRPr="009D129E">
        <w:rPr>
          <w:rStyle w:val="FootnoteReference"/>
          <w:sz w:val="20"/>
          <w:szCs w:val="22"/>
        </w:rPr>
        <w:footnoteReference w:id="67"/>
      </w:r>
      <w:r w:rsidRPr="009D129E">
        <w:rPr>
          <w:sz w:val="20"/>
          <w:szCs w:val="22"/>
        </w:rPr>
        <w:t xml:space="preserve">  Table G.</w:t>
      </w:r>
      <w:r>
        <w:rPr>
          <w:sz w:val="20"/>
          <w:szCs w:val="22"/>
        </w:rPr>
        <w:t>6</w:t>
      </w:r>
      <w:r w:rsidRPr="009D129E">
        <w:rPr>
          <w:sz w:val="20"/>
          <w:szCs w:val="22"/>
        </w:rPr>
        <w:t xml:space="preserve"> shows the lower poverty rates for these embedded sole-parent EFUs</w:t>
      </w:r>
      <w:r>
        <w:rPr>
          <w:sz w:val="20"/>
          <w:szCs w:val="22"/>
        </w:rPr>
        <w:t xml:space="preserve"> (21%)</w:t>
      </w:r>
      <w:r w:rsidRPr="009D129E">
        <w:rPr>
          <w:sz w:val="20"/>
          <w:szCs w:val="22"/>
        </w:rPr>
        <w:t xml:space="preserve"> compared with those who live in sole-parent households on their own</w:t>
      </w:r>
      <w:r>
        <w:rPr>
          <w:sz w:val="20"/>
          <w:szCs w:val="22"/>
        </w:rPr>
        <w:t xml:space="preserve"> (58%)</w:t>
      </w:r>
      <w:r w:rsidRPr="009D129E">
        <w:rPr>
          <w:sz w:val="20"/>
          <w:szCs w:val="22"/>
        </w:rPr>
        <w:t>.</w:t>
      </w:r>
      <w:r>
        <w:rPr>
          <w:rStyle w:val="FootnoteReference"/>
          <w:sz w:val="20"/>
          <w:szCs w:val="22"/>
        </w:rPr>
        <w:footnoteReference w:id="68"/>
      </w:r>
    </w:p>
    <w:p w:rsidR="00C96A4B" w:rsidRDefault="00C96A4B" w:rsidP="00C96A4B">
      <w:pPr>
        <w:jc w:val="both"/>
        <w:rPr>
          <w:sz w:val="20"/>
          <w:szCs w:val="22"/>
        </w:rPr>
      </w:pPr>
    </w:p>
    <w:p w:rsidR="00C96A4B" w:rsidRPr="009D129E" w:rsidRDefault="00C96A4B" w:rsidP="00C96A4B">
      <w:pPr>
        <w:tabs>
          <w:tab w:val="num" w:pos="540"/>
        </w:tabs>
        <w:ind w:left="540" w:hanging="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Two-parent households with dependent children have much lower poverty rate</w:t>
      </w:r>
      <w:r>
        <w:rPr>
          <w:sz w:val="20"/>
          <w:szCs w:val="22"/>
        </w:rPr>
        <w:t>s</w:t>
      </w:r>
      <w:r w:rsidRPr="009D129E">
        <w:rPr>
          <w:sz w:val="20"/>
          <w:szCs w:val="22"/>
        </w:rPr>
        <w:t xml:space="preserve"> than sole-parent households, but there are </w:t>
      </w:r>
      <w:r>
        <w:rPr>
          <w:sz w:val="20"/>
          <w:szCs w:val="22"/>
        </w:rPr>
        <w:t>more</w:t>
      </w:r>
      <w:r w:rsidRPr="009D129E">
        <w:rPr>
          <w:sz w:val="20"/>
          <w:szCs w:val="22"/>
        </w:rPr>
        <w:t xml:space="preserve"> poor individuals from this household type </w:t>
      </w:r>
      <w:r>
        <w:rPr>
          <w:sz w:val="20"/>
          <w:szCs w:val="22"/>
        </w:rPr>
        <w:t xml:space="preserve">than </w:t>
      </w:r>
      <w:r w:rsidRPr="009D129E">
        <w:rPr>
          <w:sz w:val="20"/>
          <w:szCs w:val="22"/>
        </w:rPr>
        <w:t>from sole-parent households</w:t>
      </w:r>
      <w:r>
        <w:rPr>
          <w:sz w:val="20"/>
          <w:szCs w:val="22"/>
        </w:rPr>
        <w:t xml:space="preserve"> (Table G.7)</w:t>
      </w:r>
      <w:r w:rsidRPr="009D129E">
        <w:rPr>
          <w:sz w:val="20"/>
          <w:szCs w:val="22"/>
        </w:rPr>
        <w:t>.</w:t>
      </w:r>
    </w:p>
    <w:p w:rsidR="00C96A4B" w:rsidRPr="009D129E" w:rsidRDefault="00C96A4B" w:rsidP="00C96A4B">
      <w:pPr>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b/>
          <w:sz w:val="20"/>
          <w:szCs w:val="22"/>
        </w:rPr>
        <w:t>Table G.</w:t>
      </w:r>
      <w:r>
        <w:rPr>
          <w:b/>
          <w:sz w:val="20"/>
          <w:szCs w:val="22"/>
        </w:rPr>
        <w:t>7</w:t>
      </w:r>
      <w:r w:rsidRPr="009D129E">
        <w:rPr>
          <w:sz w:val="20"/>
          <w:szCs w:val="22"/>
        </w:rPr>
        <w:t xml:space="preserve"> and </w:t>
      </w:r>
      <w:r w:rsidRPr="009D129E">
        <w:rPr>
          <w:b/>
          <w:sz w:val="20"/>
          <w:szCs w:val="22"/>
        </w:rPr>
        <w:t>Figure G.</w:t>
      </w:r>
      <w:r>
        <w:rPr>
          <w:b/>
          <w:sz w:val="20"/>
          <w:szCs w:val="22"/>
        </w:rPr>
        <w:t>4</w:t>
      </w:r>
      <w:r w:rsidRPr="009D129E">
        <w:rPr>
          <w:sz w:val="20"/>
          <w:szCs w:val="22"/>
        </w:rPr>
        <w:t xml:space="preserve"> show that while those in households with dependent children continue to make up the bulk of those classified as poor, working-age adults in households without dependent children now make up a larger proportion of th</w:t>
      </w:r>
      <w:r>
        <w:rPr>
          <w:sz w:val="20"/>
          <w:szCs w:val="22"/>
        </w:rPr>
        <w:t>e poor than in earlier years (30% on average in 2009 to 2011</w:t>
      </w:r>
      <w:r w:rsidRPr="009D129E">
        <w:rPr>
          <w:sz w:val="20"/>
          <w:szCs w:val="22"/>
        </w:rPr>
        <w:t xml:space="preserve">, compared with </w:t>
      </w:r>
      <w:r>
        <w:rPr>
          <w:sz w:val="20"/>
          <w:szCs w:val="22"/>
        </w:rPr>
        <w:t>19% in the mid 1990s and 15</w:t>
      </w:r>
      <w:r w:rsidRPr="009D129E">
        <w:rPr>
          <w:sz w:val="20"/>
          <w:szCs w:val="22"/>
        </w:rPr>
        <w:t xml:space="preserve">% in the </w:t>
      </w:r>
      <w:r>
        <w:rPr>
          <w:sz w:val="20"/>
          <w:szCs w:val="22"/>
        </w:rPr>
        <w:t>mid</w:t>
      </w:r>
      <w:r w:rsidRPr="009D129E">
        <w:rPr>
          <w:sz w:val="20"/>
          <w:szCs w:val="22"/>
        </w:rPr>
        <w:t xml:space="preserve"> 1980s).  This rise is driven not only by the increasing share of households without dependent children but also by the </w:t>
      </w:r>
      <w:r>
        <w:rPr>
          <w:sz w:val="20"/>
          <w:szCs w:val="22"/>
        </w:rPr>
        <w:t>generally higher</w:t>
      </w:r>
      <w:r w:rsidRPr="009D129E">
        <w:rPr>
          <w:sz w:val="20"/>
          <w:szCs w:val="22"/>
        </w:rPr>
        <w:t xml:space="preserve"> poverty rates</w:t>
      </w:r>
      <w:r>
        <w:rPr>
          <w:sz w:val="20"/>
          <w:szCs w:val="22"/>
        </w:rPr>
        <w:t xml:space="preserve"> in 2011 compared with 1984</w:t>
      </w:r>
      <w:r w:rsidRPr="009D129E">
        <w:rPr>
          <w:sz w:val="20"/>
          <w:szCs w:val="22"/>
        </w:rPr>
        <w:t xml:space="preserve"> for working-age households with no dependent children.</w:t>
      </w:r>
    </w:p>
    <w:p w:rsidR="00C96A4B" w:rsidRPr="009D129E" w:rsidRDefault="00C96A4B" w:rsidP="00C96A4B">
      <w:pPr>
        <w:jc w:val="both"/>
        <w:rPr>
          <w:sz w:val="20"/>
          <w:szCs w:val="22"/>
        </w:rPr>
      </w:pPr>
    </w:p>
    <w:p w:rsidR="00C96A4B" w:rsidRPr="005B0EF4"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Working-age adults in single-person households have the second highest poverty rate of all household types. </w:t>
      </w:r>
      <w:r>
        <w:rPr>
          <w:sz w:val="20"/>
          <w:szCs w:val="22"/>
        </w:rPr>
        <w:t>From the 1980s to 2007, poverty rates for this group trebled (10% to 30% on the 1998 CV standard).</w:t>
      </w:r>
      <w:r w:rsidRPr="009D129E">
        <w:rPr>
          <w:sz w:val="20"/>
          <w:szCs w:val="22"/>
        </w:rPr>
        <w:t xml:space="preserve"> </w:t>
      </w:r>
      <w:r>
        <w:rPr>
          <w:sz w:val="20"/>
          <w:szCs w:val="22"/>
        </w:rPr>
        <w:t xml:space="preserve">  </w:t>
      </w:r>
      <w:r w:rsidRPr="009D129E">
        <w:rPr>
          <w:sz w:val="20"/>
          <w:szCs w:val="22"/>
        </w:rPr>
        <w:t>In 20</w:t>
      </w:r>
      <w:r>
        <w:rPr>
          <w:sz w:val="20"/>
          <w:szCs w:val="22"/>
        </w:rPr>
        <w:t>11</w:t>
      </w:r>
      <w:r w:rsidRPr="009D129E">
        <w:rPr>
          <w:sz w:val="20"/>
          <w:szCs w:val="22"/>
        </w:rPr>
        <w:t xml:space="preserve">, </w:t>
      </w:r>
      <w:r>
        <w:rPr>
          <w:sz w:val="20"/>
          <w:szCs w:val="22"/>
        </w:rPr>
        <w:t>35</w:t>
      </w:r>
      <w:r w:rsidRPr="009D129E">
        <w:rPr>
          <w:sz w:val="20"/>
          <w:szCs w:val="22"/>
        </w:rPr>
        <w:t xml:space="preserve">% were below the </w:t>
      </w:r>
      <w:r>
        <w:rPr>
          <w:sz w:val="20"/>
          <w:szCs w:val="22"/>
        </w:rPr>
        <w:t xml:space="preserve">new 2007 </w:t>
      </w:r>
      <w:r w:rsidRPr="009D129E">
        <w:rPr>
          <w:sz w:val="20"/>
          <w:szCs w:val="22"/>
        </w:rPr>
        <w:t>60% CV threshold</w:t>
      </w:r>
      <w:r>
        <w:rPr>
          <w:sz w:val="20"/>
          <w:szCs w:val="22"/>
        </w:rPr>
        <w:t xml:space="preserve">: </w:t>
      </w:r>
      <w:r w:rsidRPr="009D129E">
        <w:rPr>
          <w:sz w:val="20"/>
          <w:szCs w:val="22"/>
        </w:rPr>
        <w:t xml:space="preserve">this group made up around </w:t>
      </w:r>
      <w:r>
        <w:rPr>
          <w:sz w:val="20"/>
          <w:szCs w:val="22"/>
        </w:rPr>
        <w:t>11%</w:t>
      </w:r>
      <w:r w:rsidRPr="009D129E">
        <w:rPr>
          <w:sz w:val="20"/>
          <w:szCs w:val="22"/>
        </w:rPr>
        <w:t xml:space="preserve"> of those classified as poor. </w:t>
      </w:r>
      <w:r>
        <w:rPr>
          <w:sz w:val="20"/>
          <w:szCs w:val="22"/>
        </w:rPr>
        <w:t xml:space="preserve">In 2011, the poverty rate for the older group of those living on their own (aged 45 to 64) </w:t>
      </w:r>
      <w:r w:rsidRPr="001E208C">
        <w:rPr>
          <w:color w:val="000000"/>
          <w:sz w:val="20"/>
          <w:szCs w:val="22"/>
        </w:rPr>
        <w:t xml:space="preserve">was higher than for the younger group (aged 18 to 44). </w:t>
      </w:r>
    </w:p>
    <w:p w:rsidR="00C96A4B" w:rsidRPr="009D129E" w:rsidRDefault="00C96A4B" w:rsidP="00C96A4B">
      <w:pPr>
        <w:jc w:val="both"/>
        <w:rPr>
          <w:sz w:val="20"/>
          <w:szCs w:val="22"/>
        </w:rPr>
      </w:pPr>
      <w:r w:rsidRPr="001E208C">
        <w:rPr>
          <w:color w:val="000000"/>
          <w:sz w:val="20"/>
          <w:szCs w:val="22"/>
        </w:rPr>
        <w:t xml:space="preserve"> </w:t>
      </w:r>
    </w:p>
    <w:p w:rsidR="00C96A4B" w:rsidRPr="009D129E" w:rsidRDefault="00C96A4B" w:rsidP="00614C04">
      <w:pPr>
        <w:numPr>
          <w:ilvl w:val="0"/>
          <w:numId w:val="50"/>
        </w:numPr>
        <w:tabs>
          <w:tab w:val="clear" w:pos="720"/>
          <w:tab w:val="num" w:pos="540"/>
        </w:tabs>
        <w:ind w:left="540" w:hanging="270"/>
        <w:jc w:val="both"/>
        <w:rPr>
          <w:rFonts w:cs="Arial"/>
          <w:i/>
          <w:sz w:val="18"/>
        </w:rPr>
      </w:pPr>
      <w:r>
        <w:rPr>
          <w:sz w:val="20"/>
        </w:rPr>
        <w:t>Overall p</w:t>
      </w:r>
      <w:r w:rsidRPr="009D129E">
        <w:rPr>
          <w:sz w:val="20"/>
        </w:rPr>
        <w:t xml:space="preserve">overty rates for those aged 65+ have been </w:t>
      </w:r>
      <w:r>
        <w:rPr>
          <w:sz w:val="20"/>
        </w:rPr>
        <w:t>considerably lower than those for the rest of the population over the full period from 1982 to 2011 (Table G.2).</w:t>
      </w:r>
      <w:r w:rsidRPr="009D129E">
        <w:rPr>
          <w:sz w:val="20"/>
        </w:rPr>
        <w:t xml:space="preserve">  However, those older New Zealanders living on their own have had a much higher proportion below the threshold than have those in couple households</w:t>
      </w:r>
      <w:r>
        <w:rPr>
          <w:sz w:val="20"/>
        </w:rPr>
        <w:t xml:space="preserve"> (eg 12% compared with 6% for 2011)</w:t>
      </w:r>
      <w:r w:rsidRPr="009D129E">
        <w:rPr>
          <w:sz w:val="20"/>
        </w:rPr>
        <w:t>.</w:t>
      </w:r>
    </w:p>
    <w:p w:rsidR="00C96A4B" w:rsidRPr="009D129E" w:rsidRDefault="00C96A4B" w:rsidP="00C96A4B">
      <w:pPr>
        <w:jc w:val="both"/>
        <w:rPr>
          <w:rFonts w:cs="Arial"/>
          <w:i/>
          <w:sz w:val="18"/>
        </w:rPr>
      </w:pPr>
    </w:p>
    <w:p w:rsidR="00C96A4B" w:rsidRPr="009D129E" w:rsidRDefault="00C96A4B" w:rsidP="00C96A4B">
      <w:pPr>
        <w:ind w:left="270"/>
        <w:jc w:val="both"/>
        <w:rPr>
          <w:sz w:val="20"/>
        </w:rPr>
      </w:pPr>
    </w:p>
    <w:p w:rsidR="00C96A4B" w:rsidRPr="009D129E" w:rsidRDefault="00C96A4B" w:rsidP="00C96A4B">
      <w:pPr>
        <w:jc w:val="center"/>
        <w:rPr>
          <w:rFonts w:cs="Arial"/>
          <w:b/>
          <w:sz w:val="18"/>
        </w:rPr>
      </w:pPr>
      <w:r>
        <w:rPr>
          <w:rFonts w:cs="Arial"/>
          <w:b/>
          <w:sz w:val="20"/>
        </w:rPr>
        <w:br w:type="page"/>
      </w:r>
      <w:r w:rsidRPr="009D129E">
        <w:rPr>
          <w:rFonts w:cs="Arial"/>
          <w:b/>
          <w:sz w:val="18"/>
        </w:rPr>
        <w:lastRenderedPageBreak/>
        <w:t>Table G.</w:t>
      </w:r>
      <w:r>
        <w:rPr>
          <w:rFonts w:cs="Arial"/>
          <w:b/>
          <w:sz w:val="18"/>
        </w:rPr>
        <w:t>6</w:t>
      </w:r>
    </w:p>
    <w:p w:rsidR="00C96A4B" w:rsidRPr="009D129E" w:rsidRDefault="00C96A4B" w:rsidP="00C96A4B">
      <w:pPr>
        <w:jc w:val="center"/>
        <w:rPr>
          <w:b/>
          <w:sz w:val="18"/>
        </w:rPr>
      </w:pPr>
      <w:r w:rsidRPr="009D129E">
        <w:rPr>
          <w:b/>
          <w:sz w:val="18"/>
        </w:rPr>
        <w:t xml:space="preserve">Individuals in low-income households by household and family type  </w:t>
      </w:r>
    </w:p>
    <w:p w:rsidR="00C96A4B" w:rsidRPr="009D129E" w:rsidRDefault="00C96A4B" w:rsidP="00C96A4B">
      <w:pPr>
        <w:jc w:val="center"/>
        <w:rPr>
          <w:b/>
          <w:sz w:val="18"/>
        </w:rPr>
      </w:pPr>
      <w:r w:rsidRPr="009D129E">
        <w:rPr>
          <w:b/>
          <w:sz w:val="18"/>
        </w:rPr>
        <w:t xml:space="preserve">60% </w:t>
      </w:r>
      <w:smartTag w:uri="urn:schemas-microsoft-com:office:smarttags" w:element="stockticker">
        <w:r w:rsidRPr="009D129E">
          <w:rPr>
            <w:b/>
            <w:sz w:val="18"/>
          </w:rPr>
          <w:t>AHC</w:t>
        </w:r>
      </w:smartTag>
      <w:r w:rsidRPr="009D129E">
        <w:rPr>
          <w:b/>
          <w:sz w:val="18"/>
        </w:rPr>
        <w:t xml:space="preserve"> CV</w:t>
      </w:r>
    </w:p>
    <w:p w:rsidR="00C96A4B" w:rsidRPr="009D129E" w:rsidRDefault="00C96A4B" w:rsidP="00C96A4B">
      <w:pPr>
        <w:spacing w:before="120" w:after="120"/>
        <w:ind w:left="187"/>
        <w:jc w:val="center"/>
        <w:rPr>
          <w:b/>
          <w:sz w:val="18"/>
        </w:rPr>
      </w:pPr>
      <w:r w:rsidRPr="009D129E">
        <w:rPr>
          <w:b/>
          <w:sz w:val="18"/>
        </w:rPr>
        <w:t>Proportions below the threshold</w:t>
      </w:r>
    </w:p>
    <w:tbl>
      <w:tblPr>
        <w:tblStyle w:val="TableGrid"/>
        <w:tblW w:w="8758" w:type="dxa"/>
        <w:jc w:val="center"/>
        <w:tblLayout w:type="fixed"/>
        <w:tblCellMar>
          <w:left w:w="115" w:type="dxa"/>
          <w:right w:w="158" w:type="dxa"/>
        </w:tblCellMar>
        <w:tblLook w:val="01E0"/>
      </w:tblPr>
      <w:tblGrid>
        <w:gridCol w:w="2339"/>
        <w:gridCol w:w="427"/>
        <w:gridCol w:w="428"/>
        <w:gridCol w:w="428"/>
        <w:gridCol w:w="428"/>
        <w:gridCol w:w="428"/>
        <w:gridCol w:w="428"/>
        <w:gridCol w:w="428"/>
        <w:gridCol w:w="428"/>
        <w:gridCol w:w="428"/>
        <w:gridCol w:w="428"/>
        <w:gridCol w:w="428"/>
        <w:gridCol w:w="428"/>
        <w:gridCol w:w="428"/>
        <w:gridCol w:w="428"/>
        <w:gridCol w:w="428"/>
      </w:tblGrid>
      <w:tr w:rsidR="00C96A4B">
        <w:trPr>
          <w:trHeight w:hRule="exact" w:val="288"/>
          <w:jc w:val="center"/>
        </w:trPr>
        <w:tc>
          <w:tcPr>
            <w:tcW w:w="2339" w:type="dxa"/>
            <w:tcBorders>
              <w:top w:val="single" w:sz="4" w:space="0" w:color="auto"/>
              <w:left w:val="single" w:sz="4" w:space="0" w:color="auto"/>
              <w:bottom w:val="nil"/>
              <w:right w:val="single" w:sz="4" w:space="0" w:color="auto"/>
            </w:tcBorders>
            <w:vAlign w:val="center"/>
          </w:tcPr>
          <w:p w:rsidR="00C96A4B" w:rsidRPr="004B7ADB" w:rsidRDefault="00C96A4B" w:rsidP="00614C04">
            <w:pPr>
              <w:spacing w:before="60" w:after="60"/>
              <w:ind w:right="-29"/>
              <w:rPr>
                <w:b/>
                <w:sz w:val="14"/>
                <w:szCs w:val="16"/>
              </w:rPr>
            </w:pPr>
          </w:p>
        </w:tc>
        <w:tc>
          <w:tcPr>
            <w:tcW w:w="4707" w:type="dxa"/>
            <w:gridSpan w:val="11"/>
            <w:tcBorders>
              <w:top w:val="single" w:sz="4" w:space="0" w:color="auto"/>
              <w:left w:val="single" w:sz="4" w:space="0" w:color="auto"/>
              <w:bottom w:val="nil"/>
              <w:right w:val="single" w:sz="12" w:space="0" w:color="auto"/>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Pr>
                <w:rFonts w:cs="Arial"/>
                <w:b/>
                <w:sz w:val="14"/>
                <w:szCs w:val="16"/>
              </w:rPr>
              <w:t>Reference year = 1998</w:t>
            </w:r>
          </w:p>
        </w:tc>
        <w:tc>
          <w:tcPr>
            <w:tcW w:w="1712" w:type="dxa"/>
            <w:gridSpan w:val="4"/>
            <w:tcBorders>
              <w:top w:val="single" w:sz="4" w:space="0" w:color="auto"/>
              <w:left w:val="single" w:sz="12" w:space="0" w:color="auto"/>
              <w:bottom w:val="nil"/>
              <w:right w:val="single" w:sz="4" w:space="0" w:color="auto"/>
            </w:tcBorders>
            <w:tcMar>
              <w:left w:w="0" w:type="dxa"/>
              <w:right w:w="86" w:type="dxa"/>
            </w:tcMar>
            <w:vAlign w:val="center"/>
          </w:tcPr>
          <w:p w:rsidR="00C96A4B" w:rsidRPr="00036000" w:rsidRDefault="00C96A4B" w:rsidP="00614C04">
            <w:pPr>
              <w:spacing w:before="60" w:after="60"/>
              <w:ind w:right="-29"/>
              <w:jc w:val="center"/>
              <w:rPr>
                <w:rFonts w:cs="Arial"/>
                <w:b/>
                <w:sz w:val="14"/>
                <w:szCs w:val="16"/>
              </w:rPr>
            </w:pPr>
            <w:r>
              <w:rPr>
                <w:rFonts w:cs="Arial"/>
                <w:b/>
                <w:sz w:val="14"/>
                <w:szCs w:val="16"/>
              </w:rPr>
              <w:t>Ref year = 2007</w:t>
            </w:r>
          </w:p>
        </w:tc>
      </w:tr>
      <w:tr w:rsidR="00C96A4B">
        <w:trPr>
          <w:trHeight w:hRule="exact" w:val="288"/>
          <w:jc w:val="center"/>
        </w:trPr>
        <w:tc>
          <w:tcPr>
            <w:tcW w:w="2339" w:type="dxa"/>
            <w:tcBorders>
              <w:top w:val="single" w:sz="4" w:space="0" w:color="auto"/>
              <w:left w:val="single" w:sz="4" w:space="0" w:color="auto"/>
              <w:bottom w:val="nil"/>
              <w:right w:val="single" w:sz="4" w:space="0" w:color="auto"/>
            </w:tcBorders>
            <w:vAlign w:val="center"/>
          </w:tcPr>
          <w:p w:rsidR="00C96A4B" w:rsidRPr="004B7ADB" w:rsidRDefault="00C96A4B" w:rsidP="00614C04">
            <w:pPr>
              <w:spacing w:before="60" w:after="60"/>
              <w:ind w:right="-29"/>
              <w:rPr>
                <w:b/>
                <w:sz w:val="14"/>
                <w:szCs w:val="16"/>
              </w:rPr>
            </w:pPr>
          </w:p>
        </w:tc>
        <w:tc>
          <w:tcPr>
            <w:tcW w:w="427" w:type="dxa"/>
            <w:tcBorders>
              <w:top w:val="single" w:sz="4" w:space="0" w:color="auto"/>
              <w:left w:val="single" w:sz="4" w:space="0" w:color="auto"/>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84</w:t>
            </w:r>
          </w:p>
        </w:tc>
        <w:tc>
          <w:tcPr>
            <w:tcW w:w="428" w:type="dxa"/>
            <w:tcBorders>
              <w:top w:val="single" w:sz="4" w:space="0" w:color="auto"/>
              <w:left w:val="nil"/>
              <w:bottom w:val="nil"/>
              <w:right w:val="nil"/>
            </w:tcBorders>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86</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88</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90</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92</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94</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96</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98</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01</w:t>
            </w:r>
          </w:p>
        </w:tc>
        <w:tc>
          <w:tcPr>
            <w:tcW w:w="428" w:type="dxa"/>
            <w:tcBorders>
              <w:top w:val="single" w:sz="4" w:space="0" w:color="auto"/>
              <w:left w:val="nil"/>
              <w:bottom w:val="nil"/>
              <w:right w:val="nil"/>
            </w:tcBorders>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04</w:t>
            </w:r>
          </w:p>
        </w:tc>
        <w:tc>
          <w:tcPr>
            <w:tcW w:w="428" w:type="dxa"/>
            <w:tcBorders>
              <w:top w:val="single" w:sz="4" w:space="0" w:color="auto"/>
              <w:left w:val="nil"/>
              <w:bottom w:val="nil"/>
              <w:right w:val="single" w:sz="12" w:space="0" w:color="auto"/>
            </w:tcBorders>
            <w:tcMar>
              <w:left w:w="0" w:type="dxa"/>
              <w:right w:w="86" w:type="dxa"/>
            </w:tcMar>
            <w:vAlign w:val="center"/>
          </w:tcPr>
          <w:p w:rsidR="00C96A4B" w:rsidRPr="00036000" w:rsidRDefault="00C96A4B" w:rsidP="00614C04">
            <w:pPr>
              <w:spacing w:before="60" w:after="60"/>
              <w:ind w:left="-101" w:right="-187"/>
              <w:jc w:val="center"/>
              <w:rPr>
                <w:rFonts w:cs="Arial"/>
                <w:b/>
                <w:sz w:val="14"/>
                <w:szCs w:val="16"/>
              </w:rPr>
            </w:pPr>
            <w:r w:rsidRPr="00036000">
              <w:rPr>
                <w:rFonts w:cs="Arial"/>
                <w:b/>
                <w:sz w:val="14"/>
                <w:szCs w:val="16"/>
              </w:rPr>
              <w:t>07</w:t>
            </w:r>
          </w:p>
        </w:tc>
        <w:tc>
          <w:tcPr>
            <w:tcW w:w="428" w:type="dxa"/>
            <w:tcBorders>
              <w:top w:val="single" w:sz="4" w:space="0" w:color="auto"/>
              <w:left w:val="single" w:sz="12" w:space="0" w:color="auto"/>
              <w:bottom w:val="nil"/>
              <w:right w:val="nil"/>
            </w:tcBorders>
            <w:tcMar>
              <w:left w:w="0" w:type="dxa"/>
              <w:right w:w="86" w:type="dxa"/>
            </w:tcMar>
            <w:vAlign w:val="center"/>
          </w:tcPr>
          <w:p w:rsidR="00C96A4B" w:rsidRPr="00036000" w:rsidRDefault="00C96A4B" w:rsidP="00614C04">
            <w:pPr>
              <w:spacing w:before="60" w:after="60"/>
              <w:ind w:right="-29"/>
              <w:jc w:val="center"/>
              <w:rPr>
                <w:rFonts w:cs="Arial"/>
                <w:b/>
                <w:sz w:val="14"/>
                <w:szCs w:val="16"/>
              </w:rPr>
            </w:pPr>
            <w:r w:rsidRPr="00036000">
              <w:rPr>
                <w:rFonts w:cs="Arial"/>
                <w:b/>
                <w:sz w:val="14"/>
                <w:szCs w:val="16"/>
              </w:rPr>
              <w:t>07</w:t>
            </w:r>
          </w:p>
        </w:tc>
        <w:tc>
          <w:tcPr>
            <w:tcW w:w="428" w:type="dxa"/>
            <w:tcBorders>
              <w:top w:val="single" w:sz="4" w:space="0" w:color="auto"/>
              <w:left w:val="nil"/>
              <w:bottom w:val="nil"/>
              <w:right w:val="nil"/>
            </w:tcBorders>
            <w:vAlign w:val="center"/>
          </w:tcPr>
          <w:p w:rsidR="00C96A4B" w:rsidRPr="00036000" w:rsidRDefault="00C96A4B" w:rsidP="00614C04">
            <w:pPr>
              <w:spacing w:before="60" w:after="60"/>
              <w:ind w:right="-29"/>
              <w:jc w:val="center"/>
              <w:rPr>
                <w:rFonts w:cs="Arial"/>
                <w:b/>
                <w:sz w:val="14"/>
                <w:szCs w:val="16"/>
              </w:rPr>
            </w:pPr>
            <w:r w:rsidRPr="00036000">
              <w:rPr>
                <w:rFonts w:cs="Arial"/>
                <w:b/>
                <w:sz w:val="14"/>
                <w:szCs w:val="16"/>
              </w:rPr>
              <w:t>09</w:t>
            </w:r>
          </w:p>
        </w:tc>
        <w:tc>
          <w:tcPr>
            <w:tcW w:w="428" w:type="dxa"/>
            <w:tcBorders>
              <w:top w:val="single" w:sz="4" w:space="0" w:color="auto"/>
              <w:left w:val="nil"/>
              <w:bottom w:val="nil"/>
              <w:right w:val="nil"/>
            </w:tcBorders>
            <w:tcMar>
              <w:left w:w="0" w:type="dxa"/>
              <w:right w:w="86" w:type="dxa"/>
            </w:tcMar>
            <w:vAlign w:val="center"/>
          </w:tcPr>
          <w:p w:rsidR="00C96A4B" w:rsidRPr="00036000" w:rsidRDefault="00C96A4B" w:rsidP="00614C04">
            <w:pPr>
              <w:spacing w:before="60" w:after="60"/>
              <w:ind w:right="-29"/>
              <w:jc w:val="center"/>
              <w:rPr>
                <w:rFonts w:cs="Arial"/>
                <w:b/>
                <w:sz w:val="14"/>
                <w:szCs w:val="16"/>
              </w:rPr>
            </w:pPr>
            <w:r w:rsidRPr="00036000">
              <w:rPr>
                <w:rFonts w:cs="Arial"/>
                <w:b/>
                <w:sz w:val="14"/>
                <w:szCs w:val="16"/>
              </w:rPr>
              <w:t>10</w:t>
            </w:r>
          </w:p>
        </w:tc>
        <w:tc>
          <w:tcPr>
            <w:tcW w:w="428" w:type="dxa"/>
            <w:tcBorders>
              <w:top w:val="single" w:sz="4" w:space="0" w:color="auto"/>
              <w:left w:val="nil"/>
              <w:bottom w:val="nil"/>
              <w:right w:val="single" w:sz="4" w:space="0" w:color="auto"/>
            </w:tcBorders>
            <w:vAlign w:val="center"/>
          </w:tcPr>
          <w:p w:rsidR="00C96A4B" w:rsidRPr="00036000" w:rsidRDefault="00C96A4B" w:rsidP="00614C04">
            <w:pPr>
              <w:spacing w:before="60" w:after="60"/>
              <w:ind w:right="-29"/>
              <w:jc w:val="center"/>
              <w:rPr>
                <w:rFonts w:cs="Arial"/>
                <w:b/>
                <w:sz w:val="14"/>
                <w:szCs w:val="16"/>
              </w:rPr>
            </w:pPr>
            <w:r w:rsidRPr="00036000">
              <w:rPr>
                <w:rFonts w:cs="Arial"/>
                <w:b/>
                <w:sz w:val="14"/>
                <w:szCs w:val="16"/>
              </w:rPr>
              <w:t>11</w:t>
            </w:r>
          </w:p>
        </w:tc>
      </w:tr>
      <w:tr w:rsidR="00C96A4B">
        <w:trPr>
          <w:trHeight w:hRule="exact" w:val="288"/>
          <w:jc w:val="center"/>
        </w:trPr>
        <w:tc>
          <w:tcPr>
            <w:tcW w:w="2339" w:type="dxa"/>
            <w:tcBorders>
              <w:top w:val="single" w:sz="4" w:space="0" w:color="auto"/>
              <w:left w:val="single" w:sz="4" w:space="0" w:color="auto"/>
              <w:bottom w:val="nil"/>
              <w:right w:val="single" w:sz="4" w:space="0" w:color="auto"/>
            </w:tcBorders>
            <w:vAlign w:val="center"/>
          </w:tcPr>
          <w:p w:rsidR="00C96A4B" w:rsidRPr="004B7ADB" w:rsidRDefault="00C96A4B" w:rsidP="00614C04">
            <w:pPr>
              <w:spacing w:before="60" w:after="60"/>
              <w:ind w:right="-29"/>
              <w:rPr>
                <w:rFonts w:cs="Arial"/>
                <w:sz w:val="14"/>
                <w:szCs w:val="16"/>
              </w:rPr>
            </w:pPr>
            <w:r w:rsidRPr="004B7ADB">
              <w:rPr>
                <w:b/>
                <w:sz w:val="14"/>
                <w:szCs w:val="16"/>
              </w:rPr>
              <w:t>In all households</w:t>
            </w:r>
          </w:p>
        </w:tc>
        <w:tc>
          <w:tcPr>
            <w:tcW w:w="427" w:type="dxa"/>
            <w:tcBorders>
              <w:top w:val="single" w:sz="4" w:space="0" w:color="auto"/>
              <w:left w:val="single" w:sz="4" w:space="0" w:color="auto"/>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single" w:sz="12" w:space="0" w:color="auto"/>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single" w:sz="12" w:space="0" w:color="auto"/>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nil"/>
            </w:tcBorders>
            <w:tcMar>
              <w:left w:w="0" w:type="dxa"/>
              <w:right w:w="86"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single" w:sz="4" w:space="0" w:color="auto"/>
              <w:left w:val="nil"/>
              <w:bottom w:val="nil"/>
              <w:right w:val="single" w:sz="4" w:space="0" w:color="auto"/>
            </w:tcBorders>
          </w:tcPr>
          <w:p w:rsidR="00C96A4B" w:rsidRPr="004B7ADB" w:rsidRDefault="00C96A4B" w:rsidP="00614C04">
            <w:pPr>
              <w:spacing w:before="60" w:after="60"/>
              <w:ind w:right="-29"/>
              <w:jc w:val="right"/>
              <w:rPr>
                <w:rFonts w:cs="Arial"/>
                <w:sz w:val="14"/>
                <w:szCs w:val="16"/>
              </w:rPr>
            </w:pP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 xml:space="preserve">Single 65+   </w:t>
            </w:r>
            <w:r w:rsidRPr="004B7ADB">
              <w:rPr>
                <w:sz w:val="14"/>
                <w:szCs w:val="16"/>
              </w:rPr>
              <w:tab/>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15</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11</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12</w:t>
            </w:r>
          </w:p>
        </w:tc>
      </w:tr>
      <w:tr w:rsidR="00C96A4B">
        <w:trPr>
          <w:trHeight w:val="215"/>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 xml:space="preserve">Couple 65+  </w:t>
            </w:r>
            <w:r w:rsidRPr="004B7ADB">
              <w:rPr>
                <w:sz w:val="14"/>
                <w:szCs w:val="16"/>
              </w:rPr>
              <w:tab/>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5</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6</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Single under 65</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27</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30</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36</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30</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28</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35</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Couple under 65</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9</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13</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Sole parent with children</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55</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47</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57</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50</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51</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52</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Two parent with children</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15</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13</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Other family HHs with children</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18</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11</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14</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Other family HHs, adults only</w:t>
            </w:r>
            <w:r>
              <w:rPr>
                <w:sz w:val="14"/>
                <w:szCs w:val="16"/>
              </w:rPr>
              <w:t xml:space="preserve"> &lt;65</w:t>
            </w:r>
            <w:r w:rsidRPr="004B7ADB">
              <w:rPr>
                <w:sz w:val="14"/>
                <w:szCs w:val="16"/>
              </w:rPr>
              <w:t xml:space="preserve"> </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10</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9</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Non-family HHs</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16</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10</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14</w:t>
            </w:r>
          </w:p>
        </w:tc>
      </w:tr>
      <w:tr w:rsidR="00C96A4B">
        <w:trPr>
          <w:jc w:val="center"/>
        </w:trPr>
        <w:tc>
          <w:tcPr>
            <w:tcW w:w="2339" w:type="dxa"/>
            <w:tcBorders>
              <w:top w:val="nil"/>
              <w:left w:val="single" w:sz="4" w:space="0" w:color="auto"/>
              <w:bottom w:val="single" w:sz="4" w:space="0" w:color="auto"/>
              <w:right w:val="single" w:sz="4" w:space="0" w:color="auto"/>
            </w:tcBorders>
            <w:vAlign w:val="center"/>
          </w:tcPr>
          <w:p w:rsidR="00C96A4B" w:rsidRPr="004B7ADB" w:rsidRDefault="00C96A4B" w:rsidP="00614C04">
            <w:pPr>
              <w:spacing w:before="40" w:after="40"/>
              <w:rPr>
                <w:sz w:val="14"/>
                <w:szCs w:val="16"/>
              </w:rPr>
            </w:pPr>
            <w:r w:rsidRPr="004B7ADB">
              <w:rPr>
                <w:sz w:val="14"/>
                <w:szCs w:val="16"/>
              </w:rPr>
              <w:t>Total population</w:t>
            </w:r>
          </w:p>
        </w:tc>
        <w:tc>
          <w:tcPr>
            <w:tcW w:w="427" w:type="dxa"/>
            <w:tcBorders>
              <w:top w:val="nil"/>
              <w:left w:val="single" w:sz="4" w:space="0" w:color="auto"/>
              <w:bottom w:val="single" w:sz="4"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9</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8</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9</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11</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21</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23</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21</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18</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19</w:t>
            </w:r>
          </w:p>
        </w:tc>
        <w:tc>
          <w:tcPr>
            <w:tcW w:w="428" w:type="dxa"/>
            <w:tcBorders>
              <w:top w:val="nil"/>
              <w:left w:val="nil"/>
              <w:bottom w:val="single" w:sz="6" w:space="0" w:color="auto"/>
              <w:right w:val="nil"/>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17</w:t>
            </w:r>
          </w:p>
        </w:tc>
        <w:tc>
          <w:tcPr>
            <w:tcW w:w="428" w:type="dxa"/>
            <w:tcBorders>
              <w:top w:val="nil"/>
              <w:left w:val="nil"/>
              <w:bottom w:val="single" w:sz="6" w:space="0" w:color="auto"/>
              <w:right w:val="single" w:sz="12" w:space="0" w:color="auto"/>
            </w:tcBorders>
            <w:tcMar>
              <w:left w:w="29" w:type="dxa"/>
              <w:right w:w="130" w:type="dxa"/>
            </w:tcMar>
            <w:vAlign w:val="center"/>
          </w:tcPr>
          <w:p w:rsidR="00C96A4B" w:rsidRPr="00C6486D" w:rsidRDefault="00C96A4B" w:rsidP="00614C04">
            <w:pPr>
              <w:spacing w:before="40" w:after="40"/>
              <w:ind w:right="-29"/>
              <w:jc w:val="right"/>
              <w:rPr>
                <w:rFonts w:cs="Arial"/>
                <w:sz w:val="14"/>
                <w:szCs w:val="16"/>
              </w:rPr>
            </w:pPr>
            <w:r w:rsidRPr="00C6486D">
              <w:rPr>
                <w:rFonts w:cs="Arial"/>
                <w:sz w:val="14"/>
                <w:szCs w:val="16"/>
              </w:rPr>
              <w:t>13</w:t>
            </w:r>
          </w:p>
        </w:tc>
        <w:tc>
          <w:tcPr>
            <w:tcW w:w="428" w:type="dxa"/>
            <w:tcBorders>
              <w:top w:val="nil"/>
              <w:left w:val="single" w:sz="12" w:space="0" w:color="auto"/>
              <w:bottom w:val="single" w:sz="4" w:space="0" w:color="auto"/>
              <w:right w:val="nil"/>
            </w:tcBorders>
            <w:tcMar>
              <w:left w:w="29" w:type="dxa"/>
              <w:right w:w="130" w:type="dxa"/>
            </w:tcMar>
            <w:vAlign w:val="center"/>
          </w:tcPr>
          <w:p w:rsidR="00C96A4B" w:rsidRPr="004B7ADB" w:rsidRDefault="00C96A4B" w:rsidP="00614C04">
            <w:pPr>
              <w:spacing w:before="40" w:after="40"/>
              <w:ind w:right="-29"/>
              <w:jc w:val="right"/>
              <w:rPr>
                <w:rFonts w:cs="Arial"/>
                <w:sz w:val="14"/>
                <w:szCs w:val="16"/>
              </w:rPr>
            </w:pPr>
            <w:r w:rsidRPr="004B7ADB">
              <w:rPr>
                <w:rFonts w:cs="Arial"/>
                <w:sz w:val="14"/>
                <w:szCs w:val="16"/>
              </w:rPr>
              <w:t>18</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40" w:after="40"/>
              <w:ind w:right="-29"/>
              <w:jc w:val="right"/>
              <w:rPr>
                <w:rFonts w:cs="Arial"/>
                <w:sz w:val="14"/>
                <w:szCs w:val="16"/>
              </w:rPr>
            </w:pPr>
            <w:r w:rsidRPr="004B7ADB">
              <w:rPr>
                <w:rFonts w:cs="Arial"/>
                <w:sz w:val="14"/>
                <w:szCs w:val="16"/>
              </w:rPr>
              <w:t>15</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40" w:after="40"/>
              <w:ind w:right="-29"/>
              <w:jc w:val="right"/>
              <w:rPr>
                <w:rFonts w:cs="Arial"/>
                <w:sz w:val="14"/>
                <w:szCs w:val="16"/>
              </w:rPr>
            </w:pPr>
            <w:r>
              <w:rPr>
                <w:rFonts w:cs="Arial"/>
                <w:sz w:val="14"/>
                <w:szCs w:val="16"/>
              </w:rPr>
              <w:t>15</w:t>
            </w:r>
          </w:p>
        </w:tc>
        <w:tc>
          <w:tcPr>
            <w:tcW w:w="428" w:type="dxa"/>
            <w:tcBorders>
              <w:top w:val="nil"/>
              <w:left w:val="nil"/>
              <w:bottom w:val="single" w:sz="4" w:space="0" w:color="auto"/>
              <w:right w:val="single" w:sz="4" w:space="0" w:color="auto"/>
            </w:tcBorders>
            <w:tcMar>
              <w:left w:w="29" w:type="dxa"/>
              <w:right w:w="130" w:type="dxa"/>
            </w:tcMar>
            <w:vAlign w:val="center"/>
          </w:tcPr>
          <w:p w:rsidR="00C96A4B" w:rsidRDefault="00C96A4B" w:rsidP="00614C04">
            <w:pPr>
              <w:spacing w:before="40" w:after="40"/>
              <w:ind w:right="-29"/>
              <w:jc w:val="right"/>
              <w:rPr>
                <w:rFonts w:cs="Arial"/>
                <w:sz w:val="14"/>
                <w:szCs w:val="16"/>
              </w:rPr>
            </w:pPr>
            <w:r>
              <w:rPr>
                <w:rFonts w:cs="Arial"/>
                <w:sz w:val="14"/>
                <w:szCs w:val="16"/>
              </w:rPr>
              <w:t>16</w:t>
            </w:r>
          </w:p>
        </w:tc>
      </w:tr>
      <w:tr w:rsidR="00C96A4B">
        <w:trPr>
          <w:jc w:val="center"/>
        </w:trPr>
        <w:tc>
          <w:tcPr>
            <w:tcW w:w="3194" w:type="dxa"/>
            <w:gridSpan w:val="3"/>
            <w:tcBorders>
              <w:top w:val="single" w:sz="4" w:space="0" w:color="auto"/>
              <w:left w:val="single" w:sz="4" w:space="0" w:color="auto"/>
              <w:bottom w:val="nil"/>
              <w:right w:val="nil"/>
            </w:tcBorders>
            <w:vAlign w:val="center"/>
          </w:tcPr>
          <w:p w:rsidR="00C96A4B" w:rsidRPr="00C6486D" w:rsidRDefault="00C96A4B" w:rsidP="00614C04">
            <w:pPr>
              <w:spacing w:before="60" w:after="60"/>
              <w:ind w:right="-29"/>
              <w:rPr>
                <w:rFonts w:cs="Arial"/>
                <w:sz w:val="14"/>
                <w:szCs w:val="16"/>
              </w:rPr>
            </w:pPr>
            <w:r w:rsidRPr="002A23EE">
              <w:rPr>
                <w:b/>
                <w:sz w:val="14"/>
                <w:szCs w:val="16"/>
              </w:rPr>
              <w:t>In households with dependent children</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Default="00C96A4B" w:rsidP="00614C04">
            <w:pPr>
              <w:spacing w:before="60" w:after="60"/>
              <w:ind w:right="-29"/>
              <w:jc w:val="right"/>
              <w:rPr>
                <w:rFonts w:cs="Arial"/>
                <w:sz w:val="14"/>
                <w:szCs w:val="16"/>
              </w:rPr>
            </w:pP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Total</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20</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18</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19</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19</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ind w:left="356" w:hanging="180"/>
              <w:rPr>
                <w:sz w:val="14"/>
                <w:szCs w:val="16"/>
              </w:rPr>
            </w:pPr>
            <w:r w:rsidRPr="004B7ADB">
              <w:rPr>
                <w:sz w:val="14"/>
                <w:szCs w:val="16"/>
              </w:rPr>
              <w:t>-</w:t>
            </w:r>
            <w:r w:rsidRPr="004B7ADB">
              <w:rPr>
                <w:sz w:val="14"/>
                <w:szCs w:val="16"/>
              </w:rPr>
              <w:tab/>
              <w:t>with 1 child</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17</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17</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19</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ind w:left="356" w:hanging="180"/>
              <w:rPr>
                <w:sz w:val="14"/>
                <w:szCs w:val="16"/>
              </w:rPr>
            </w:pPr>
            <w:r w:rsidRPr="004B7ADB">
              <w:rPr>
                <w:sz w:val="14"/>
                <w:szCs w:val="16"/>
              </w:rPr>
              <w:t>-</w:t>
            </w:r>
            <w:r w:rsidRPr="004B7ADB">
              <w:rPr>
                <w:sz w:val="14"/>
                <w:szCs w:val="16"/>
              </w:rPr>
              <w:tab/>
              <w:t>with 2 children</w:t>
            </w:r>
            <w:r w:rsidRPr="004B7ADB">
              <w:rPr>
                <w:sz w:val="14"/>
                <w:szCs w:val="16"/>
              </w:rPr>
              <w:tab/>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15</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16</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17</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14</w:t>
            </w:r>
          </w:p>
        </w:tc>
      </w:tr>
      <w:tr w:rsidR="00C96A4B">
        <w:trPr>
          <w:jc w:val="center"/>
        </w:trPr>
        <w:tc>
          <w:tcPr>
            <w:tcW w:w="2339" w:type="dxa"/>
            <w:tcBorders>
              <w:top w:val="nil"/>
              <w:left w:val="single" w:sz="4" w:space="0" w:color="auto"/>
              <w:bottom w:val="single" w:sz="4" w:space="0" w:color="auto"/>
              <w:right w:val="single" w:sz="4" w:space="0" w:color="auto"/>
            </w:tcBorders>
            <w:vAlign w:val="center"/>
          </w:tcPr>
          <w:p w:rsidR="00C96A4B" w:rsidRPr="004B7ADB" w:rsidRDefault="00C96A4B" w:rsidP="00614C04">
            <w:pPr>
              <w:spacing w:before="60" w:after="60"/>
              <w:ind w:left="356" w:hanging="180"/>
              <w:rPr>
                <w:sz w:val="14"/>
                <w:szCs w:val="16"/>
              </w:rPr>
            </w:pPr>
            <w:r w:rsidRPr="004B7ADB">
              <w:rPr>
                <w:sz w:val="14"/>
                <w:szCs w:val="16"/>
              </w:rPr>
              <w:t>-</w:t>
            </w:r>
            <w:r w:rsidRPr="004B7ADB">
              <w:rPr>
                <w:sz w:val="14"/>
                <w:szCs w:val="16"/>
              </w:rPr>
              <w:tab/>
              <w:t>with 3 or more children</w:t>
            </w:r>
          </w:p>
        </w:tc>
        <w:tc>
          <w:tcPr>
            <w:tcW w:w="427" w:type="dxa"/>
            <w:tcBorders>
              <w:top w:val="nil"/>
              <w:left w:val="single" w:sz="4" w:space="0" w:color="auto"/>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17</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15</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21</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36</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39</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32</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27</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30</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28</w:t>
            </w:r>
          </w:p>
        </w:tc>
        <w:tc>
          <w:tcPr>
            <w:tcW w:w="428" w:type="dxa"/>
            <w:tcBorders>
              <w:top w:val="nil"/>
              <w:left w:val="nil"/>
              <w:bottom w:val="single" w:sz="4" w:space="0" w:color="auto"/>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single" w:sz="12" w:space="0" w:color="auto"/>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26</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26</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25</w:t>
            </w:r>
          </w:p>
        </w:tc>
        <w:tc>
          <w:tcPr>
            <w:tcW w:w="428" w:type="dxa"/>
            <w:tcBorders>
              <w:top w:val="nil"/>
              <w:left w:val="nil"/>
              <w:bottom w:val="single" w:sz="4" w:space="0" w:color="auto"/>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25</w:t>
            </w:r>
          </w:p>
        </w:tc>
      </w:tr>
      <w:tr w:rsidR="00C96A4B">
        <w:trPr>
          <w:jc w:val="center"/>
        </w:trPr>
        <w:tc>
          <w:tcPr>
            <w:tcW w:w="5334" w:type="dxa"/>
            <w:gridSpan w:val="8"/>
            <w:tcBorders>
              <w:top w:val="single" w:sz="4" w:space="0" w:color="auto"/>
              <w:left w:val="single" w:sz="4" w:space="0" w:color="auto"/>
              <w:bottom w:val="nil"/>
              <w:right w:val="nil"/>
            </w:tcBorders>
            <w:vAlign w:val="center"/>
          </w:tcPr>
          <w:p w:rsidR="00C96A4B" w:rsidRPr="00B15A2B" w:rsidRDefault="00C96A4B" w:rsidP="00614C04">
            <w:pPr>
              <w:spacing w:before="60" w:after="60"/>
              <w:ind w:right="-29"/>
              <w:rPr>
                <w:rFonts w:cs="Arial"/>
                <w:b/>
                <w:sz w:val="14"/>
                <w:szCs w:val="16"/>
              </w:rPr>
            </w:pPr>
            <w:r w:rsidRPr="00B15A2B">
              <w:rPr>
                <w:rFonts w:cs="Arial"/>
                <w:b/>
                <w:sz w:val="14"/>
                <w:szCs w:val="16"/>
              </w:rPr>
              <w:t>In families (EFUs) with dependent children</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Default="00C96A4B" w:rsidP="00614C04">
            <w:pPr>
              <w:spacing w:before="60" w:after="60"/>
              <w:ind w:right="-29"/>
              <w:jc w:val="right"/>
              <w:rPr>
                <w:rFonts w:cs="Arial"/>
                <w:sz w:val="14"/>
                <w:szCs w:val="16"/>
              </w:rPr>
            </w:pP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20" w:after="20"/>
              <w:rPr>
                <w:sz w:val="14"/>
                <w:szCs w:val="16"/>
              </w:rPr>
            </w:pPr>
            <w:r w:rsidRPr="004B7ADB">
              <w:rPr>
                <w:sz w:val="14"/>
                <w:szCs w:val="16"/>
              </w:rPr>
              <w:t>SP families overall</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42</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40</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49</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43</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42</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44</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20" w:after="20"/>
              <w:ind w:left="349" w:hanging="180"/>
              <w:rPr>
                <w:sz w:val="14"/>
                <w:szCs w:val="16"/>
              </w:rPr>
            </w:pPr>
            <w:r w:rsidRPr="004B7ADB">
              <w:rPr>
                <w:sz w:val="14"/>
                <w:szCs w:val="16"/>
              </w:rPr>
              <w:t>-</w:t>
            </w:r>
            <w:r w:rsidRPr="004B7ADB">
              <w:rPr>
                <w:sz w:val="14"/>
                <w:szCs w:val="16"/>
              </w:rPr>
              <w:tab/>
              <w:t>living on their own</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49</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59</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56</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57</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58</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20" w:after="20"/>
              <w:ind w:left="349" w:hanging="180"/>
              <w:rPr>
                <w:sz w:val="14"/>
                <w:szCs w:val="16"/>
              </w:rPr>
            </w:pPr>
            <w:r w:rsidRPr="004B7ADB">
              <w:rPr>
                <w:sz w:val="14"/>
                <w:szCs w:val="16"/>
              </w:rPr>
              <w:t>-</w:t>
            </w:r>
            <w:r w:rsidRPr="004B7ADB">
              <w:rPr>
                <w:sz w:val="14"/>
                <w:szCs w:val="16"/>
              </w:rPr>
              <w:tab/>
              <w:t>within wider HHs</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20</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25</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30</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18</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15</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21</w:t>
            </w:r>
          </w:p>
        </w:tc>
      </w:tr>
      <w:tr w:rsidR="00C96A4B">
        <w:trPr>
          <w:jc w:val="center"/>
        </w:trPr>
        <w:tc>
          <w:tcPr>
            <w:tcW w:w="2339" w:type="dxa"/>
            <w:tcBorders>
              <w:top w:val="nil"/>
              <w:left w:val="single" w:sz="4" w:space="0" w:color="auto"/>
              <w:bottom w:val="single" w:sz="4" w:space="0" w:color="auto"/>
              <w:right w:val="single" w:sz="4" w:space="0" w:color="auto"/>
            </w:tcBorders>
            <w:vAlign w:val="center"/>
          </w:tcPr>
          <w:p w:rsidR="00C96A4B" w:rsidRPr="004B7ADB" w:rsidRDefault="00C96A4B" w:rsidP="00614C04">
            <w:pPr>
              <w:spacing w:before="20"/>
              <w:rPr>
                <w:sz w:val="14"/>
                <w:szCs w:val="16"/>
              </w:rPr>
            </w:pPr>
            <w:r w:rsidRPr="004B7ADB">
              <w:rPr>
                <w:sz w:val="14"/>
                <w:szCs w:val="16"/>
              </w:rPr>
              <w:t>2P families</w:t>
            </w:r>
          </w:p>
        </w:tc>
        <w:tc>
          <w:tcPr>
            <w:tcW w:w="427" w:type="dxa"/>
            <w:tcBorders>
              <w:top w:val="nil"/>
              <w:left w:val="single" w:sz="4" w:space="0" w:color="auto"/>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11</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26</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22</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19</w:t>
            </w:r>
          </w:p>
        </w:tc>
        <w:tc>
          <w:tcPr>
            <w:tcW w:w="428" w:type="dxa"/>
            <w:tcBorders>
              <w:top w:val="nil"/>
              <w:left w:val="nil"/>
              <w:bottom w:val="single" w:sz="4" w:space="0" w:color="auto"/>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16</w:t>
            </w:r>
          </w:p>
        </w:tc>
        <w:tc>
          <w:tcPr>
            <w:tcW w:w="428" w:type="dxa"/>
            <w:tcBorders>
              <w:top w:val="nil"/>
              <w:left w:val="nil"/>
              <w:bottom w:val="single" w:sz="4" w:space="0" w:color="auto"/>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single" w:sz="12" w:space="0" w:color="auto"/>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14</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13</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15</w:t>
            </w:r>
          </w:p>
        </w:tc>
        <w:tc>
          <w:tcPr>
            <w:tcW w:w="428" w:type="dxa"/>
            <w:tcBorders>
              <w:top w:val="nil"/>
              <w:left w:val="nil"/>
              <w:bottom w:val="single" w:sz="4" w:space="0" w:color="auto"/>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12</w:t>
            </w:r>
          </w:p>
        </w:tc>
      </w:tr>
      <w:tr w:rsidR="00C96A4B">
        <w:trPr>
          <w:jc w:val="center"/>
        </w:trPr>
        <w:tc>
          <w:tcPr>
            <w:tcW w:w="5334" w:type="dxa"/>
            <w:gridSpan w:val="8"/>
            <w:tcBorders>
              <w:top w:val="single" w:sz="4" w:space="0" w:color="auto"/>
              <w:left w:val="single" w:sz="4" w:space="0" w:color="auto"/>
              <w:bottom w:val="nil"/>
              <w:right w:val="nil"/>
            </w:tcBorders>
            <w:vAlign w:val="center"/>
          </w:tcPr>
          <w:p w:rsidR="00C96A4B" w:rsidRPr="00B15A2B" w:rsidRDefault="00C96A4B" w:rsidP="00614C04">
            <w:pPr>
              <w:spacing w:before="60" w:after="60"/>
              <w:ind w:right="-29"/>
              <w:rPr>
                <w:rFonts w:cs="Arial"/>
                <w:b/>
                <w:sz w:val="14"/>
                <w:szCs w:val="16"/>
              </w:rPr>
            </w:pPr>
            <w:r w:rsidRPr="00B15A2B">
              <w:rPr>
                <w:b/>
                <w:sz w:val="14"/>
                <w:szCs w:val="16"/>
              </w:rPr>
              <w:t>Those aged under 65, by main source of household income</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p>
        </w:tc>
        <w:tc>
          <w:tcPr>
            <w:tcW w:w="428" w:type="dxa"/>
            <w:tcBorders>
              <w:top w:val="nil"/>
              <w:left w:val="nil"/>
              <w:bottom w:val="nil"/>
              <w:right w:val="nil"/>
            </w:tcBorders>
            <w:tcMar>
              <w:left w:w="29" w:type="dxa"/>
              <w:right w:w="130" w:type="dxa"/>
            </w:tcMar>
            <w:vAlign w:val="center"/>
          </w:tcPr>
          <w:p w:rsidR="00C96A4B" w:rsidRDefault="00C96A4B" w:rsidP="00614C04">
            <w:pPr>
              <w:spacing w:before="60" w:after="60"/>
              <w:ind w:right="-29"/>
              <w:jc w:val="right"/>
              <w:rPr>
                <w:rFonts w:cs="Arial"/>
                <w:sz w:val="14"/>
                <w:szCs w:val="16"/>
              </w:rPr>
            </w:pP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Market</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7</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9</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12</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8</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11</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10</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9</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9</w:t>
            </w:r>
          </w:p>
        </w:tc>
      </w:tr>
      <w:tr w:rsidR="00C96A4B">
        <w:trPr>
          <w:jc w:val="center"/>
        </w:trPr>
        <w:tc>
          <w:tcPr>
            <w:tcW w:w="2339" w:type="dxa"/>
            <w:tcBorders>
              <w:top w:val="nil"/>
              <w:left w:val="single" w:sz="4" w:space="0" w:color="auto"/>
              <w:bottom w:val="nil"/>
              <w:right w:val="single" w:sz="4" w:space="0" w:color="auto"/>
            </w:tcBorders>
            <w:vAlign w:val="center"/>
          </w:tcPr>
          <w:p w:rsidR="00C96A4B" w:rsidRPr="004B7ADB" w:rsidRDefault="00C96A4B" w:rsidP="00614C04">
            <w:pPr>
              <w:spacing w:before="60" w:after="60"/>
              <w:rPr>
                <w:sz w:val="14"/>
                <w:szCs w:val="16"/>
              </w:rPr>
            </w:pPr>
            <w:r w:rsidRPr="004B7ADB">
              <w:rPr>
                <w:sz w:val="14"/>
                <w:szCs w:val="16"/>
              </w:rPr>
              <w:t>Income-tested benefit</w:t>
            </w:r>
          </w:p>
        </w:tc>
        <w:tc>
          <w:tcPr>
            <w:tcW w:w="427" w:type="dxa"/>
            <w:tcBorders>
              <w:top w:val="nil"/>
              <w:left w:val="single" w:sz="4" w:space="0" w:color="auto"/>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33</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28</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24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64</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66</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65</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61</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62</w:t>
            </w:r>
          </w:p>
        </w:tc>
        <w:tc>
          <w:tcPr>
            <w:tcW w:w="428" w:type="dxa"/>
            <w:tcBorders>
              <w:top w:val="nil"/>
              <w:left w:val="nil"/>
              <w:bottom w:val="nil"/>
              <w:right w:val="nil"/>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56</w:t>
            </w:r>
          </w:p>
        </w:tc>
        <w:tc>
          <w:tcPr>
            <w:tcW w:w="428" w:type="dxa"/>
            <w:tcBorders>
              <w:top w:val="nil"/>
              <w:left w:val="nil"/>
              <w:bottom w:val="nil"/>
              <w:right w:val="single" w:sz="12" w:space="0" w:color="auto"/>
            </w:tcBorders>
            <w:tcMar>
              <w:left w:w="29" w:type="dxa"/>
              <w:right w:w="130" w:type="dxa"/>
            </w:tcMar>
            <w:vAlign w:val="center"/>
          </w:tcPr>
          <w:p w:rsidR="00C96A4B" w:rsidRPr="00C6486D" w:rsidRDefault="00C96A4B" w:rsidP="00614C04">
            <w:pPr>
              <w:spacing w:before="60" w:after="60"/>
              <w:ind w:right="-29"/>
              <w:jc w:val="right"/>
              <w:rPr>
                <w:rFonts w:cs="Arial"/>
                <w:sz w:val="14"/>
                <w:szCs w:val="16"/>
              </w:rPr>
            </w:pPr>
            <w:r w:rsidRPr="00C6486D">
              <w:rPr>
                <w:rFonts w:cs="Arial"/>
                <w:sz w:val="14"/>
                <w:szCs w:val="16"/>
              </w:rPr>
              <w:t>54</w:t>
            </w:r>
          </w:p>
        </w:tc>
        <w:tc>
          <w:tcPr>
            <w:tcW w:w="428" w:type="dxa"/>
            <w:tcBorders>
              <w:top w:val="nil"/>
              <w:left w:val="single" w:sz="12" w:space="0" w:color="auto"/>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73</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75</w:t>
            </w:r>
          </w:p>
        </w:tc>
        <w:tc>
          <w:tcPr>
            <w:tcW w:w="428" w:type="dxa"/>
            <w:tcBorders>
              <w:top w:val="nil"/>
              <w:left w:val="nil"/>
              <w:bottom w:val="nil"/>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63</w:t>
            </w:r>
          </w:p>
        </w:tc>
        <w:tc>
          <w:tcPr>
            <w:tcW w:w="428" w:type="dxa"/>
            <w:tcBorders>
              <w:top w:val="nil"/>
              <w:left w:val="nil"/>
              <w:bottom w:val="nil"/>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65</w:t>
            </w:r>
          </w:p>
        </w:tc>
      </w:tr>
      <w:tr w:rsidR="00C96A4B">
        <w:trPr>
          <w:jc w:val="center"/>
        </w:trPr>
        <w:tc>
          <w:tcPr>
            <w:tcW w:w="2339" w:type="dxa"/>
            <w:tcBorders>
              <w:top w:val="nil"/>
              <w:left w:val="single" w:sz="4" w:space="0" w:color="auto"/>
              <w:bottom w:val="single" w:sz="4" w:space="0" w:color="auto"/>
              <w:right w:val="single" w:sz="4" w:space="0" w:color="auto"/>
            </w:tcBorders>
            <w:vAlign w:val="center"/>
          </w:tcPr>
          <w:p w:rsidR="00C96A4B" w:rsidRPr="004B7ADB" w:rsidRDefault="00C96A4B" w:rsidP="00614C04">
            <w:pPr>
              <w:spacing w:before="60" w:after="60"/>
              <w:rPr>
                <w:sz w:val="14"/>
                <w:szCs w:val="16"/>
              </w:rPr>
            </w:pPr>
            <w:r w:rsidRPr="004B7ADB">
              <w:rPr>
                <w:sz w:val="14"/>
                <w:szCs w:val="16"/>
              </w:rPr>
              <w:t>All in households under 65</w:t>
            </w:r>
          </w:p>
        </w:tc>
        <w:tc>
          <w:tcPr>
            <w:tcW w:w="427" w:type="dxa"/>
            <w:tcBorders>
              <w:top w:val="nil"/>
              <w:left w:val="single" w:sz="4" w:space="0" w:color="auto"/>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10</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8</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9</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12</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23</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25</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23</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19</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20</w:t>
            </w:r>
          </w:p>
        </w:tc>
        <w:tc>
          <w:tcPr>
            <w:tcW w:w="428" w:type="dxa"/>
            <w:tcBorders>
              <w:top w:val="nil"/>
              <w:left w:val="nil"/>
              <w:bottom w:val="single" w:sz="4" w:space="0" w:color="auto"/>
              <w:right w:val="nil"/>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18</w:t>
            </w:r>
          </w:p>
        </w:tc>
        <w:tc>
          <w:tcPr>
            <w:tcW w:w="428" w:type="dxa"/>
            <w:tcBorders>
              <w:top w:val="nil"/>
              <w:left w:val="nil"/>
              <w:bottom w:val="single" w:sz="4" w:space="0" w:color="auto"/>
              <w:right w:val="single" w:sz="12" w:space="0" w:color="auto"/>
            </w:tcBorders>
            <w:tcMar>
              <w:left w:w="29" w:type="dxa"/>
              <w:right w:w="130" w:type="dxa"/>
            </w:tcMar>
            <w:vAlign w:val="center"/>
          </w:tcPr>
          <w:p w:rsidR="00C96A4B" w:rsidRPr="000C51F6" w:rsidRDefault="00C96A4B" w:rsidP="00614C04">
            <w:pPr>
              <w:spacing w:before="60" w:after="60"/>
              <w:ind w:right="-29"/>
              <w:jc w:val="right"/>
              <w:rPr>
                <w:rFonts w:cs="Arial"/>
                <w:sz w:val="14"/>
                <w:szCs w:val="16"/>
              </w:rPr>
            </w:pPr>
            <w:r w:rsidRPr="000C51F6">
              <w:rPr>
                <w:rFonts w:cs="Arial"/>
                <w:sz w:val="14"/>
                <w:szCs w:val="16"/>
              </w:rPr>
              <w:t>14</w:t>
            </w:r>
          </w:p>
        </w:tc>
        <w:tc>
          <w:tcPr>
            <w:tcW w:w="428" w:type="dxa"/>
            <w:tcBorders>
              <w:top w:val="nil"/>
              <w:left w:val="single" w:sz="12" w:space="0" w:color="auto"/>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19</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sidRPr="004B7ADB">
              <w:rPr>
                <w:rFonts w:cs="Arial"/>
                <w:sz w:val="14"/>
                <w:szCs w:val="16"/>
              </w:rPr>
              <w:t>16</w:t>
            </w:r>
          </w:p>
        </w:tc>
        <w:tc>
          <w:tcPr>
            <w:tcW w:w="428" w:type="dxa"/>
            <w:tcBorders>
              <w:top w:val="nil"/>
              <w:left w:val="nil"/>
              <w:bottom w:val="single" w:sz="4" w:space="0" w:color="auto"/>
              <w:right w:val="nil"/>
            </w:tcBorders>
            <w:tcMar>
              <w:left w:w="29" w:type="dxa"/>
              <w:right w:w="130" w:type="dxa"/>
            </w:tcMar>
            <w:vAlign w:val="center"/>
          </w:tcPr>
          <w:p w:rsidR="00C96A4B" w:rsidRPr="004B7ADB" w:rsidRDefault="00C96A4B" w:rsidP="00614C04">
            <w:pPr>
              <w:spacing w:before="60" w:after="60"/>
              <w:ind w:right="-29"/>
              <w:jc w:val="right"/>
              <w:rPr>
                <w:rFonts w:cs="Arial"/>
                <w:sz w:val="14"/>
                <w:szCs w:val="16"/>
              </w:rPr>
            </w:pPr>
            <w:r>
              <w:rPr>
                <w:rFonts w:cs="Arial"/>
                <w:sz w:val="14"/>
                <w:szCs w:val="16"/>
              </w:rPr>
              <w:t>16</w:t>
            </w:r>
          </w:p>
        </w:tc>
        <w:tc>
          <w:tcPr>
            <w:tcW w:w="428" w:type="dxa"/>
            <w:tcBorders>
              <w:top w:val="nil"/>
              <w:left w:val="nil"/>
              <w:bottom w:val="single" w:sz="4" w:space="0" w:color="auto"/>
              <w:right w:val="single" w:sz="4" w:space="0" w:color="auto"/>
            </w:tcBorders>
            <w:tcMar>
              <w:left w:w="29" w:type="dxa"/>
              <w:right w:w="130" w:type="dxa"/>
            </w:tcMar>
            <w:vAlign w:val="center"/>
          </w:tcPr>
          <w:p w:rsidR="00C96A4B" w:rsidRDefault="00C96A4B" w:rsidP="00614C04">
            <w:pPr>
              <w:spacing w:before="60" w:after="60"/>
              <w:ind w:right="-29"/>
              <w:jc w:val="right"/>
              <w:rPr>
                <w:rFonts w:cs="Arial"/>
                <w:sz w:val="14"/>
                <w:szCs w:val="16"/>
              </w:rPr>
            </w:pPr>
            <w:r>
              <w:rPr>
                <w:rFonts w:cs="Arial"/>
                <w:sz w:val="14"/>
                <w:szCs w:val="16"/>
              </w:rPr>
              <w:t>17</w:t>
            </w:r>
          </w:p>
        </w:tc>
      </w:tr>
    </w:tbl>
    <w:p w:rsidR="00C96A4B" w:rsidRDefault="00C96A4B" w:rsidP="00C96A4B">
      <w:pPr>
        <w:ind w:left="360"/>
        <w:jc w:val="both"/>
        <w:rPr>
          <w:sz w:val="18"/>
          <w:szCs w:val="18"/>
        </w:rPr>
      </w:pPr>
    </w:p>
    <w:p w:rsidR="00C96A4B" w:rsidRPr="00724BD4" w:rsidRDefault="00C96A4B" w:rsidP="00C96A4B">
      <w:pPr>
        <w:tabs>
          <w:tab w:val="left" w:pos="630"/>
        </w:tabs>
        <w:ind w:left="900" w:hanging="900"/>
        <w:rPr>
          <w:sz w:val="16"/>
          <w:szCs w:val="16"/>
        </w:rPr>
      </w:pPr>
      <w:r w:rsidRPr="00D0078E">
        <w:rPr>
          <w:sz w:val="16"/>
          <w:szCs w:val="16"/>
        </w:rPr>
        <w:t xml:space="preserve">Notes: </w:t>
      </w:r>
      <w:r>
        <w:rPr>
          <w:sz w:val="16"/>
          <w:szCs w:val="16"/>
        </w:rPr>
        <w:tab/>
      </w:r>
      <w:r w:rsidRPr="00724BD4">
        <w:rPr>
          <w:sz w:val="16"/>
          <w:szCs w:val="16"/>
        </w:rPr>
        <w:t xml:space="preserve">1  </w:t>
      </w:r>
      <w:r w:rsidRPr="00724BD4">
        <w:rPr>
          <w:sz w:val="16"/>
          <w:szCs w:val="16"/>
        </w:rPr>
        <w:tab/>
        <w:t>‘01’ means the 2000-01 HES year, and so on.</w:t>
      </w:r>
    </w:p>
    <w:p w:rsidR="00C96A4B" w:rsidRPr="00724BD4" w:rsidRDefault="00C96A4B" w:rsidP="00C96A4B">
      <w:pPr>
        <w:tabs>
          <w:tab w:val="left" w:pos="630"/>
        </w:tabs>
        <w:spacing w:before="60"/>
        <w:ind w:left="907" w:hanging="907"/>
        <w:jc w:val="both"/>
        <w:rPr>
          <w:sz w:val="16"/>
          <w:szCs w:val="16"/>
        </w:rPr>
      </w:pPr>
      <w:r w:rsidRPr="00724BD4">
        <w:rPr>
          <w:sz w:val="16"/>
          <w:szCs w:val="16"/>
        </w:rPr>
        <w:tab/>
        <w:t>2</w:t>
      </w:r>
      <w:r w:rsidRPr="00724BD4">
        <w:rPr>
          <w:sz w:val="16"/>
          <w:szCs w:val="16"/>
        </w:rPr>
        <w:tab/>
        <w:t>Around one in three sole-parent families (EFUs) live in wider households with others.</w:t>
      </w:r>
      <w:r>
        <w:rPr>
          <w:sz w:val="16"/>
          <w:szCs w:val="16"/>
        </w:rPr>
        <w:t xml:space="preserve">   </w:t>
      </w:r>
      <w:r w:rsidRPr="00724BD4">
        <w:rPr>
          <w:sz w:val="16"/>
          <w:szCs w:val="16"/>
        </w:rPr>
        <w:t>Note that individuals</w:t>
      </w:r>
      <w:r>
        <w:rPr>
          <w:sz w:val="16"/>
          <w:szCs w:val="16"/>
        </w:rPr>
        <w:t xml:space="preserve"> in the </w:t>
      </w:r>
      <w:smartTag w:uri="urn:schemas-microsoft-com:office:smarttags" w:element="stockticker">
        <w:r>
          <w:rPr>
            <w:sz w:val="16"/>
            <w:szCs w:val="16"/>
          </w:rPr>
          <w:t>EFU</w:t>
        </w:r>
      </w:smartTag>
      <w:r>
        <w:rPr>
          <w:sz w:val="16"/>
          <w:szCs w:val="16"/>
        </w:rPr>
        <w:t xml:space="preserve"> analysis in Table G.6</w:t>
      </w:r>
      <w:r w:rsidRPr="00724BD4">
        <w:rPr>
          <w:sz w:val="16"/>
          <w:szCs w:val="16"/>
        </w:rPr>
        <w:t xml:space="preserve"> retain the equivalised income of their household of origin for this analysis</w:t>
      </w:r>
      <w:r w:rsidRPr="00724BD4">
        <w:rPr>
          <w:b/>
          <w:sz w:val="16"/>
          <w:szCs w:val="16"/>
        </w:rPr>
        <w:t xml:space="preserve"> </w:t>
      </w:r>
      <w:r w:rsidRPr="00724BD4">
        <w:rPr>
          <w:sz w:val="16"/>
          <w:szCs w:val="16"/>
        </w:rPr>
        <w:t xml:space="preserve">on the grounds that those in the wider households share to a reasonable degree in the benefits of the wider households and the economies of scale. </w:t>
      </w:r>
    </w:p>
    <w:p w:rsidR="00C96A4B" w:rsidRPr="00724BD4" w:rsidRDefault="00C96A4B" w:rsidP="00C96A4B">
      <w:pPr>
        <w:jc w:val="center"/>
        <w:rPr>
          <w:b/>
          <w:sz w:val="16"/>
          <w:szCs w:val="16"/>
        </w:rPr>
      </w:pPr>
    </w:p>
    <w:p w:rsidR="00C96A4B" w:rsidRPr="00351937" w:rsidRDefault="00C96A4B" w:rsidP="00C96A4B">
      <w:pPr>
        <w:tabs>
          <w:tab w:val="left" w:pos="900"/>
        </w:tabs>
        <w:ind w:left="630" w:hanging="630"/>
        <w:jc w:val="center"/>
        <w:rPr>
          <w:sz w:val="16"/>
          <w:szCs w:val="16"/>
        </w:rPr>
      </w:pPr>
      <w:r>
        <w:rPr>
          <w:b/>
          <w:sz w:val="18"/>
          <w:szCs w:val="18"/>
        </w:rPr>
        <w:br w:type="page"/>
      </w:r>
      <w:r w:rsidRPr="009D129E">
        <w:rPr>
          <w:rFonts w:cs="Arial"/>
          <w:b/>
          <w:sz w:val="18"/>
        </w:rPr>
        <w:lastRenderedPageBreak/>
        <w:t>Table G.</w:t>
      </w:r>
      <w:r>
        <w:rPr>
          <w:rFonts w:cs="Arial"/>
          <w:b/>
          <w:sz w:val="18"/>
        </w:rPr>
        <w:t>7</w:t>
      </w:r>
    </w:p>
    <w:p w:rsidR="00C96A4B" w:rsidRPr="009D129E" w:rsidRDefault="00C96A4B" w:rsidP="00C96A4B">
      <w:pPr>
        <w:jc w:val="center"/>
        <w:rPr>
          <w:b/>
          <w:sz w:val="18"/>
        </w:rPr>
      </w:pPr>
      <w:r w:rsidRPr="009D129E">
        <w:rPr>
          <w:b/>
          <w:sz w:val="18"/>
        </w:rPr>
        <w:t xml:space="preserve">Individuals in low-income households by household type </w:t>
      </w:r>
    </w:p>
    <w:p w:rsidR="00C96A4B" w:rsidRPr="009D129E" w:rsidRDefault="00C96A4B" w:rsidP="00C96A4B">
      <w:pPr>
        <w:jc w:val="center"/>
        <w:rPr>
          <w:rFonts w:cs="Arial"/>
          <w:b/>
          <w:sz w:val="16"/>
          <w:szCs w:val="18"/>
        </w:rPr>
      </w:pPr>
      <w:r w:rsidRPr="009D129E">
        <w:rPr>
          <w:b/>
          <w:sz w:val="18"/>
        </w:rPr>
        <w:t xml:space="preserve">60% </w:t>
      </w:r>
      <w:smartTag w:uri="urn:schemas-microsoft-com:office:smarttags" w:element="stockticker">
        <w:r w:rsidRPr="009D129E">
          <w:rPr>
            <w:b/>
            <w:sz w:val="18"/>
          </w:rPr>
          <w:t>AHC</w:t>
        </w:r>
      </w:smartTag>
      <w:r w:rsidRPr="009D129E">
        <w:rPr>
          <w:b/>
          <w:sz w:val="18"/>
        </w:rPr>
        <w:t xml:space="preserve"> CV</w:t>
      </w:r>
    </w:p>
    <w:p w:rsidR="00C96A4B" w:rsidRPr="009D129E" w:rsidRDefault="00C96A4B" w:rsidP="00C96A4B">
      <w:pPr>
        <w:spacing w:before="120"/>
        <w:ind w:left="187"/>
        <w:jc w:val="center"/>
        <w:rPr>
          <w:b/>
          <w:sz w:val="18"/>
        </w:rPr>
      </w:pPr>
      <w:r w:rsidRPr="009D129E">
        <w:rPr>
          <w:b/>
          <w:sz w:val="18"/>
        </w:rPr>
        <w:t>Composition of those below the threshold, by household type</w:t>
      </w:r>
    </w:p>
    <w:p w:rsidR="00C96A4B" w:rsidRPr="008840CF" w:rsidRDefault="00C96A4B" w:rsidP="00C96A4B">
      <w:pPr>
        <w:spacing w:after="120"/>
        <w:ind w:left="187"/>
        <w:jc w:val="center"/>
        <w:rPr>
          <w:rFonts w:cs="Arial"/>
          <w:sz w:val="18"/>
        </w:rPr>
      </w:pPr>
      <w:r w:rsidRPr="009D129E">
        <w:rPr>
          <w:sz w:val="18"/>
        </w:rPr>
        <w:t>(add down columns for 100%)</w:t>
      </w:r>
    </w:p>
    <w:tbl>
      <w:tblPr>
        <w:tblStyle w:val="TableGrid"/>
        <w:tblW w:w="8619" w:type="dxa"/>
        <w:jc w:val="center"/>
        <w:tblLayout w:type="fixed"/>
        <w:tblLook w:val="01E0"/>
      </w:tblPr>
      <w:tblGrid>
        <w:gridCol w:w="21"/>
        <w:gridCol w:w="1859"/>
        <w:gridCol w:w="22"/>
        <w:gridCol w:w="425"/>
        <w:gridCol w:w="22"/>
        <w:gridCol w:w="426"/>
        <w:gridCol w:w="22"/>
        <w:gridCol w:w="426"/>
        <w:gridCol w:w="21"/>
        <w:gridCol w:w="426"/>
        <w:gridCol w:w="22"/>
        <w:gridCol w:w="426"/>
        <w:gridCol w:w="22"/>
        <w:gridCol w:w="426"/>
        <w:gridCol w:w="21"/>
        <w:gridCol w:w="427"/>
        <w:gridCol w:w="21"/>
        <w:gridCol w:w="426"/>
        <w:gridCol w:w="22"/>
        <w:gridCol w:w="426"/>
        <w:gridCol w:w="21"/>
        <w:gridCol w:w="427"/>
        <w:gridCol w:w="21"/>
        <w:gridCol w:w="426"/>
        <w:gridCol w:w="22"/>
        <w:gridCol w:w="426"/>
        <w:gridCol w:w="21"/>
        <w:gridCol w:w="427"/>
        <w:gridCol w:w="21"/>
        <w:gridCol w:w="427"/>
        <w:gridCol w:w="21"/>
        <w:gridCol w:w="429"/>
        <w:gridCol w:w="21"/>
      </w:tblGrid>
      <w:tr w:rsidR="00C96A4B">
        <w:trPr>
          <w:gridBefore w:val="1"/>
          <w:wBefore w:w="21" w:type="dxa"/>
          <w:jc w:val="center"/>
        </w:trPr>
        <w:tc>
          <w:tcPr>
            <w:tcW w:w="1881" w:type="dxa"/>
            <w:gridSpan w:val="2"/>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C96A4B" w:rsidRPr="001D63D2" w:rsidRDefault="00C96A4B" w:rsidP="00614C04">
            <w:pPr>
              <w:spacing w:before="20" w:after="20"/>
              <w:rPr>
                <w:sz w:val="14"/>
                <w:szCs w:val="16"/>
              </w:rPr>
            </w:pPr>
          </w:p>
        </w:tc>
        <w:tc>
          <w:tcPr>
            <w:tcW w:w="447" w:type="dxa"/>
            <w:gridSpan w:val="2"/>
            <w:tcBorders>
              <w:top w:val="single" w:sz="4" w:space="0" w:color="auto"/>
              <w:left w:val="single" w:sz="4" w:space="0" w:color="auto"/>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86</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88</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90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92</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94</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96</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98</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01</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04</w:t>
            </w:r>
          </w:p>
        </w:tc>
        <w:tc>
          <w:tcPr>
            <w:tcW w:w="448" w:type="dxa"/>
            <w:gridSpan w:val="2"/>
            <w:tcBorders>
              <w:top w:val="single" w:sz="4" w:space="0" w:color="auto"/>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07</w:t>
            </w:r>
          </w:p>
        </w:tc>
        <w:tc>
          <w:tcPr>
            <w:tcW w:w="448" w:type="dxa"/>
            <w:gridSpan w:val="2"/>
            <w:tcBorders>
              <w:top w:val="single" w:sz="4" w:space="0" w:color="auto"/>
              <w:left w:val="single" w:sz="12" w:space="0" w:color="auto"/>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07</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09</w:t>
            </w:r>
          </w:p>
        </w:tc>
        <w:tc>
          <w:tcPr>
            <w:tcW w:w="448" w:type="dxa"/>
            <w:gridSpan w:val="2"/>
            <w:tcBorders>
              <w:top w:val="single" w:sz="4" w:space="0" w:color="auto"/>
              <w:left w:val="nil"/>
              <w:bottom w:val="single" w:sz="4" w:space="0" w:color="auto"/>
              <w:right w:val="nil"/>
            </w:tcBorders>
            <w:vAlign w:val="center"/>
          </w:tcPr>
          <w:p w:rsidR="00C96A4B" w:rsidRPr="001D63D2" w:rsidRDefault="00C96A4B" w:rsidP="00614C04">
            <w:pPr>
              <w:spacing w:before="20" w:after="20"/>
              <w:jc w:val="center"/>
              <w:rPr>
                <w:rFonts w:cs="Arial"/>
                <w:sz w:val="14"/>
                <w:szCs w:val="16"/>
              </w:rPr>
            </w:pPr>
            <w:r>
              <w:rPr>
                <w:rFonts w:cs="Arial"/>
                <w:sz w:val="14"/>
                <w:szCs w:val="16"/>
              </w:rPr>
              <w:t>10</w:t>
            </w:r>
          </w:p>
        </w:tc>
        <w:tc>
          <w:tcPr>
            <w:tcW w:w="448" w:type="dxa"/>
            <w:gridSpan w:val="2"/>
            <w:tcBorders>
              <w:top w:val="single" w:sz="4" w:space="0" w:color="auto"/>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11</w:t>
            </w:r>
          </w:p>
        </w:tc>
        <w:tc>
          <w:tcPr>
            <w:tcW w:w="450" w:type="dxa"/>
            <w:gridSpan w:val="2"/>
            <w:tcBorders>
              <w:top w:val="single" w:sz="4" w:space="0" w:color="auto"/>
              <w:left w:val="single" w:sz="12" w:space="0" w:color="auto"/>
              <w:bottom w:val="single" w:sz="4" w:space="0" w:color="auto"/>
              <w:right w:val="single" w:sz="4" w:space="0" w:color="auto"/>
            </w:tcBorders>
            <w:noWrap/>
            <w:tcMar>
              <w:left w:w="29" w:type="dxa"/>
              <w:right w:w="29" w:type="dxa"/>
            </w:tcMar>
            <w:vAlign w:val="center"/>
          </w:tcPr>
          <w:p w:rsidR="00C96A4B" w:rsidRPr="001D63D2" w:rsidRDefault="00C96A4B" w:rsidP="00614C04">
            <w:pPr>
              <w:spacing w:before="20" w:after="20"/>
              <w:jc w:val="center"/>
              <w:rPr>
                <w:rFonts w:cs="Arial"/>
                <w:sz w:val="14"/>
                <w:szCs w:val="16"/>
              </w:rPr>
            </w:pPr>
            <w:r>
              <w:rPr>
                <w:rFonts w:cs="Arial"/>
                <w:sz w:val="14"/>
                <w:szCs w:val="16"/>
              </w:rPr>
              <w:t>Popln in ‘11’</w:t>
            </w:r>
          </w:p>
        </w:tc>
      </w:tr>
      <w:tr w:rsidR="00C96A4B">
        <w:trPr>
          <w:gridBefore w:val="1"/>
          <w:wBefore w:w="21" w:type="dxa"/>
          <w:jc w:val="center"/>
        </w:trPr>
        <w:tc>
          <w:tcPr>
            <w:tcW w:w="1881" w:type="dxa"/>
            <w:gridSpan w:val="2"/>
            <w:tcBorders>
              <w:top w:val="single" w:sz="4" w:space="0" w:color="auto"/>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 xml:space="preserve">Single 65+   </w:t>
            </w:r>
            <w:r w:rsidRPr="001D63D2">
              <w:rPr>
                <w:sz w:val="14"/>
                <w:szCs w:val="16"/>
              </w:rPr>
              <w:tab/>
            </w:r>
          </w:p>
        </w:tc>
        <w:tc>
          <w:tcPr>
            <w:tcW w:w="447" w:type="dxa"/>
            <w:gridSpan w:val="2"/>
            <w:tcBorders>
              <w:top w:val="single" w:sz="4" w:space="0" w:color="auto"/>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w:t>
            </w:r>
          </w:p>
        </w:tc>
        <w:tc>
          <w:tcPr>
            <w:tcW w:w="448"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7"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7"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7"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single" w:sz="4" w:space="0" w:color="auto"/>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single" w:sz="4" w:space="0" w:color="auto"/>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4</w:t>
            </w:r>
          </w:p>
        </w:tc>
        <w:tc>
          <w:tcPr>
            <w:tcW w:w="447" w:type="dxa"/>
            <w:gridSpan w:val="2"/>
            <w:tcBorders>
              <w:top w:val="single" w:sz="4" w:space="0" w:color="auto"/>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4</w:t>
            </w:r>
          </w:p>
        </w:tc>
        <w:tc>
          <w:tcPr>
            <w:tcW w:w="448" w:type="dxa"/>
            <w:gridSpan w:val="2"/>
            <w:tcBorders>
              <w:top w:val="single" w:sz="4" w:space="0" w:color="auto"/>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single" w:sz="4" w:space="0" w:color="auto"/>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50" w:type="dxa"/>
            <w:gridSpan w:val="2"/>
            <w:tcBorders>
              <w:top w:val="single" w:sz="4" w:space="0" w:color="auto"/>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w:t>
            </w:r>
          </w:p>
        </w:tc>
      </w:tr>
      <w:tr w:rsidR="00C96A4B">
        <w:trPr>
          <w:gridBefore w:val="1"/>
          <w:wBefore w:w="21" w:type="dxa"/>
          <w:trHeight w:val="215"/>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 xml:space="preserve">Couple 65+  </w:t>
            </w:r>
            <w:r w:rsidRPr="001D63D2">
              <w:rPr>
                <w:sz w:val="14"/>
                <w:szCs w:val="16"/>
              </w:rPr>
              <w:tab/>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4</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3</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8</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Single under 65</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8</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11</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9</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9</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9</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11</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Couple under 65</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9</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8</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9</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10</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9</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7</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11</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13</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Sole-parent with children</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14</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11</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24</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22</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28</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25</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26</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19</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25</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22</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27</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24</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25</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8</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Two-parent with children</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60</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51</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48</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50</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43</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41</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41</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35</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26</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31</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32</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38</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30</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37</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Other fam HHs with ch</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9</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8</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10</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11</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9</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6</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7</w:t>
            </w:r>
          </w:p>
        </w:tc>
      </w:tr>
      <w:tr w:rsidR="00C96A4B">
        <w:trPr>
          <w:gridBefore w:val="1"/>
          <w:wBefore w:w="21" w:type="dxa"/>
          <w:jc w:val="center"/>
        </w:trPr>
        <w:tc>
          <w:tcPr>
            <w:tcW w:w="1881" w:type="dxa"/>
            <w:gridSpan w:val="2"/>
            <w:tcBorders>
              <w:top w:val="nil"/>
              <w:left w:val="single" w:sz="4" w:space="0" w:color="auto"/>
              <w:bottom w:val="nil"/>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Other fam HHs, adults only</w:t>
            </w:r>
          </w:p>
        </w:tc>
        <w:tc>
          <w:tcPr>
            <w:tcW w:w="447" w:type="dxa"/>
            <w:gridSpan w:val="2"/>
            <w:tcBorders>
              <w:top w:val="nil"/>
              <w:left w:val="single" w:sz="4"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&lt;1</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w:t>
            </w:r>
          </w:p>
        </w:tc>
        <w:tc>
          <w:tcPr>
            <w:tcW w:w="448"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9</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single" w:sz="12" w:space="0" w:color="auto"/>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7</w:t>
            </w:r>
          </w:p>
        </w:tc>
        <w:tc>
          <w:tcPr>
            <w:tcW w:w="447" w:type="dxa"/>
            <w:gridSpan w:val="2"/>
            <w:tcBorders>
              <w:top w:val="nil"/>
              <w:left w:val="nil"/>
              <w:bottom w:val="nil"/>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8</w:t>
            </w:r>
          </w:p>
        </w:tc>
        <w:tc>
          <w:tcPr>
            <w:tcW w:w="448" w:type="dxa"/>
            <w:gridSpan w:val="2"/>
            <w:tcBorders>
              <w:top w:val="nil"/>
              <w:left w:val="nil"/>
              <w:bottom w:val="nil"/>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7</w:t>
            </w:r>
          </w:p>
        </w:tc>
        <w:tc>
          <w:tcPr>
            <w:tcW w:w="448" w:type="dxa"/>
            <w:gridSpan w:val="2"/>
            <w:tcBorders>
              <w:top w:val="nil"/>
              <w:left w:val="nil"/>
              <w:bottom w:val="nil"/>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50" w:type="dxa"/>
            <w:gridSpan w:val="2"/>
            <w:tcBorders>
              <w:top w:val="nil"/>
              <w:left w:val="single" w:sz="12" w:space="0" w:color="auto"/>
              <w:bottom w:val="nil"/>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9</w:t>
            </w:r>
          </w:p>
        </w:tc>
      </w:tr>
      <w:tr w:rsidR="00C96A4B">
        <w:trPr>
          <w:gridBefore w:val="1"/>
          <w:wBefore w:w="21" w:type="dxa"/>
          <w:jc w:val="center"/>
        </w:trPr>
        <w:tc>
          <w:tcPr>
            <w:tcW w:w="1881" w:type="dxa"/>
            <w:gridSpan w:val="2"/>
            <w:tcBorders>
              <w:top w:val="nil"/>
              <w:left w:val="single" w:sz="4" w:space="0" w:color="auto"/>
              <w:bottom w:val="single" w:sz="4" w:space="0" w:color="auto"/>
              <w:right w:val="single" w:sz="4" w:space="0" w:color="auto"/>
            </w:tcBorders>
            <w:tcMar>
              <w:left w:w="29" w:type="dxa"/>
              <w:right w:w="29" w:type="dxa"/>
            </w:tcMar>
            <w:vAlign w:val="center"/>
          </w:tcPr>
          <w:p w:rsidR="00C96A4B" w:rsidRPr="001D63D2" w:rsidRDefault="00C96A4B" w:rsidP="00614C04">
            <w:pPr>
              <w:spacing w:before="40" w:after="40"/>
              <w:rPr>
                <w:sz w:val="14"/>
                <w:szCs w:val="16"/>
              </w:rPr>
            </w:pPr>
            <w:r w:rsidRPr="001D63D2">
              <w:rPr>
                <w:sz w:val="14"/>
                <w:szCs w:val="16"/>
              </w:rPr>
              <w:t>Non-family HHs</w:t>
            </w:r>
          </w:p>
        </w:tc>
        <w:tc>
          <w:tcPr>
            <w:tcW w:w="447" w:type="dxa"/>
            <w:gridSpan w:val="2"/>
            <w:tcBorders>
              <w:top w:val="nil"/>
              <w:left w:val="single" w:sz="4" w:space="0" w:color="auto"/>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2</w:t>
            </w:r>
          </w:p>
        </w:tc>
        <w:tc>
          <w:tcPr>
            <w:tcW w:w="448"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7"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4</w:t>
            </w:r>
          </w:p>
        </w:tc>
        <w:tc>
          <w:tcPr>
            <w:tcW w:w="447"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3</w:t>
            </w:r>
          </w:p>
        </w:tc>
        <w:tc>
          <w:tcPr>
            <w:tcW w:w="448"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7"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5</w:t>
            </w:r>
          </w:p>
        </w:tc>
        <w:tc>
          <w:tcPr>
            <w:tcW w:w="448" w:type="dxa"/>
            <w:gridSpan w:val="2"/>
            <w:tcBorders>
              <w:top w:val="nil"/>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48" w:type="dxa"/>
            <w:gridSpan w:val="2"/>
            <w:tcBorders>
              <w:top w:val="nil"/>
              <w:left w:val="single" w:sz="12" w:space="0" w:color="auto"/>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5</w:t>
            </w:r>
          </w:p>
        </w:tc>
        <w:tc>
          <w:tcPr>
            <w:tcW w:w="447" w:type="dxa"/>
            <w:gridSpan w:val="2"/>
            <w:tcBorders>
              <w:top w:val="nil"/>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4</w:t>
            </w:r>
          </w:p>
        </w:tc>
        <w:tc>
          <w:tcPr>
            <w:tcW w:w="448" w:type="dxa"/>
            <w:gridSpan w:val="2"/>
            <w:tcBorders>
              <w:top w:val="nil"/>
              <w:left w:val="nil"/>
              <w:bottom w:val="single" w:sz="4" w:space="0" w:color="auto"/>
              <w:right w:val="nil"/>
            </w:tcBorders>
            <w:vAlign w:val="center"/>
          </w:tcPr>
          <w:p w:rsidR="00C96A4B" w:rsidRPr="001D63D2" w:rsidRDefault="00C96A4B" w:rsidP="00614C04">
            <w:pPr>
              <w:spacing w:before="40" w:after="40"/>
              <w:jc w:val="center"/>
              <w:rPr>
                <w:rFonts w:cs="Arial"/>
                <w:sz w:val="14"/>
                <w:szCs w:val="16"/>
              </w:rPr>
            </w:pPr>
            <w:r>
              <w:rPr>
                <w:rFonts w:cs="Arial"/>
                <w:sz w:val="14"/>
                <w:szCs w:val="16"/>
              </w:rPr>
              <w:t>4</w:t>
            </w:r>
          </w:p>
        </w:tc>
        <w:tc>
          <w:tcPr>
            <w:tcW w:w="448" w:type="dxa"/>
            <w:gridSpan w:val="2"/>
            <w:tcBorders>
              <w:top w:val="nil"/>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c>
          <w:tcPr>
            <w:tcW w:w="450" w:type="dxa"/>
            <w:gridSpan w:val="2"/>
            <w:tcBorders>
              <w:top w:val="nil"/>
              <w:left w:val="single" w:sz="12" w:space="0" w:color="auto"/>
              <w:bottom w:val="single" w:sz="4" w:space="0" w:color="auto"/>
              <w:right w:val="single" w:sz="4" w:space="0" w:color="auto"/>
            </w:tcBorders>
            <w:noWrap/>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6</w:t>
            </w:r>
          </w:p>
        </w:tc>
      </w:tr>
      <w:tr w:rsidR="00C96A4B">
        <w:trPr>
          <w:gridAfter w:val="1"/>
          <w:wAfter w:w="21" w:type="dxa"/>
          <w:jc w:val="center"/>
        </w:trPr>
        <w:tc>
          <w:tcPr>
            <w:tcW w:w="1880" w:type="dxa"/>
            <w:gridSpan w:val="2"/>
            <w:tcBorders>
              <w:top w:val="single" w:sz="4" w:space="0" w:color="auto"/>
              <w:left w:val="single" w:sz="4" w:space="0" w:color="auto"/>
              <w:bottom w:val="single" w:sz="4" w:space="0" w:color="auto"/>
              <w:right w:val="single" w:sz="4" w:space="0" w:color="auto"/>
            </w:tcBorders>
            <w:tcMar>
              <w:left w:w="115" w:type="dxa"/>
              <w:right w:w="14" w:type="dxa"/>
            </w:tcMar>
            <w:vAlign w:val="center"/>
          </w:tcPr>
          <w:p w:rsidR="00C96A4B" w:rsidRPr="001D63D2" w:rsidRDefault="00C96A4B" w:rsidP="00614C04">
            <w:pPr>
              <w:spacing w:before="40" w:after="40"/>
              <w:rPr>
                <w:sz w:val="14"/>
                <w:szCs w:val="16"/>
              </w:rPr>
            </w:pPr>
            <w:r w:rsidRPr="001D63D2">
              <w:rPr>
                <w:sz w:val="14"/>
                <w:szCs w:val="16"/>
              </w:rPr>
              <w:t>Total population</w:t>
            </w:r>
          </w:p>
        </w:tc>
        <w:tc>
          <w:tcPr>
            <w:tcW w:w="447" w:type="dxa"/>
            <w:gridSpan w:val="2"/>
            <w:tcBorders>
              <w:top w:val="single" w:sz="4" w:space="0" w:color="auto"/>
              <w:left w:val="single" w:sz="4" w:space="0" w:color="auto"/>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7"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100</w:t>
            </w:r>
          </w:p>
        </w:tc>
        <w:tc>
          <w:tcPr>
            <w:tcW w:w="447" w:type="dxa"/>
            <w:gridSpan w:val="2"/>
            <w:tcBorders>
              <w:top w:val="single" w:sz="4" w:space="0" w:color="auto"/>
              <w:left w:val="single" w:sz="12" w:space="0" w:color="auto"/>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c>
          <w:tcPr>
            <w:tcW w:w="448" w:type="dxa"/>
            <w:gridSpan w:val="2"/>
            <w:tcBorders>
              <w:top w:val="single" w:sz="4" w:space="0" w:color="auto"/>
              <w:left w:val="nil"/>
              <w:bottom w:val="single" w:sz="4" w:space="0" w:color="auto"/>
              <w:right w:val="nil"/>
            </w:tcBorders>
          </w:tcPr>
          <w:p w:rsidR="00C96A4B" w:rsidRDefault="00C96A4B" w:rsidP="00614C04">
            <w:pPr>
              <w:spacing w:before="40" w:after="40"/>
              <w:jc w:val="center"/>
              <w:rPr>
                <w:rFonts w:cs="Arial"/>
                <w:sz w:val="14"/>
                <w:szCs w:val="16"/>
              </w:rPr>
            </w:pPr>
            <w:r>
              <w:rPr>
                <w:rFonts w:cs="Arial"/>
                <w:sz w:val="14"/>
                <w:szCs w:val="16"/>
              </w:rPr>
              <w:t>100</w:t>
            </w:r>
          </w:p>
        </w:tc>
        <w:tc>
          <w:tcPr>
            <w:tcW w:w="448" w:type="dxa"/>
            <w:gridSpan w:val="2"/>
            <w:tcBorders>
              <w:top w:val="single" w:sz="4" w:space="0" w:color="auto"/>
              <w:left w:val="nil"/>
              <w:bottom w:val="single" w:sz="4" w:space="0" w:color="auto"/>
              <w:right w:val="single" w:sz="12"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Pr>
                <w:rFonts w:cs="Arial"/>
                <w:sz w:val="14"/>
                <w:szCs w:val="16"/>
              </w:rPr>
              <w:t>100</w:t>
            </w:r>
          </w:p>
        </w:tc>
        <w:tc>
          <w:tcPr>
            <w:tcW w:w="450" w:type="dxa"/>
            <w:gridSpan w:val="2"/>
            <w:tcBorders>
              <w:top w:val="single" w:sz="4" w:space="0" w:color="auto"/>
              <w:left w:val="single" w:sz="12" w:space="0" w:color="auto"/>
              <w:bottom w:val="single" w:sz="4" w:space="0" w:color="auto"/>
              <w:right w:val="single" w:sz="4" w:space="0" w:color="auto"/>
            </w:tcBorders>
            <w:tcMar>
              <w:left w:w="29" w:type="dxa"/>
              <w:right w:w="29" w:type="dxa"/>
            </w:tcMar>
            <w:vAlign w:val="center"/>
          </w:tcPr>
          <w:p w:rsidR="00C96A4B" w:rsidRPr="001D63D2" w:rsidRDefault="00C96A4B" w:rsidP="00614C04">
            <w:pPr>
              <w:spacing w:before="40" w:after="40"/>
              <w:jc w:val="center"/>
              <w:rPr>
                <w:rFonts w:cs="Arial"/>
                <w:sz w:val="14"/>
                <w:szCs w:val="16"/>
              </w:rPr>
            </w:pPr>
            <w:r w:rsidRPr="001D63D2">
              <w:rPr>
                <w:rFonts w:cs="Arial"/>
                <w:sz w:val="14"/>
                <w:szCs w:val="16"/>
              </w:rPr>
              <w:t>100</w:t>
            </w:r>
          </w:p>
        </w:tc>
      </w:tr>
    </w:tbl>
    <w:p w:rsidR="00C96A4B" w:rsidRDefault="00C96A4B" w:rsidP="00C96A4B">
      <w:pPr>
        <w:rPr>
          <w:rFonts w:cs="Arial"/>
          <w:b/>
          <w:sz w:val="20"/>
        </w:rPr>
      </w:pPr>
    </w:p>
    <w:p w:rsidR="00C96A4B" w:rsidRPr="009D129E" w:rsidRDefault="00C96A4B" w:rsidP="00C96A4B">
      <w:pPr>
        <w:jc w:val="both"/>
        <w:rPr>
          <w:rFonts w:cs="Arial"/>
          <w:sz w:val="20"/>
          <w:szCs w:val="22"/>
        </w:rPr>
      </w:pPr>
      <w:r w:rsidRPr="009D129E">
        <w:rPr>
          <w:rFonts w:cs="Arial"/>
          <w:sz w:val="20"/>
          <w:szCs w:val="22"/>
        </w:rPr>
        <w:t xml:space="preserve">To properly interpret the trends in composition of the poor by household type (as in Table G.5 above), </w:t>
      </w:r>
      <w:r>
        <w:rPr>
          <w:rFonts w:cs="Arial"/>
          <w:sz w:val="20"/>
          <w:szCs w:val="22"/>
        </w:rPr>
        <w:t xml:space="preserve">both the trend in poverty rates and </w:t>
      </w:r>
      <w:r w:rsidRPr="009D129E">
        <w:rPr>
          <w:rFonts w:cs="Arial"/>
          <w:sz w:val="20"/>
          <w:szCs w:val="22"/>
        </w:rPr>
        <w:t>the changes over time of the composition of the population as a whole need to be known.  One way of integrating and summarising these two trends is to use the ‘</w:t>
      </w:r>
      <w:r w:rsidRPr="006E1F87">
        <w:rPr>
          <w:rFonts w:cs="Arial"/>
          <w:sz w:val="20"/>
          <w:szCs w:val="22"/>
          <w:u w:val="single"/>
        </w:rPr>
        <w:t>poverty risk ratio’</w:t>
      </w:r>
      <w:r w:rsidRPr="001861AB">
        <w:rPr>
          <w:rFonts w:cs="Arial"/>
          <w:sz w:val="20"/>
          <w:szCs w:val="22"/>
        </w:rPr>
        <w:t xml:space="preserve"> (PRR)</w:t>
      </w:r>
      <w:r>
        <w:rPr>
          <w:rFonts w:cs="Arial"/>
          <w:sz w:val="20"/>
          <w:szCs w:val="22"/>
        </w:rPr>
        <w:t>.</w:t>
      </w:r>
      <w:r w:rsidRPr="009D129E">
        <w:rPr>
          <w:rFonts w:cs="Arial"/>
          <w:sz w:val="20"/>
          <w:szCs w:val="22"/>
        </w:rPr>
        <w:t xml:space="preserve"> </w:t>
      </w:r>
      <w:r>
        <w:rPr>
          <w:rFonts w:cs="Arial"/>
          <w:sz w:val="20"/>
          <w:szCs w:val="22"/>
        </w:rPr>
        <w:t xml:space="preserve"> The PRR for a given sub-group is the ratio of the poverty rate of that sub-group</w:t>
      </w:r>
      <w:r w:rsidRPr="009D129E">
        <w:rPr>
          <w:rFonts w:cs="Arial"/>
          <w:sz w:val="20"/>
          <w:szCs w:val="22"/>
        </w:rPr>
        <w:t xml:space="preserve"> </w:t>
      </w:r>
      <w:r>
        <w:rPr>
          <w:rFonts w:cs="Arial"/>
          <w:sz w:val="20"/>
          <w:szCs w:val="22"/>
        </w:rPr>
        <w:t>to that of the population as a whole.</w:t>
      </w:r>
      <w:r w:rsidRPr="009D129E">
        <w:rPr>
          <w:rFonts w:cs="Arial"/>
          <w:sz w:val="20"/>
          <w:szCs w:val="22"/>
        </w:rPr>
        <w:t xml:space="preserve">  This gives an indication of the over- or under-representation of the subgroup at the lower end of the income distribution.  A </w:t>
      </w:r>
      <w:r>
        <w:rPr>
          <w:rFonts w:cs="Arial"/>
          <w:sz w:val="20"/>
          <w:szCs w:val="22"/>
        </w:rPr>
        <w:t>PRR</w:t>
      </w:r>
      <w:r w:rsidRPr="009D129E">
        <w:rPr>
          <w:rFonts w:cs="Arial"/>
          <w:sz w:val="20"/>
          <w:szCs w:val="22"/>
        </w:rPr>
        <w:t xml:space="preserve"> greater than one indicates over-representation.</w:t>
      </w:r>
      <w:r>
        <w:rPr>
          <w:rStyle w:val="FootnoteReference"/>
          <w:rFonts w:cs="Arial"/>
          <w:sz w:val="20"/>
          <w:szCs w:val="22"/>
        </w:rPr>
        <w:footnoteReference w:id="69"/>
      </w:r>
      <w:r w:rsidRPr="009D129E">
        <w:rPr>
          <w:rFonts w:cs="Arial"/>
          <w:sz w:val="20"/>
          <w:szCs w:val="22"/>
        </w:rPr>
        <w:t xml:space="preserve"> </w:t>
      </w:r>
    </w:p>
    <w:p w:rsidR="00C96A4B" w:rsidRPr="009D129E" w:rsidRDefault="00C96A4B" w:rsidP="00C96A4B">
      <w:pPr>
        <w:jc w:val="both"/>
        <w:rPr>
          <w:rFonts w:cs="Arial"/>
          <w:sz w:val="20"/>
          <w:szCs w:val="22"/>
        </w:rPr>
      </w:pPr>
    </w:p>
    <w:p w:rsidR="00C96A4B" w:rsidRPr="009D129E" w:rsidRDefault="00C96A4B" w:rsidP="00C96A4B">
      <w:pPr>
        <w:jc w:val="both"/>
        <w:rPr>
          <w:rFonts w:cs="Arial"/>
          <w:b/>
          <w:sz w:val="20"/>
          <w:szCs w:val="22"/>
        </w:rPr>
      </w:pPr>
      <w:r w:rsidRPr="009D129E">
        <w:rPr>
          <w:rFonts w:cs="Arial"/>
          <w:b/>
          <w:sz w:val="20"/>
          <w:szCs w:val="22"/>
        </w:rPr>
        <w:t>Figure G.</w:t>
      </w:r>
      <w:r>
        <w:rPr>
          <w:rFonts w:cs="Arial"/>
          <w:b/>
          <w:sz w:val="20"/>
          <w:szCs w:val="22"/>
        </w:rPr>
        <w:t>4</w:t>
      </w:r>
      <w:r w:rsidRPr="009D129E">
        <w:rPr>
          <w:rFonts w:cs="Arial"/>
          <w:b/>
          <w:sz w:val="20"/>
          <w:szCs w:val="22"/>
        </w:rPr>
        <w:t xml:space="preserve"> </w:t>
      </w:r>
      <w:r w:rsidRPr="009D129E">
        <w:rPr>
          <w:rFonts w:cs="Arial"/>
          <w:sz w:val="20"/>
          <w:szCs w:val="22"/>
        </w:rPr>
        <w:t xml:space="preserve">shows the trends in </w:t>
      </w:r>
      <w:r>
        <w:rPr>
          <w:rFonts w:cs="Arial"/>
          <w:sz w:val="20"/>
          <w:szCs w:val="22"/>
        </w:rPr>
        <w:t>the PRR</w:t>
      </w:r>
      <w:r w:rsidRPr="009D129E">
        <w:rPr>
          <w:rFonts w:cs="Arial"/>
          <w:sz w:val="20"/>
          <w:szCs w:val="22"/>
        </w:rPr>
        <w:t xml:space="preserve"> for selected years from 1984 to 20</w:t>
      </w:r>
      <w:r>
        <w:rPr>
          <w:rFonts w:cs="Arial"/>
          <w:sz w:val="20"/>
          <w:szCs w:val="22"/>
        </w:rPr>
        <w:t>10</w:t>
      </w:r>
      <w:r w:rsidRPr="009D129E">
        <w:rPr>
          <w:rFonts w:cs="Arial"/>
          <w:sz w:val="20"/>
          <w:szCs w:val="22"/>
        </w:rPr>
        <w:t xml:space="preserve"> for different household types.  </w:t>
      </w:r>
      <w:r>
        <w:rPr>
          <w:rFonts w:cs="Arial"/>
          <w:sz w:val="20"/>
          <w:szCs w:val="22"/>
        </w:rPr>
        <w:t xml:space="preserve">One person 65+ households consistently have a higher PRR than couple 65+ households.  The PRR rose from 1984 to 2010 for sole-parent households and fell for two-parent households.  </w:t>
      </w:r>
      <w:r w:rsidRPr="00EB6E7F">
        <w:rPr>
          <w:rFonts w:cs="Arial"/>
          <w:sz w:val="20"/>
          <w:szCs w:val="22"/>
        </w:rPr>
        <w:t xml:space="preserve">Perhaps the most significant change is the much higher </w:t>
      </w:r>
      <w:r>
        <w:rPr>
          <w:rFonts w:cs="Arial"/>
          <w:sz w:val="20"/>
          <w:szCs w:val="22"/>
        </w:rPr>
        <w:t>PRR</w:t>
      </w:r>
      <w:r w:rsidRPr="00EB6E7F">
        <w:rPr>
          <w:rFonts w:cs="Arial"/>
          <w:sz w:val="20"/>
          <w:szCs w:val="22"/>
        </w:rPr>
        <w:t xml:space="preserve"> for one person working</w:t>
      </w:r>
      <w:r>
        <w:rPr>
          <w:rFonts w:cs="Arial"/>
          <w:sz w:val="20"/>
          <w:szCs w:val="22"/>
        </w:rPr>
        <w:t>-</w:t>
      </w:r>
      <w:r w:rsidRPr="00EB6E7F">
        <w:rPr>
          <w:rFonts w:cs="Arial"/>
          <w:sz w:val="20"/>
          <w:szCs w:val="22"/>
        </w:rPr>
        <w:t xml:space="preserve"> age HHs in 20</w:t>
      </w:r>
      <w:r>
        <w:rPr>
          <w:rFonts w:cs="Arial"/>
          <w:sz w:val="20"/>
          <w:szCs w:val="22"/>
        </w:rPr>
        <w:t>10 (close to 2.0)</w:t>
      </w:r>
      <w:r w:rsidRPr="00EB6E7F">
        <w:rPr>
          <w:rFonts w:cs="Arial"/>
          <w:sz w:val="20"/>
          <w:szCs w:val="22"/>
        </w:rPr>
        <w:t xml:space="preserve"> compared with </w:t>
      </w:r>
      <w:r>
        <w:rPr>
          <w:rFonts w:cs="Arial"/>
          <w:sz w:val="20"/>
          <w:szCs w:val="22"/>
        </w:rPr>
        <w:t>a quarter century</w:t>
      </w:r>
      <w:r w:rsidRPr="00EB6E7F">
        <w:rPr>
          <w:rFonts w:cs="Arial"/>
          <w:sz w:val="20"/>
          <w:szCs w:val="22"/>
        </w:rPr>
        <w:t xml:space="preserve"> earlier in 1984</w:t>
      </w:r>
      <w:r>
        <w:rPr>
          <w:rFonts w:cs="Arial"/>
          <w:sz w:val="20"/>
          <w:szCs w:val="22"/>
        </w:rPr>
        <w:t xml:space="preserve"> (1.2)</w:t>
      </w:r>
      <w:r w:rsidRPr="00EB6E7F">
        <w:rPr>
          <w:rFonts w:cs="Arial"/>
          <w:sz w:val="20"/>
          <w:szCs w:val="22"/>
        </w:rPr>
        <w:t>.</w:t>
      </w:r>
    </w:p>
    <w:p w:rsidR="00C96A4B" w:rsidRPr="009D129E" w:rsidRDefault="00C96A4B" w:rsidP="00C96A4B">
      <w:pPr>
        <w:jc w:val="both"/>
        <w:rPr>
          <w:rFonts w:cs="Arial"/>
          <w:sz w:val="20"/>
          <w:szCs w:val="22"/>
        </w:rPr>
      </w:pPr>
    </w:p>
    <w:p w:rsidR="00C96A4B" w:rsidRPr="009D129E" w:rsidRDefault="00C96A4B" w:rsidP="00C96A4B">
      <w:pPr>
        <w:jc w:val="center"/>
        <w:rPr>
          <w:rFonts w:cs="Arial"/>
          <w:b/>
          <w:sz w:val="18"/>
        </w:rPr>
      </w:pPr>
      <w:r w:rsidRPr="009D129E">
        <w:rPr>
          <w:rFonts w:cs="Arial"/>
          <w:b/>
          <w:sz w:val="18"/>
        </w:rPr>
        <w:t>Figure G.</w:t>
      </w:r>
      <w:r>
        <w:rPr>
          <w:rFonts w:cs="Arial"/>
          <w:b/>
          <w:sz w:val="18"/>
        </w:rPr>
        <w:t>4</w:t>
      </w:r>
    </w:p>
    <w:p w:rsidR="00C96A4B" w:rsidRPr="00CD0DE7" w:rsidRDefault="00C96A4B" w:rsidP="00C96A4B">
      <w:pPr>
        <w:jc w:val="center"/>
        <w:rPr>
          <w:b/>
          <w:sz w:val="18"/>
        </w:rPr>
      </w:pPr>
      <w:r w:rsidRPr="009D129E">
        <w:rPr>
          <w:b/>
          <w:sz w:val="18"/>
        </w:rPr>
        <w:t>Poverty risk ratio by household type,</w:t>
      </w:r>
      <w:r>
        <w:rPr>
          <w:b/>
          <w:sz w:val="18"/>
        </w:rPr>
        <w:t xml:space="preserve"> </w:t>
      </w:r>
      <w:smartTag w:uri="urn:schemas-microsoft-com:office:smarttags" w:element="stockticker">
        <w:r w:rsidRPr="009D129E">
          <w:rPr>
            <w:b/>
            <w:sz w:val="18"/>
          </w:rPr>
          <w:t>AHC</w:t>
        </w:r>
      </w:smartTag>
      <w:r w:rsidRPr="009D129E">
        <w:rPr>
          <w:b/>
          <w:sz w:val="18"/>
        </w:rPr>
        <w:t xml:space="preserve"> CV 60% threshold, </w:t>
      </w:r>
      <w:r>
        <w:rPr>
          <w:b/>
          <w:sz w:val="18"/>
        </w:rPr>
        <w:t>selected years</w:t>
      </w:r>
    </w:p>
    <w:p w:rsidR="00C96A4B" w:rsidRDefault="00EC0BE0" w:rsidP="00C96A4B">
      <w:pPr>
        <w:jc w:val="center"/>
        <w:rPr>
          <w:b/>
          <w:sz w:val="18"/>
          <w:szCs w:val="18"/>
        </w:rPr>
        <w:sectPr w:rsidR="00C96A4B" w:rsidSect="00672442">
          <w:headerReference w:type="default" r:id="rId88"/>
          <w:footerReference w:type="default" r:id="rId89"/>
          <w:pgSz w:w="11909" w:h="16834" w:code="9"/>
          <w:pgMar w:top="1440" w:right="1584" w:bottom="1440" w:left="1584" w:header="706" w:footer="706" w:gutter="0"/>
          <w:cols w:space="720"/>
        </w:sectPr>
      </w:pPr>
      <w:r>
        <w:rPr>
          <w:noProof/>
          <w:lang w:val="en-US"/>
        </w:rPr>
        <w:drawing>
          <wp:inline distT="0" distB="0" distL="0" distR="0">
            <wp:extent cx="4029075" cy="2486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srcRect/>
                    <a:stretch>
                      <a:fillRect/>
                    </a:stretch>
                  </pic:blipFill>
                  <pic:spPr bwMode="auto">
                    <a:xfrm>
                      <a:off x="0" y="0"/>
                      <a:ext cx="4029075" cy="2486025"/>
                    </a:xfrm>
                    <a:prstGeom prst="rect">
                      <a:avLst/>
                    </a:prstGeom>
                    <a:noFill/>
                    <a:ln w="9525">
                      <a:noFill/>
                      <a:miter lim="800000"/>
                      <a:headEnd/>
                      <a:tailEnd/>
                    </a:ln>
                  </pic:spPr>
                </pic:pic>
              </a:graphicData>
            </a:graphic>
          </wp:inline>
        </w:drawing>
      </w:r>
    </w:p>
    <w:p w:rsidR="00C96A4B" w:rsidRPr="009C0870" w:rsidRDefault="00C96A4B" w:rsidP="00C96A4B">
      <w:pPr>
        <w:ind w:left="270" w:hanging="270"/>
        <w:jc w:val="center"/>
        <w:rPr>
          <w:b/>
          <w:sz w:val="36"/>
          <w:szCs w:val="36"/>
        </w:rPr>
      </w:pPr>
      <w:r w:rsidRPr="009C0870">
        <w:rPr>
          <w:b/>
          <w:sz w:val="36"/>
          <w:szCs w:val="36"/>
        </w:rPr>
        <w:lastRenderedPageBreak/>
        <w:t>Section H</w:t>
      </w:r>
    </w:p>
    <w:p w:rsidR="00C96A4B" w:rsidRDefault="00C96A4B" w:rsidP="00C96A4B">
      <w:pPr>
        <w:pStyle w:val="Heading3"/>
        <w:jc w:val="center"/>
        <w:rPr>
          <w:sz w:val="32"/>
          <w:szCs w:val="32"/>
        </w:rPr>
      </w:pPr>
      <w:r>
        <w:rPr>
          <w:sz w:val="32"/>
          <w:szCs w:val="32"/>
        </w:rPr>
        <w:t>Trends for dependent children, 1982 - 2011,</w:t>
      </w:r>
    </w:p>
    <w:p w:rsidR="00C96A4B" w:rsidRPr="001B73BD" w:rsidRDefault="00C96A4B" w:rsidP="00C96A4B">
      <w:pPr>
        <w:pStyle w:val="Heading3"/>
        <w:jc w:val="center"/>
        <w:rPr>
          <w:sz w:val="32"/>
          <w:szCs w:val="32"/>
        </w:rPr>
      </w:pPr>
      <w:r>
        <w:rPr>
          <w:sz w:val="32"/>
          <w:szCs w:val="32"/>
        </w:rPr>
        <w:t xml:space="preserve"> by various individual and household characteristics</w:t>
      </w:r>
    </w:p>
    <w:p w:rsidR="00C96A4B" w:rsidRPr="007944CF" w:rsidRDefault="00C96A4B" w:rsidP="00C96A4B">
      <w:pPr>
        <w:jc w:val="both"/>
        <w:rPr>
          <w:rFonts w:cs="Arial"/>
          <w:szCs w:val="22"/>
        </w:rPr>
      </w:pPr>
    </w:p>
    <w:p w:rsidR="00C96A4B" w:rsidRDefault="00C96A4B" w:rsidP="00C96A4B"/>
    <w:p w:rsidR="00C96A4B" w:rsidRPr="009D129E" w:rsidRDefault="00C96A4B" w:rsidP="00C96A4B">
      <w:pPr>
        <w:spacing w:after="120"/>
        <w:jc w:val="both"/>
        <w:rPr>
          <w:sz w:val="20"/>
        </w:rPr>
      </w:pPr>
      <w:r w:rsidRPr="009D129E">
        <w:rPr>
          <w:sz w:val="20"/>
        </w:rPr>
        <w:t>This section:</w:t>
      </w:r>
    </w:p>
    <w:p w:rsidR="00C96A4B" w:rsidRPr="009D129E" w:rsidRDefault="00C96A4B" w:rsidP="00C96A4B">
      <w:pPr>
        <w:numPr>
          <w:ilvl w:val="0"/>
          <w:numId w:val="57"/>
        </w:numPr>
        <w:spacing w:after="120"/>
        <w:jc w:val="both"/>
        <w:rPr>
          <w:sz w:val="20"/>
        </w:rPr>
      </w:pPr>
      <w:r w:rsidRPr="009D129E">
        <w:rPr>
          <w:sz w:val="20"/>
        </w:rPr>
        <w:t>compares trends in poverty rates for subgroups of dependent children</w:t>
      </w:r>
    </w:p>
    <w:p w:rsidR="00C96A4B" w:rsidRPr="009D129E" w:rsidRDefault="00C96A4B" w:rsidP="00C96A4B">
      <w:pPr>
        <w:numPr>
          <w:ilvl w:val="0"/>
          <w:numId w:val="57"/>
        </w:numPr>
        <w:jc w:val="both"/>
        <w:rPr>
          <w:sz w:val="20"/>
        </w:rPr>
      </w:pPr>
      <w:r w:rsidRPr="009D129E">
        <w:rPr>
          <w:sz w:val="20"/>
        </w:rPr>
        <w:t>reports on the changing composition of those children identified as poor on the chosen measures.</w:t>
      </w:r>
    </w:p>
    <w:p w:rsidR="00C96A4B" w:rsidRPr="009D129E" w:rsidRDefault="00C96A4B" w:rsidP="00C96A4B">
      <w:pPr>
        <w:jc w:val="both"/>
        <w:rPr>
          <w:sz w:val="20"/>
        </w:rPr>
      </w:pPr>
    </w:p>
    <w:p w:rsidR="00C96A4B" w:rsidRPr="009D129E" w:rsidRDefault="00C96A4B" w:rsidP="00C96A4B">
      <w:pPr>
        <w:spacing w:after="120"/>
        <w:rPr>
          <w:sz w:val="20"/>
        </w:rPr>
      </w:pPr>
      <w:r w:rsidRPr="009D129E">
        <w:rPr>
          <w:sz w:val="20"/>
        </w:rPr>
        <w:t>The individual and household characteristics used for subgroup analyses are:</w:t>
      </w:r>
    </w:p>
    <w:p w:rsidR="00C96A4B" w:rsidRPr="009D129E" w:rsidRDefault="00C96A4B" w:rsidP="00614C04">
      <w:pPr>
        <w:numPr>
          <w:ilvl w:val="0"/>
          <w:numId w:val="51"/>
        </w:numPr>
        <w:spacing w:after="120"/>
        <w:ind w:hanging="270"/>
        <w:rPr>
          <w:sz w:val="20"/>
        </w:rPr>
      </w:pPr>
      <w:r w:rsidRPr="009D129E">
        <w:rPr>
          <w:sz w:val="20"/>
        </w:rPr>
        <w:t>age of the children</w:t>
      </w:r>
    </w:p>
    <w:p w:rsidR="00C96A4B" w:rsidRPr="009D129E" w:rsidRDefault="00C96A4B" w:rsidP="00614C04">
      <w:pPr>
        <w:numPr>
          <w:ilvl w:val="0"/>
          <w:numId w:val="51"/>
        </w:numPr>
        <w:spacing w:after="120"/>
        <w:ind w:hanging="274"/>
        <w:rPr>
          <w:sz w:val="20"/>
        </w:rPr>
      </w:pPr>
      <w:r>
        <w:rPr>
          <w:sz w:val="20"/>
        </w:rPr>
        <w:t>ethnicity of children (no time series)</w:t>
      </w:r>
    </w:p>
    <w:p w:rsidR="00345D9B" w:rsidRDefault="00345D9B" w:rsidP="00614C04">
      <w:pPr>
        <w:numPr>
          <w:ilvl w:val="0"/>
          <w:numId w:val="51"/>
        </w:numPr>
        <w:spacing w:after="120"/>
        <w:ind w:hanging="270"/>
        <w:rPr>
          <w:sz w:val="20"/>
        </w:rPr>
      </w:pPr>
      <w:r>
        <w:rPr>
          <w:sz w:val="20"/>
        </w:rPr>
        <w:t>tenure</w:t>
      </w:r>
    </w:p>
    <w:p w:rsidR="00C96A4B" w:rsidRPr="009D129E" w:rsidRDefault="00C96A4B" w:rsidP="00614C04">
      <w:pPr>
        <w:numPr>
          <w:ilvl w:val="0"/>
          <w:numId w:val="51"/>
        </w:numPr>
        <w:spacing w:after="120"/>
        <w:ind w:hanging="270"/>
        <w:rPr>
          <w:sz w:val="20"/>
        </w:rPr>
      </w:pPr>
      <w:r w:rsidRPr="009D129E">
        <w:rPr>
          <w:sz w:val="20"/>
        </w:rPr>
        <w:t>household type</w:t>
      </w:r>
    </w:p>
    <w:p w:rsidR="00C96A4B" w:rsidRPr="009D129E" w:rsidRDefault="00C96A4B" w:rsidP="00614C04">
      <w:pPr>
        <w:numPr>
          <w:ilvl w:val="0"/>
          <w:numId w:val="51"/>
        </w:numPr>
        <w:spacing w:after="120"/>
        <w:ind w:hanging="270"/>
        <w:rPr>
          <w:sz w:val="20"/>
        </w:rPr>
      </w:pPr>
      <w:r w:rsidRPr="009D129E">
        <w:rPr>
          <w:sz w:val="20"/>
        </w:rPr>
        <w:t>family type</w:t>
      </w:r>
    </w:p>
    <w:p w:rsidR="00C96A4B" w:rsidRDefault="00C96A4B" w:rsidP="00614C04">
      <w:pPr>
        <w:numPr>
          <w:ilvl w:val="0"/>
          <w:numId w:val="51"/>
        </w:numPr>
        <w:ind w:hanging="274"/>
        <w:rPr>
          <w:sz w:val="20"/>
        </w:rPr>
      </w:pPr>
      <w:r w:rsidRPr="009D129E">
        <w:rPr>
          <w:sz w:val="20"/>
        </w:rPr>
        <w:t>hours of work of adults in households whe</w:t>
      </w:r>
      <w:r>
        <w:rPr>
          <w:sz w:val="20"/>
        </w:rPr>
        <w:t>re there are dependent children.</w:t>
      </w:r>
    </w:p>
    <w:p w:rsidR="00C96A4B" w:rsidRPr="009D129E" w:rsidRDefault="00C96A4B" w:rsidP="00C96A4B">
      <w:pPr>
        <w:jc w:val="both"/>
        <w:rPr>
          <w:sz w:val="20"/>
        </w:rPr>
      </w:pPr>
    </w:p>
    <w:p w:rsidR="00C96A4B" w:rsidRPr="009D129E" w:rsidRDefault="00C96A4B" w:rsidP="00C96A4B">
      <w:pPr>
        <w:jc w:val="both"/>
        <w:rPr>
          <w:sz w:val="20"/>
        </w:rPr>
      </w:pPr>
    </w:p>
    <w:p w:rsidR="00C96A4B" w:rsidRPr="009D129E" w:rsidRDefault="00C96A4B" w:rsidP="00C96A4B">
      <w:pPr>
        <w:jc w:val="both"/>
        <w:rPr>
          <w:sz w:val="20"/>
        </w:rPr>
      </w:pPr>
      <w:smartTag w:uri="urn:schemas-microsoft-com:office:smarttags" w:element="stockticker">
        <w:r w:rsidRPr="009D129E">
          <w:rPr>
            <w:sz w:val="20"/>
          </w:rPr>
          <w:t>AHC</w:t>
        </w:r>
      </w:smartTag>
      <w:r w:rsidRPr="009D129E">
        <w:rPr>
          <w:sz w:val="20"/>
        </w:rPr>
        <w:t xml:space="preserve"> measure are used</w:t>
      </w:r>
      <w:r>
        <w:rPr>
          <w:sz w:val="20"/>
        </w:rPr>
        <w:t xml:space="preserve"> in this section</w:t>
      </w:r>
      <w:r w:rsidRPr="009D129E">
        <w:rPr>
          <w:sz w:val="20"/>
        </w:rPr>
        <w:t xml:space="preserve"> (</w:t>
      </w:r>
      <w:r w:rsidRPr="009D129E">
        <w:rPr>
          <w:b/>
          <w:sz w:val="20"/>
        </w:rPr>
        <w:t>Table H.1</w:t>
      </w:r>
      <w:r w:rsidRPr="009D129E">
        <w:rPr>
          <w:sz w:val="20"/>
        </w:rPr>
        <w:t>)</w:t>
      </w:r>
      <w:r>
        <w:rPr>
          <w:sz w:val="20"/>
        </w:rPr>
        <w:t xml:space="preserve">. </w:t>
      </w:r>
      <w:r w:rsidRPr="009D129E">
        <w:rPr>
          <w:sz w:val="20"/>
        </w:rPr>
        <w:t xml:space="preserve"> The rationale for this</w:t>
      </w:r>
      <w:r>
        <w:rPr>
          <w:sz w:val="20"/>
        </w:rPr>
        <w:t xml:space="preserve"> approach when comparing subgroups</w:t>
      </w:r>
      <w:r w:rsidRPr="009D129E">
        <w:rPr>
          <w:sz w:val="20"/>
        </w:rPr>
        <w:t xml:space="preserve"> is outlined in </w:t>
      </w:r>
      <w:r w:rsidRPr="009D129E">
        <w:rPr>
          <w:b/>
          <w:sz w:val="20"/>
        </w:rPr>
        <w:t xml:space="preserve">Appendix </w:t>
      </w:r>
      <w:r>
        <w:rPr>
          <w:b/>
          <w:sz w:val="20"/>
        </w:rPr>
        <w:t>5</w:t>
      </w:r>
      <w:r w:rsidRPr="009D129E">
        <w:rPr>
          <w:sz w:val="20"/>
        </w:rPr>
        <w:t xml:space="preserve">.  </w:t>
      </w:r>
    </w:p>
    <w:p w:rsidR="00C96A4B" w:rsidRPr="009D129E" w:rsidRDefault="00C96A4B" w:rsidP="00C96A4B">
      <w:pPr>
        <w:rPr>
          <w:sz w:val="20"/>
        </w:rPr>
      </w:pPr>
    </w:p>
    <w:p w:rsidR="00C96A4B" w:rsidRPr="009D129E" w:rsidRDefault="00C96A4B" w:rsidP="00C96A4B">
      <w:pPr>
        <w:jc w:val="center"/>
        <w:rPr>
          <w:b/>
          <w:sz w:val="18"/>
        </w:rPr>
      </w:pPr>
      <w:r w:rsidRPr="009D129E">
        <w:rPr>
          <w:b/>
          <w:sz w:val="18"/>
        </w:rPr>
        <w:t xml:space="preserve">Table </w:t>
      </w:r>
      <w:r>
        <w:rPr>
          <w:b/>
          <w:sz w:val="18"/>
        </w:rPr>
        <w:t>H</w:t>
      </w:r>
      <w:r w:rsidRPr="009D129E">
        <w:rPr>
          <w:b/>
          <w:sz w:val="18"/>
        </w:rPr>
        <w:t>.1</w:t>
      </w:r>
    </w:p>
    <w:p w:rsidR="00C96A4B" w:rsidRPr="006E41BF" w:rsidRDefault="00C96A4B" w:rsidP="00C96A4B">
      <w:pPr>
        <w:spacing w:after="120"/>
        <w:jc w:val="center"/>
        <w:rPr>
          <w:b/>
          <w:sz w:val="18"/>
        </w:rPr>
      </w:pPr>
      <w:r w:rsidRPr="009D129E">
        <w:rPr>
          <w:b/>
          <w:sz w:val="18"/>
        </w:rPr>
        <w:t xml:space="preserve">Poverty measures reported on in Section </w:t>
      </w:r>
      <w:r>
        <w:rPr>
          <w:b/>
          <w:sz w:val="18"/>
        </w:rPr>
        <w:t xml:space="preserve">H </w:t>
      </w:r>
      <w:r w:rsidRPr="009D129E">
        <w:rPr>
          <w:b/>
          <w:sz w:val="18"/>
        </w:rPr>
        <w:t xml:space="preserve"> for subgroups of </w:t>
      </w:r>
      <w:r>
        <w:rPr>
          <w:b/>
          <w:sz w:val="18"/>
        </w:rPr>
        <w:t>dependent children</w:t>
      </w:r>
    </w:p>
    <w:tbl>
      <w:tblPr>
        <w:tblStyle w:val="TableGrid"/>
        <w:tblW w:w="0" w:type="auto"/>
        <w:jc w:val="center"/>
        <w:tblLook w:val="01E0"/>
      </w:tblPr>
      <w:tblGrid>
        <w:gridCol w:w="761"/>
        <w:gridCol w:w="762"/>
        <w:gridCol w:w="761"/>
        <w:gridCol w:w="762"/>
        <w:gridCol w:w="762"/>
        <w:gridCol w:w="761"/>
        <w:gridCol w:w="762"/>
        <w:gridCol w:w="762"/>
      </w:tblGrid>
      <w:tr w:rsidR="00C96A4B" w:rsidRPr="0092340C">
        <w:trPr>
          <w:trHeight w:hRule="exact" w:val="343"/>
          <w:jc w:val="center"/>
        </w:trPr>
        <w:tc>
          <w:tcPr>
            <w:tcW w:w="3046" w:type="dxa"/>
            <w:gridSpan w:val="4"/>
            <w:tcBorders>
              <w:right w:val="single" w:sz="12" w:space="0" w:color="auto"/>
            </w:tcBorders>
            <w:tcMar>
              <w:left w:w="58" w:type="dxa"/>
              <w:right w:w="58" w:type="dxa"/>
            </w:tcMar>
            <w:vAlign w:val="center"/>
          </w:tcPr>
          <w:p w:rsidR="00C96A4B" w:rsidRPr="00BA0298" w:rsidRDefault="00C96A4B" w:rsidP="00614C04">
            <w:pPr>
              <w:jc w:val="center"/>
              <w:rPr>
                <w:rFonts w:cs="Arial"/>
                <w:b/>
                <w:sz w:val="16"/>
                <w:szCs w:val="18"/>
              </w:rPr>
            </w:pPr>
            <w:smartTag w:uri="urn:schemas-microsoft-com:office:smarttags" w:element="stockticker">
              <w:r w:rsidRPr="00BA0298">
                <w:rPr>
                  <w:rFonts w:cs="Arial"/>
                  <w:b/>
                  <w:sz w:val="16"/>
                  <w:szCs w:val="18"/>
                </w:rPr>
                <w:t>BHC</w:t>
              </w:r>
            </w:smartTag>
          </w:p>
        </w:tc>
        <w:tc>
          <w:tcPr>
            <w:tcW w:w="3047" w:type="dxa"/>
            <w:gridSpan w:val="4"/>
            <w:tcBorders>
              <w:left w:val="single" w:sz="12" w:space="0" w:color="auto"/>
            </w:tcBorders>
            <w:tcMar>
              <w:left w:w="58" w:type="dxa"/>
              <w:right w:w="58" w:type="dxa"/>
            </w:tcMar>
            <w:vAlign w:val="center"/>
          </w:tcPr>
          <w:p w:rsidR="00C96A4B" w:rsidRPr="00BA0298" w:rsidRDefault="00C96A4B" w:rsidP="00614C04">
            <w:pPr>
              <w:jc w:val="center"/>
              <w:rPr>
                <w:rFonts w:cs="Arial"/>
                <w:b/>
                <w:sz w:val="16"/>
                <w:szCs w:val="18"/>
              </w:rPr>
            </w:pPr>
            <w:smartTag w:uri="urn:schemas-microsoft-com:office:smarttags" w:element="stockticker">
              <w:r w:rsidRPr="00BA0298">
                <w:rPr>
                  <w:rFonts w:cs="Arial"/>
                  <w:b/>
                  <w:sz w:val="16"/>
                  <w:szCs w:val="18"/>
                </w:rPr>
                <w:t>AHC</w:t>
              </w:r>
            </w:smartTag>
          </w:p>
        </w:tc>
      </w:tr>
      <w:tr w:rsidR="00C96A4B" w:rsidRPr="0092340C">
        <w:trPr>
          <w:trHeight w:hRule="exact" w:val="748"/>
          <w:jc w:val="center"/>
        </w:trPr>
        <w:tc>
          <w:tcPr>
            <w:tcW w:w="1523" w:type="dxa"/>
            <w:gridSpan w:val="2"/>
            <w:tcMar>
              <w:left w:w="58" w:type="dxa"/>
              <w:right w:w="58" w:type="dxa"/>
            </w:tcMar>
            <w:vAlign w:val="center"/>
          </w:tcPr>
          <w:p w:rsidR="00C96A4B" w:rsidRPr="00BA0298" w:rsidRDefault="00C96A4B"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C96A4B" w:rsidRPr="00BA0298" w:rsidRDefault="00C96A4B" w:rsidP="00614C04">
            <w:pPr>
              <w:spacing w:after="20"/>
              <w:jc w:val="center"/>
              <w:rPr>
                <w:rFonts w:cs="Arial"/>
                <w:sz w:val="16"/>
                <w:szCs w:val="18"/>
              </w:rPr>
            </w:pPr>
            <w:r w:rsidRPr="00BA0298">
              <w:rPr>
                <w:rFonts w:cs="Arial"/>
                <w:sz w:val="16"/>
                <w:szCs w:val="18"/>
              </w:rPr>
              <w:t xml:space="preserve"> (‘moving line’</w:t>
            </w:r>
            <w:r>
              <w:rPr>
                <w:rFonts w:cs="Arial"/>
                <w:sz w:val="16"/>
                <w:szCs w:val="18"/>
              </w:rPr>
              <w:t>)</w:t>
            </w:r>
          </w:p>
        </w:tc>
        <w:tc>
          <w:tcPr>
            <w:tcW w:w="1523" w:type="dxa"/>
            <w:gridSpan w:val="2"/>
            <w:tcBorders>
              <w:right w:val="single" w:sz="12" w:space="0" w:color="auto"/>
            </w:tcBorders>
            <w:tcMar>
              <w:left w:w="58" w:type="dxa"/>
              <w:right w:w="58" w:type="dxa"/>
            </w:tcMar>
            <w:vAlign w:val="center"/>
          </w:tcPr>
          <w:p w:rsidR="00C96A4B" w:rsidRPr="00BA0298" w:rsidRDefault="00C96A4B"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C96A4B" w:rsidRPr="00BA0298" w:rsidRDefault="00C96A4B"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C96A4B" w:rsidRPr="00BA0298" w:rsidRDefault="00C96A4B" w:rsidP="00614C04">
            <w:pPr>
              <w:spacing w:after="60"/>
              <w:jc w:val="center"/>
              <w:rPr>
                <w:rFonts w:cs="Arial"/>
                <w:sz w:val="16"/>
                <w:szCs w:val="18"/>
              </w:rPr>
            </w:pPr>
            <w:r w:rsidRPr="00BA0298">
              <w:rPr>
                <w:rFonts w:cs="Arial"/>
                <w:sz w:val="16"/>
                <w:szCs w:val="18"/>
              </w:rPr>
              <w:t>(‘fixed line’)</w:t>
            </w:r>
          </w:p>
        </w:tc>
        <w:tc>
          <w:tcPr>
            <w:tcW w:w="1523" w:type="dxa"/>
            <w:gridSpan w:val="2"/>
            <w:tcBorders>
              <w:left w:val="single" w:sz="12" w:space="0" w:color="auto"/>
            </w:tcBorders>
            <w:tcMar>
              <w:left w:w="58" w:type="dxa"/>
              <w:right w:w="58" w:type="dxa"/>
            </w:tcMar>
            <w:vAlign w:val="center"/>
          </w:tcPr>
          <w:p w:rsidR="00C96A4B" w:rsidRPr="00BA0298" w:rsidRDefault="00C96A4B" w:rsidP="00614C04">
            <w:pPr>
              <w:spacing w:before="60" w:after="20"/>
              <w:jc w:val="center"/>
              <w:rPr>
                <w:rFonts w:cs="Arial"/>
                <w:sz w:val="16"/>
                <w:szCs w:val="18"/>
              </w:rPr>
            </w:pPr>
            <w:smartTag w:uri="urn:schemas-microsoft-com:office:smarttags" w:element="stockticker">
              <w:r w:rsidRPr="00BA0298">
                <w:rPr>
                  <w:rFonts w:cs="Arial"/>
                  <w:sz w:val="16"/>
                  <w:szCs w:val="18"/>
                </w:rPr>
                <w:t>REL</w:t>
              </w:r>
            </w:smartTag>
          </w:p>
          <w:p w:rsidR="00C96A4B" w:rsidRPr="00BA0298" w:rsidRDefault="00C96A4B" w:rsidP="00614C04">
            <w:pPr>
              <w:spacing w:before="20" w:after="60"/>
              <w:jc w:val="center"/>
              <w:rPr>
                <w:rFonts w:cs="Arial"/>
                <w:sz w:val="16"/>
                <w:szCs w:val="18"/>
              </w:rPr>
            </w:pPr>
            <w:r w:rsidRPr="00BA0298">
              <w:rPr>
                <w:rFonts w:cs="Arial"/>
                <w:sz w:val="16"/>
                <w:szCs w:val="18"/>
              </w:rPr>
              <w:t xml:space="preserve"> (‘moving line’</w:t>
            </w:r>
            <w:r>
              <w:rPr>
                <w:rFonts w:cs="Arial"/>
                <w:sz w:val="16"/>
                <w:szCs w:val="18"/>
              </w:rPr>
              <w:t>)</w:t>
            </w:r>
          </w:p>
        </w:tc>
        <w:tc>
          <w:tcPr>
            <w:tcW w:w="1524" w:type="dxa"/>
            <w:gridSpan w:val="2"/>
            <w:tcMar>
              <w:left w:w="58" w:type="dxa"/>
              <w:right w:w="58" w:type="dxa"/>
            </w:tcMar>
            <w:vAlign w:val="center"/>
          </w:tcPr>
          <w:p w:rsidR="00C96A4B" w:rsidRPr="00BA0298" w:rsidRDefault="00C96A4B" w:rsidP="00614C04">
            <w:pPr>
              <w:spacing w:before="6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98  (to 2007)</w:t>
            </w:r>
          </w:p>
          <w:p w:rsidR="00C96A4B" w:rsidRPr="00BA0298" w:rsidRDefault="00C96A4B" w:rsidP="00614C04">
            <w:pPr>
              <w:spacing w:before="20" w:after="20"/>
              <w:jc w:val="center"/>
              <w:rPr>
                <w:rFonts w:cs="Arial"/>
                <w:sz w:val="16"/>
                <w:szCs w:val="18"/>
              </w:rPr>
            </w:pPr>
            <w:r w:rsidRPr="00BA0298">
              <w:rPr>
                <w:rFonts w:cs="Arial"/>
                <w:sz w:val="16"/>
                <w:szCs w:val="18"/>
              </w:rPr>
              <w:t>CV</w:t>
            </w:r>
            <w:r>
              <w:rPr>
                <w:rFonts w:cs="Arial"/>
                <w:sz w:val="16"/>
                <w:szCs w:val="18"/>
              </w:rPr>
              <w:t>-</w:t>
            </w:r>
            <w:r w:rsidRPr="00BA0298">
              <w:rPr>
                <w:rFonts w:cs="Arial"/>
                <w:sz w:val="16"/>
                <w:szCs w:val="18"/>
              </w:rPr>
              <w:t>07 (from 2007)</w:t>
            </w:r>
          </w:p>
          <w:p w:rsidR="00C96A4B" w:rsidRPr="00BA0298" w:rsidRDefault="00C96A4B" w:rsidP="00614C04">
            <w:pPr>
              <w:spacing w:after="60"/>
              <w:jc w:val="center"/>
              <w:rPr>
                <w:rFonts w:cs="Arial"/>
                <w:sz w:val="16"/>
                <w:szCs w:val="18"/>
              </w:rPr>
            </w:pPr>
            <w:r w:rsidRPr="00BA0298">
              <w:rPr>
                <w:rFonts w:cs="Arial"/>
                <w:sz w:val="16"/>
                <w:szCs w:val="18"/>
              </w:rPr>
              <w:t>(‘fixed line’)</w:t>
            </w:r>
          </w:p>
        </w:tc>
      </w:tr>
      <w:tr w:rsidR="00C96A4B" w:rsidRPr="0092340C">
        <w:trPr>
          <w:trHeight w:val="330"/>
          <w:jc w:val="center"/>
        </w:trPr>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right w:val="single" w:sz="12"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2" w:type="dxa"/>
            <w:tcBorders>
              <w:left w:val="single" w:sz="12" w:space="0" w:color="auto"/>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1"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60</w:t>
            </w:r>
          </w:p>
        </w:tc>
        <w:tc>
          <w:tcPr>
            <w:tcW w:w="762" w:type="dxa"/>
            <w:tcBorders>
              <w:bottom w:val="single" w:sz="4" w:space="0" w:color="auto"/>
            </w:tcBorders>
            <w:tcMar>
              <w:left w:w="58" w:type="dxa"/>
              <w:right w:w="58" w:type="dxa"/>
            </w:tcMar>
            <w:vAlign w:val="center"/>
          </w:tcPr>
          <w:p w:rsidR="00C96A4B" w:rsidRPr="00BA0298" w:rsidRDefault="00C96A4B" w:rsidP="00614C04">
            <w:pPr>
              <w:jc w:val="center"/>
              <w:rPr>
                <w:rFonts w:cs="Arial"/>
                <w:sz w:val="16"/>
                <w:szCs w:val="18"/>
              </w:rPr>
            </w:pPr>
            <w:r w:rsidRPr="00BA0298">
              <w:rPr>
                <w:rFonts w:cs="Arial"/>
                <w:sz w:val="16"/>
                <w:szCs w:val="18"/>
              </w:rPr>
              <w:t>50</w:t>
            </w:r>
          </w:p>
        </w:tc>
        <w:tc>
          <w:tcPr>
            <w:tcW w:w="762" w:type="dxa"/>
            <w:tcBorders>
              <w:bottom w:val="single" w:sz="4" w:space="0" w:color="auto"/>
            </w:tcBorders>
            <w:shd w:val="clear" w:color="auto" w:fill="C0C0C0"/>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t>60</w:t>
            </w:r>
          </w:p>
        </w:tc>
      </w:tr>
      <w:tr w:rsidR="00C96A4B" w:rsidRPr="0092340C">
        <w:trPr>
          <w:trHeight w:val="330"/>
          <w:jc w:val="center"/>
        </w:trPr>
        <w:tc>
          <w:tcPr>
            <w:tcW w:w="761" w:type="dxa"/>
            <w:shd w:val="clear" w:color="auto" w:fill="auto"/>
            <w:tcMar>
              <w:left w:w="58" w:type="dxa"/>
              <w:right w:w="58" w:type="dxa"/>
            </w:tcMar>
            <w:vAlign w:val="center"/>
          </w:tcPr>
          <w:p w:rsidR="00C96A4B" w:rsidRPr="00BA0298" w:rsidRDefault="00C96A4B" w:rsidP="00614C04">
            <w:pPr>
              <w:jc w:val="center"/>
              <w:rPr>
                <w:rFonts w:cs="Arial"/>
                <w:sz w:val="16"/>
                <w:szCs w:val="18"/>
              </w:rPr>
            </w:pPr>
            <w:r>
              <w:rPr>
                <w:rFonts w:cs="Arial"/>
                <w:b/>
                <w:sz w:val="16"/>
                <w:szCs w:val="18"/>
              </w:rPr>
              <w:t>-</w:t>
            </w:r>
          </w:p>
        </w:tc>
        <w:tc>
          <w:tcPr>
            <w:tcW w:w="762" w:type="dxa"/>
            <w:shd w:val="clear" w:color="auto" w:fill="auto"/>
            <w:tcMar>
              <w:left w:w="58" w:type="dxa"/>
              <w:right w:w="58" w:type="dxa"/>
            </w:tcMar>
            <w:vAlign w:val="center"/>
          </w:tcPr>
          <w:p w:rsidR="00C96A4B" w:rsidRPr="00BA0298" w:rsidRDefault="00C96A4B" w:rsidP="00614C04">
            <w:pPr>
              <w:jc w:val="center"/>
              <w:rPr>
                <w:rFonts w:cs="Arial"/>
                <w:b/>
                <w:sz w:val="16"/>
                <w:szCs w:val="18"/>
              </w:rPr>
            </w:pPr>
            <w:r>
              <w:rPr>
                <w:rFonts w:cs="Arial"/>
                <w:b/>
                <w:sz w:val="16"/>
                <w:szCs w:val="18"/>
              </w:rPr>
              <w:t>-</w:t>
            </w:r>
          </w:p>
        </w:tc>
        <w:tc>
          <w:tcPr>
            <w:tcW w:w="761" w:type="dxa"/>
            <w:shd w:val="clear" w:color="auto" w:fill="auto"/>
            <w:tcMar>
              <w:left w:w="58" w:type="dxa"/>
              <w:right w:w="58" w:type="dxa"/>
            </w:tcMar>
            <w:vAlign w:val="center"/>
          </w:tcPr>
          <w:p w:rsidR="00C96A4B" w:rsidRPr="00BA0298" w:rsidRDefault="00C96A4B" w:rsidP="00614C04">
            <w:pPr>
              <w:spacing w:after="40"/>
              <w:jc w:val="center"/>
              <w:rPr>
                <w:rFonts w:cs="Arial"/>
                <w:sz w:val="16"/>
                <w:szCs w:val="18"/>
              </w:rPr>
            </w:pPr>
            <w:r>
              <w:rPr>
                <w:rFonts w:cs="Arial"/>
                <w:b/>
                <w:sz w:val="16"/>
                <w:szCs w:val="18"/>
              </w:rPr>
              <w:t>-</w:t>
            </w:r>
          </w:p>
        </w:tc>
        <w:tc>
          <w:tcPr>
            <w:tcW w:w="762" w:type="dxa"/>
            <w:tcBorders>
              <w:right w:val="single" w:sz="12" w:space="0" w:color="auto"/>
            </w:tcBorders>
            <w:shd w:val="clear" w:color="auto" w:fill="auto"/>
            <w:tcMar>
              <w:left w:w="58" w:type="dxa"/>
              <w:right w:w="58" w:type="dxa"/>
            </w:tcMar>
            <w:vAlign w:val="center"/>
          </w:tcPr>
          <w:p w:rsidR="00C96A4B" w:rsidRPr="00BA0298" w:rsidRDefault="00C96A4B" w:rsidP="00614C04">
            <w:pPr>
              <w:jc w:val="center"/>
              <w:rPr>
                <w:rFonts w:cs="Arial"/>
                <w:b/>
                <w:sz w:val="16"/>
                <w:szCs w:val="18"/>
              </w:rPr>
            </w:pPr>
            <w:r>
              <w:rPr>
                <w:rFonts w:cs="Arial"/>
                <w:b/>
                <w:sz w:val="16"/>
                <w:szCs w:val="18"/>
              </w:rPr>
              <w:t>-</w:t>
            </w:r>
          </w:p>
        </w:tc>
        <w:tc>
          <w:tcPr>
            <w:tcW w:w="762" w:type="dxa"/>
            <w:tcBorders>
              <w:left w:val="single" w:sz="12" w:space="0" w:color="auto"/>
            </w:tcBorders>
            <w:shd w:val="clear" w:color="auto" w:fill="auto"/>
            <w:tcMar>
              <w:left w:w="58" w:type="dxa"/>
              <w:right w:w="58" w:type="dxa"/>
            </w:tcMar>
            <w:vAlign w:val="center"/>
          </w:tcPr>
          <w:p w:rsidR="00C96A4B" w:rsidRPr="00BA0298" w:rsidRDefault="00C96A4B" w:rsidP="00614C04">
            <w:pPr>
              <w:jc w:val="center"/>
              <w:rPr>
                <w:rFonts w:cs="Arial"/>
                <w:sz w:val="16"/>
                <w:szCs w:val="18"/>
              </w:rPr>
            </w:pPr>
            <w:r w:rsidRPr="00BA0298">
              <w:rPr>
                <w:rFonts w:cs="Arial"/>
                <w:b/>
                <w:sz w:val="16"/>
                <w:szCs w:val="18"/>
              </w:rPr>
              <w:sym w:font="Wingdings" w:char="F0FC"/>
            </w:r>
          </w:p>
        </w:tc>
        <w:tc>
          <w:tcPr>
            <w:tcW w:w="761" w:type="dxa"/>
            <w:shd w:val="clear" w:color="auto" w:fill="auto"/>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sym w:font="Wingdings" w:char="F0FC"/>
            </w:r>
          </w:p>
        </w:tc>
        <w:tc>
          <w:tcPr>
            <w:tcW w:w="762" w:type="dxa"/>
            <w:tcBorders>
              <w:right w:val="single" w:sz="4" w:space="0" w:color="auto"/>
            </w:tcBorders>
            <w:shd w:val="clear" w:color="auto" w:fill="auto"/>
            <w:tcMar>
              <w:left w:w="58" w:type="dxa"/>
              <w:right w:w="58" w:type="dxa"/>
            </w:tcMar>
            <w:vAlign w:val="center"/>
          </w:tcPr>
          <w:p w:rsidR="00C96A4B" w:rsidRPr="00BA0298" w:rsidRDefault="00C96A4B" w:rsidP="00614C04">
            <w:pPr>
              <w:spacing w:after="40"/>
              <w:jc w:val="center"/>
              <w:rPr>
                <w:rFonts w:cs="Arial"/>
                <w:sz w:val="16"/>
                <w:szCs w:val="18"/>
              </w:rPr>
            </w:pPr>
            <w:r>
              <w:rPr>
                <w:rFonts w:cs="Arial"/>
                <w:b/>
                <w:sz w:val="16"/>
                <w:szCs w:val="18"/>
              </w:rPr>
              <w:t>-</w:t>
            </w:r>
          </w:p>
        </w:tc>
        <w:tc>
          <w:tcPr>
            <w:tcW w:w="762" w:type="dxa"/>
            <w:tcBorders>
              <w:left w:val="single" w:sz="4" w:space="0" w:color="auto"/>
            </w:tcBorders>
            <w:shd w:val="clear" w:color="auto" w:fill="C0C0C0"/>
            <w:tcMar>
              <w:left w:w="58" w:type="dxa"/>
              <w:right w:w="58" w:type="dxa"/>
            </w:tcMar>
            <w:vAlign w:val="center"/>
          </w:tcPr>
          <w:p w:rsidR="00C96A4B" w:rsidRPr="00BA0298" w:rsidRDefault="00C96A4B" w:rsidP="00614C04">
            <w:pPr>
              <w:jc w:val="center"/>
              <w:rPr>
                <w:rFonts w:cs="Arial"/>
                <w:b/>
                <w:sz w:val="16"/>
                <w:szCs w:val="18"/>
              </w:rPr>
            </w:pPr>
            <w:r w:rsidRPr="00BA0298">
              <w:rPr>
                <w:rFonts w:cs="Arial"/>
                <w:b/>
                <w:sz w:val="16"/>
                <w:szCs w:val="18"/>
              </w:rPr>
              <w:sym w:font="Wingdings" w:char="F0FC"/>
            </w:r>
          </w:p>
        </w:tc>
      </w:tr>
    </w:tbl>
    <w:p w:rsidR="00C96A4B" w:rsidRPr="00FC5D5C" w:rsidRDefault="00C96A4B" w:rsidP="00C96A4B">
      <w:pPr>
        <w:spacing w:before="120"/>
        <w:ind w:left="1260" w:right="14"/>
        <w:jc w:val="both"/>
        <w:rPr>
          <w:sz w:val="16"/>
          <w:szCs w:val="16"/>
        </w:rPr>
      </w:pPr>
      <w:r w:rsidRPr="00FC5D5C">
        <w:rPr>
          <w:sz w:val="16"/>
          <w:szCs w:val="16"/>
        </w:rPr>
        <w:t>Note: ‘CV</w:t>
      </w:r>
      <w:r>
        <w:rPr>
          <w:sz w:val="16"/>
          <w:szCs w:val="16"/>
        </w:rPr>
        <w:t>-</w:t>
      </w:r>
      <w:r w:rsidRPr="00FC5D5C">
        <w:rPr>
          <w:sz w:val="16"/>
          <w:szCs w:val="16"/>
        </w:rPr>
        <w:t>98’ indicates that 1998 is the reference year used. ‘CV</w:t>
      </w:r>
      <w:r>
        <w:rPr>
          <w:sz w:val="16"/>
          <w:szCs w:val="16"/>
        </w:rPr>
        <w:t>-</w:t>
      </w:r>
      <w:r w:rsidRPr="00FC5D5C">
        <w:rPr>
          <w:sz w:val="16"/>
          <w:szCs w:val="16"/>
        </w:rPr>
        <w:t>07’ uses 2007</w:t>
      </w:r>
      <w:r>
        <w:rPr>
          <w:sz w:val="16"/>
          <w:szCs w:val="16"/>
        </w:rPr>
        <w:t>.</w:t>
      </w:r>
      <w:r w:rsidRPr="00FC5D5C">
        <w:rPr>
          <w:sz w:val="16"/>
          <w:szCs w:val="16"/>
        </w:rPr>
        <w:t xml:space="preserve"> </w:t>
      </w:r>
    </w:p>
    <w:p w:rsidR="00C96A4B" w:rsidRDefault="00C96A4B" w:rsidP="00C96A4B">
      <w:pPr>
        <w:rPr>
          <w:b/>
          <w:sz w:val="20"/>
        </w:rPr>
      </w:pPr>
    </w:p>
    <w:p w:rsidR="0073224C" w:rsidRDefault="0073224C" w:rsidP="00C96A4B">
      <w:pPr>
        <w:rPr>
          <w:b/>
          <w:sz w:val="20"/>
        </w:rPr>
      </w:pPr>
    </w:p>
    <w:p w:rsidR="00C96A4B" w:rsidRPr="009D129E" w:rsidRDefault="00C96A4B" w:rsidP="00C96A4B">
      <w:pPr>
        <w:rPr>
          <w:b/>
          <w:sz w:val="20"/>
        </w:rPr>
      </w:pPr>
      <w:r w:rsidRPr="009D129E">
        <w:rPr>
          <w:b/>
          <w:sz w:val="20"/>
        </w:rPr>
        <w:t>Children in workless and working households</w:t>
      </w:r>
    </w:p>
    <w:p w:rsidR="00C96A4B" w:rsidRPr="009D129E" w:rsidRDefault="00C96A4B" w:rsidP="00C96A4B">
      <w:pPr>
        <w:rPr>
          <w:sz w:val="20"/>
        </w:rPr>
      </w:pPr>
    </w:p>
    <w:p w:rsidR="00C96A4B" w:rsidRPr="009D129E" w:rsidRDefault="00C96A4B" w:rsidP="00C96A4B">
      <w:pPr>
        <w:jc w:val="both"/>
        <w:rPr>
          <w:sz w:val="20"/>
        </w:rPr>
      </w:pPr>
      <w:r w:rsidRPr="009D129E">
        <w:rPr>
          <w:sz w:val="20"/>
        </w:rPr>
        <w:t xml:space="preserve">Policy development and public debate around improving the wellbeing of children often involve discussion about the links between child poverty rates and the labour market involvement of their parents.  A </w:t>
      </w:r>
      <w:r>
        <w:rPr>
          <w:sz w:val="20"/>
        </w:rPr>
        <w:t>special</w:t>
      </w:r>
      <w:r w:rsidRPr="009D129E">
        <w:rPr>
          <w:sz w:val="20"/>
        </w:rPr>
        <w:t xml:space="preserve"> </w:t>
      </w:r>
      <w:r>
        <w:rPr>
          <w:sz w:val="20"/>
        </w:rPr>
        <w:t>subsection at the end of this section</w:t>
      </w:r>
      <w:r w:rsidRPr="009D129E">
        <w:rPr>
          <w:sz w:val="20"/>
        </w:rPr>
        <w:t xml:space="preserve"> therefore </w:t>
      </w:r>
      <w:r>
        <w:rPr>
          <w:sz w:val="20"/>
        </w:rPr>
        <w:t>brings together in one place a range of information on the numbers of children in workless and working households, their respective poverty rates, and the composition of children identified as poor vis-à-vis the work status of adults in their households.</w:t>
      </w:r>
    </w:p>
    <w:p w:rsidR="0073224C" w:rsidRPr="0073224C" w:rsidRDefault="0073224C" w:rsidP="00C96A4B">
      <w:pPr>
        <w:pStyle w:val="Heading3"/>
        <w:rPr>
          <w:sz w:val="20"/>
          <w:szCs w:val="20"/>
        </w:rPr>
      </w:pPr>
    </w:p>
    <w:p w:rsidR="0073224C" w:rsidRPr="0073224C" w:rsidRDefault="0073224C" w:rsidP="0073224C">
      <w:pPr>
        <w:jc w:val="both"/>
        <w:rPr>
          <w:rFonts w:cs="Arial"/>
          <w:b/>
          <w:sz w:val="20"/>
        </w:rPr>
      </w:pPr>
      <w:r w:rsidRPr="0073224C">
        <w:rPr>
          <w:rFonts w:cs="Arial"/>
          <w:b/>
          <w:sz w:val="20"/>
        </w:rPr>
        <w:t>Poverty rates for children and the composition of poor children</w:t>
      </w:r>
    </w:p>
    <w:p w:rsidR="0073224C" w:rsidRDefault="0073224C" w:rsidP="0073224C">
      <w:pPr>
        <w:jc w:val="both"/>
        <w:rPr>
          <w:rFonts w:cs="Arial"/>
          <w:sz w:val="20"/>
        </w:rPr>
      </w:pPr>
    </w:p>
    <w:p w:rsidR="0073224C" w:rsidRPr="0073224C" w:rsidRDefault="0073224C" w:rsidP="0073224C">
      <w:pPr>
        <w:jc w:val="both"/>
        <w:rPr>
          <w:rFonts w:cs="Arial"/>
          <w:sz w:val="20"/>
        </w:rPr>
      </w:pPr>
      <w:r w:rsidRPr="0073224C">
        <w:rPr>
          <w:rFonts w:cs="Arial"/>
          <w:sz w:val="20"/>
        </w:rPr>
        <w:t>It is important to distinguish between the proportion of a group who are counted as poor, and the proportion of the poor who are from a particular group, that is, between rates and composition.</w:t>
      </w:r>
    </w:p>
    <w:p w:rsidR="0073224C" w:rsidRPr="0073224C" w:rsidRDefault="0073224C" w:rsidP="0073224C">
      <w:pPr>
        <w:jc w:val="both"/>
        <w:rPr>
          <w:rFonts w:cs="Arial"/>
          <w:sz w:val="20"/>
        </w:rPr>
      </w:pPr>
    </w:p>
    <w:p w:rsidR="00C96A4B" w:rsidRPr="009D129E" w:rsidRDefault="0073224C" w:rsidP="0073224C">
      <w:pPr>
        <w:pStyle w:val="Heading3"/>
        <w:rPr>
          <w:sz w:val="20"/>
          <w:szCs w:val="22"/>
        </w:rPr>
      </w:pPr>
      <w:r w:rsidRPr="0073224C">
        <w:rPr>
          <w:b w:val="0"/>
          <w:sz w:val="20"/>
        </w:rPr>
        <w:t xml:space="preserve">In </w:t>
      </w:r>
      <w:r w:rsidRPr="0073224C">
        <w:rPr>
          <w:sz w:val="20"/>
        </w:rPr>
        <w:t>Appendix 10</w:t>
      </w:r>
      <w:r w:rsidRPr="0073224C">
        <w:rPr>
          <w:b w:val="0"/>
          <w:sz w:val="20"/>
        </w:rPr>
        <w:t xml:space="preserve"> </w:t>
      </w:r>
      <w:r w:rsidR="008218EC">
        <w:rPr>
          <w:b w:val="0"/>
          <w:sz w:val="20"/>
        </w:rPr>
        <w:t>rate and composition</w:t>
      </w:r>
      <w:r w:rsidRPr="0073224C">
        <w:rPr>
          <w:b w:val="0"/>
          <w:sz w:val="20"/>
        </w:rPr>
        <w:t xml:space="preserve"> statistics are summarised for children by household type,</w:t>
      </w:r>
      <w:r>
        <w:rPr>
          <w:b w:val="0"/>
          <w:sz w:val="20"/>
        </w:rPr>
        <w:t xml:space="preserve"> </w:t>
      </w:r>
      <w:r w:rsidR="008218EC">
        <w:rPr>
          <w:b w:val="0"/>
          <w:sz w:val="20"/>
        </w:rPr>
        <w:t xml:space="preserve">family type, </w:t>
      </w:r>
      <w:r w:rsidRPr="0073224C">
        <w:rPr>
          <w:b w:val="0"/>
          <w:sz w:val="20"/>
        </w:rPr>
        <w:t>number of children in the household</w:t>
      </w:r>
      <w:r>
        <w:rPr>
          <w:b w:val="0"/>
          <w:sz w:val="20"/>
        </w:rPr>
        <w:t xml:space="preserve">, </w:t>
      </w:r>
      <w:r w:rsidRPr="0073224C">
        <w:rPr>
          <w:b w:val="0"/>
          <w:sz w:val="20"/>
        </w:rPr>
        <w:t>ethnicity</w:t>
      </w:r>
      <w:r>
        <w:rPr>
          <w:b w:val="0"/>
          <w:sz w:val="20"/>
        </w:rPr>
        <w:t>,</w:t>
      </w:r>
      <w:r w:rsidRPr="0073224C">
        <w:rPr>
          <w:b w:val="0"/>
          <w:sz w:val="20"/>
        </w:rPr>
        <w:t xml:space="preserve"> tenure and main source of income</w:t>
      </w:r>
      <w:r>
        <w:rPr>
          <w:b w:val="0"/>
          <w:sz w:val="20"/>
        </w:rPr>
        <w:t xml:space="preserve"> for the household</w:t>
      </w:r>
      <w:r w:rsidRPr="0073224C">
        <w:rPr>
          <w:b w:val="0"/>
          <w:sz w:val="20"/>
        </w:rPr>
        <w:t xml:space="preserve"> (benefit or market).</w:t>
      </w:r>
      <w:r>
        <w:rPr>
          <w:sz w:val="20"/>
        </w:rPr>
        <w:t xml:space="preserve"> </w:t>
      </w:r>
      <w:r w:rsidR="00C96A4B">
        <w:rPr>
          <w:sz w:val="28"/>
          <w:szCs w:val="28"/>
        </w:rPr>
        <w:br w:type="page"/>
      </w:r>
      <w:r w:rsidR="00C96A4B" w:rsidRPr="009D129E">
        <w:rPr>
          <w:szCs w:val="24"/>
        </w:rPr>
        <w:lastRenderedPageBreak/>
        <w:t xml:space="preserve"> </w:t>
      </w:r>
      <w:r w:rsidR="00C96A4B">
        <w:rPr>
          <w:sz w:val="20"/>
          <w:szCs w:val="22"/>
        </w:rPr>
        <w:t>Children</w:t>
      </w:r>
      <w:r w:rsidR="00C96A4B" w:rsidRPr="009D129E">
        <w:rPr>
          <w:sz w:val="20"/>
          <w:szCs w:val="22"/>
        </w:rPr>
        <w:t xml:space="preserve"> in low-income households by age</w:t>
      </w:r>
    </w:p>
    <w:p w:rsidR="00C96A4B" w:rsidRPr="009D129E" w:rsidRDefault="00C96A4B" w:rsidP="00C96A4B">
      <w:pPr>
        <w:rPr>
          <w:sz w:val="20"/>
        </w:rPr>
      </w:pPr>
    </w:p>
    <w:p w:rsidR="00C96A4B" w:rsidRPr="009D129E" w:rsidRDefault="00C96A4B" w:rsidP="00614C04">
      <w:pPr>
        <w:numPr>
          <w:ilvl w:val="0"/>
          <w:numId w:val="50"/>
        </w:numPr>
        <w:tabs>
          <w:tab w:val="clear" w:pos="720"/>
          <w:tab w:val="num" w:pos="540"/>
        </w:tabs>
        <w:ind w:left="540" w:hanging="270"/>
        <w:jc w:val="both"/>
        <w:rPr>
          <w:sz w:val="20"/>
          <w:szCs w:val="22"/>
        </w:rPr>
      </w:pPr>
      <w:r w:rsidRPr="002865A5">
        <w:rPr>
          <w:b/>
          <w:sz w:val="20"/>
          <w:szCs w:val="22"/>
        </w:rPr>
        <w:t>Figure H.1</w:t>
      </w:r>
      <w:r>
        <w:rPr>
          <w:sz w:val="20"/>
          <w:szCs w:val="22"/>
        </w:rPr>
        <w:t xml:space="preserve"> shows that from 1982 to 2011, p</w:t>
      </w:r>
      <w:r w:rsidRPr="009D129E">
        <w:rPr>
          <w:sz w:val="20"/>
          <w:szCs w:val="22"/>
        </w:rPr>
        <w:t xml:space="preserve">overty rates for younger children (0 to </w:t>
      </w:r>
      <w:r>
        <w:rPr>
          <w:sz w:val="20"/>
          <w:szCs w:val="22"/>
        </w:rPr>
        <w:t xml:space="preserve">11 </w:t>
      </w:r>
      <w:r w:rsidRPr="009D129E">
        <w:rPr>
          <w:sz w:val="20"/>
          <w:szCs w:val="22"/>
        </w:rPr>
        <w:t xml:space="preserve">years) were consistently higher than </w:t>
      </w:r>
      <w:r>
        <w:rPr>
          <w:sz w:val="20"/>
          <w:szCs w:val="22"/>
        </w:rPr>
        <w:t xml:space="preserve">the rates </w:t>
      </w:r>
      <w:r w:rsidRPr="009D129E">
        <w:rPr>
          <w:sz w:val="20"/>
          <w:szCs w:val="22"/>
        </w:rPr>
        <w:t xml:space="preserve">for older children (12 to 17 years).  </w:t>
      </w:r>
    </w:p>
    <w:p w:rsidR="00C96A4B" w:rsidRDefault="00C96A4B" w:rsidP="00614C04">
      <w:pPr>
        <w:numPr>
          <w:ilvl w:val="0"/>
          <w:numId w:val="50"/>
        </w:numPr>
        <w:tabs>
          <w:tab w:val="clear" w:pos="720"/>
          <w:tab w:val="num" w:pos="540"/>
        </w:tabs>
        <w:spacing w:before="120"/>
        <w:ind w:left="548" w:hanging="274"/>
        <w:jc w:val="both"/>
        <w:rPr>
          <w:sz w:val="20"/>
          <w:szCs w:val="22"/>
        </w:rPr>
      </w:pPr>
      <w:r w:rsidRPr="002865A5">
        <w:rPr>
          <w:b/>
          <w:sz w:val="20"/>
          <w:szCs w:val="22"/>
        </w:rPr>
        <w:t>Table H.2</w:t>
      </w:r>
      <w:r>
        <w:rPr>
          <w:sz w:val="20"/>
          <w:szCs w:val="22"/>
        </w:rPr>
        <w:t xml:space="preserve"> breaks the younger group into two groups (0-6 yrs and 7-11 yrs).  In most years there is little difference in poverty rates for these two younger subgroups on any of the three measures. </w:t>
      </w:r>
    </w:p>
    <w:p w:rsidR="00C96A4B" w:rsidRPr="009D129E" w:rsidRDefault="00C96A4B" w:rsidP="00C96A4B">
      <w:pPr>
        <w:rPr>
          <w:sz w:val="20"/>
        </w:rPr>
      </w:pPr>
    </w:p>
    <w:p w:rsidR="00C96A4B" w:rsidRPr="009D129E" w:rsidRDefault="00C96A4B" w:rsidP="00C96A4B">
      <w:pPr>
        <w:pStyle w:val="Heading3"/>
        <w:jc w:val="center"/>
        <w:rPr>
          <w:sz w:val="18"/>
          <w:szCs w:val="20"/>
        </w:rPr>
      </w:pPr>
      <w:r w:rsidRPr="009D129E">
        <w:rPr>
          <w:sz w:val="18"/>
          <w:szCs w:val="20"/>
        </w:rPr>
        <w:t>Figure H.1</w:t>
      </w:r>
    </w:p>
    <w:p w:rsidR="00C96A4B" w:rsidRPr="009D129E" w:rsidRDefault="00C96A4B" w:rsidP="00C96A4B">
      <w:pPr>
        <w:jc w:val="center"/>
        <w:rPr>
          <w:b/>
          <w:sz w:val="18"/>
        </w:rPr>
      </w:pPr>
      <w:r w:rsidRPr="009D129E">
        <w:rPr>
          <w:b/>
          <w:sz w:val="18"/>
        </w:rPr>
        <w:t>Proportion of children in low-income households by age (</w:t>
      </w:r>
      <w:smartTag w:uri="urn:schemas-microsoft-com:office:smarttags" w:element="stockticker">
        <w:r w:rsidRPr="009D129E">
          <w:rPr>
            <w:b/>
            <w:sz w:val="18"/>
          </w:rPr>
          <w:t>AHC</w:t>
        </w:r>
      </w:smartTag>
      <w:r>
        <w:rPr>
          <w:b/>
          <w:sz w:val="18"/>
        </w:rPr>
        <w:t>, fixed line</w:t>
      </w:r>
      <w:r w:rsidRPr="009D129E">
        <w:rPr>
          <w:b/>
          <w:sz w:val="18"/>
        </w:rPr>
        <w:t>)</w:t>
      </w:r>
    </w:p>
    <w:p w:rsidR="00C96A4B" w:rsidRPr="00F100EF" w:rsidRDefault="00EC0BE0" w:rsidP="00C96A4B">
      <w:pPr>
        <w:pStyle w:val="Heading3"/>
        <w:jc w:val="center"/>
      </w:pPr>
      <w:r>
        <w:rPr>
          <w:noProof/>
          <w:lang w:val="en-US"/>
        </w:rPr>
        <w:drawing>
          <wp:inline distT="0" distB="0" distL="0" distR="0">
            <wp:extent cx="4191000" cy="2581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srcRect/>
                    <a:stretch>
                      <a:fillRect/>
                    </a:stretch>
                  </pic:blipFill>
                  <pic:spPr bwMode="auto">
                    <a:xfrm>
                      <a:off x="0" y="0"/>
                      <a:ext cx="4191000" cy="2581275"/>
                    </a:xfrm>
                    <a:prstGeom prst="rect">
                      <a:avLst/>
                    </a:prstGeom>
                    <a:noFill/>
                    <a:ln w="9525">
                      <a:noFill/>
                      <a:miter lim="800000"/>
                      <a:headEnd/>
                      <a:tailEnd/>
                    </a:ln>
                  </pic:spPr>
                </pic:pic>
              </a:graphicData>
            </a:graphic>
          </wp:inline>
        </w:drawing>
      </w:r>
    </w:p>
    <w:p w:rsidR="00C96A4B" w:rsidRPr="009D129E" w:rsidRDefault="00C96A4B" w:rsidP="00C96A4B">
      <w:pPr>
        <w:jc w:val="center"/>
        <w:rPr>
          <w:rFonts w:cs="Arial"/>
          <w:b/>
          <w:sz w:val="18"/>
        </w:rPr>
      </w:pPr>
    </w:p>
    <w:p w:rsidR="00C96A4B" w:rsidRPr="009D129E" w:rsidRDefault="00C96A4B" w:rsidP="00C96A4B">
      <w:pPr>
        <w:jc w:val="center"/>
        <w:rPr>
          <w:rFonts w:cs="Arial"/>
          <w:b/>
          <w:sz w:val="18"/>
        </w:rPr>
      </w:pPr>
      <w:r w:rsidRPr="009D129E">
        <w:rPr>
          <w:rFonts w:cs="Arial"/>
          <w:b/>
          <w:sz w:val="18"/>
        </w:rPr>
        <w:t xml:space="preserve">Table </w:t>
      </w:r>
      <w:r>
        <w:rPr>
          <w:rFonts w:cs="Arial"/>
          <w:b/>
          <w:sz w:val="18"/>
        </w:rPr>
        <w:t>H</w:t>
      </w:r>
      <w:r w:rsidRPr="009D129E">
        <w:rPr>
          <w:rFonts w:cs="Arial"/>
          <w:b/>
          <w:sz w:val="18"/>
        </w:rPr>
        <w:t>.2</w:t>
      </w:r>
    </w:p>
    <w:p w:rsidR="00C96A4B" w:rsidRPr="009D129E" w:rsidRDefault="00C96A4B" w:rsidP="00C96A4B">
      <w:pPr>
        <w:spacing w:after="120"/>
        <w:jc w:val="center"/>
        <w:rPr>
          <w:sz w:val="20"/>
        </w:rPr>
      </w:pPr>
      <w:r>
        <w:rPr>
          <w:b/>
          <w:sz w:val="18"/>
        </w:rPr>
        <w:t xml:space="preserve">A.  </w:t>
      </w:r>
      <w:r w:rsidRPr="009D129E">
        <w:rPr>
          <w:b/>
          <w:sz w:val="18"/>
        </w:rPr>
        <w:t xml:space="preserve">Proportion of </w:t>
      </w:r>
      <w:r>
        <w:rPr>
          <w:b/>
          <w:sz w:val="18"/>
        </w:rPr>
        <w:t>children</w:t>
      </w:r>
      <w:r w:rsidRPr="009D129E">
        <w:rPr>
          <w:b/>
          <w:sz w:val="18"/>
        </w:rPr>
        <w:t xml:space="preserve"> in low-income households by age</w:t>
      </w:r>
      <w:r>
        <w:rPr>
          <w:b/>
          <w:sz w:val="18"/>
        </w:rPr>
        <w:t>, 60% CV threshold (</w:t>
      </w:r>
      <w:smartTag w:uri="urn:schemas-microsoft-com:office:smarttags" w:element="stockticker">
        <w:r>
          <w:rPr>
            <w:b/>
            <w:sz w:val="18"/>
          </w:rPr>
          <w:t>AHC</w:t>
        </w:r>
      </w:smartTag>
      <w:r>
        <w:rPr>
          <w:b/>
          <w:sz w:val="18"/>
        </w:rPr>
        <w:t>)</w:t>
      </w:r>
    </w:p>
    <w:tbl>
      <w:tblPr>
        <w:tblStyle w:val="TableGrid"/>
        <w:tblW w:w="0" w:type="auto"/>
        <w:jc w:val="center"/>
        <w:tblLook w:val="01E0"/>
      </w:tblPr>
      <w:tblGrid>
        <w:gridCol w:w="616"/>
        <w:gridCol w:w="515"/>
        <w:gridCol w:w="516"/>
        <w:gridCol w:w="516"/>
        <w:gridCol w:w="515"/>
        <w:gridCol w:w="516"/>
        <w:gridCol w:w="516"/>
        <w:gridCol w:w="516"/>
        <w:gridCol w:w="515"/>
        <w:gridCol w:w="516"/>
        <w:gridCol w:w="516"/>
        <w:gridCol w:w="516"/>
        <w:gridCol w:w="515"/>
        <w:gridCol w:w="516"/>
        <w:gridCol w:w="516"/>
        <w:gridCol w:w="516"/>
      </w:tblGrid>
      <w:tr w:rsidR="00C96A4B">
        <w:trPr>
          <w:jc w:val="center"/>
        </w:trPr>
        <w:tc>
          <w:tcPr>
            <w:tcW w:w="616" w:type="dxa"/>
            <w:tcBorders>
              <w:bottom w:val="single" w:sz="4" w:space="0" w:color="auto"/>
            </w:tcBorders>
            <w:vAlign w:val="center"/>
          </w:tcPr>
          <w:p w:rsidR="00C96A4B" w:rsidRPr="00F953D9" w:rsidRDefault="00C96A4B" w:rsidP="00614C04">
            <w:pPr>
              <w:spacing w:before="40" w:after="40"/>
              <w:jc w:val="center"/>
              <w:rPr>
                <w:rFonts w:cs="Arial"/>
                <w:b/>
                <w:sz w:val="14"/>
                <w:szCs w:val="16"/>
              </w:rPr>
            </w:pPr>
          </w:p>
        </w:tc>
        <w:tc>
          <w:tcPr>
            <w:tcW w:w="5673" w:type="dxa"/>
            <w:gridSpan w:val="11"/>
            <w:tcBorders>
              <w:bottom w:val="single" w:sz="4" w:space="0" w:color="auto"/>
              <w:right w:val="single" w:sz="12"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Reference year = 1998</w:t>
            </w:r>
          </w:p>
        </w:tc>
        <w:tc>
          <w:tcPr>
            <w:tcW w:w="2063" w:type="dxa"/>
            <w:gridSpan w:val="4"/>
            <w:tcBorders>
              <w:left w:val="single" w:sz="12" w:space="0" w:color="auto"/>
              <w:bottom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Reference year = 2007</w:t>
            </w:r>
          </w:p>
        </w:tc>
      </w:tr>
      <w:tr w:rsidR="00C96A4B">
        <w:trPr>
          <w:jc w:val="center"/>
        </w:trPr>
        <w:tc>
          <w:tcPr>
            <w:tcW w:w="616" w:type="dxa"/>
            <w:tcBorders>
              <w:bottom w:val="single" w:sz="4" w:space="0" w:color="auto"/>
            </w:tcBorders>
            <w:vAlign w:val="center"/>
          </w:tcPr>
          <w:p w:rsidR="00C96A4B" w:rsidRPr="00F953D9" w:rsidRDefault="00C96A4B" w:rsidP="00614C04">
            <w:pPr>
              <w:spacing w:before="40" w:after="40"/>
              <w:jc w:val="center"/>
              <w:rPr>
                <w:rFonts w:cs="Arial"/>
                <w:b/>
                <w:sz w:val="14"/>
                <w:szCs w:val="16"/>
              </w:rPr>
            </w:pPr>
          </w:p>
        </w:tc>
        <w:tc>
          <w:tcPr>
            <w:tcW w:w="515" w:type="dxa"/>
            <w:tcBorders>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1984</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1986</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1988</w:t>
            </w:r>
          </w:p>
        </w:tc>
        <w:tc>
          <w:tcPr>
            <w:tcW w:w="515"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1990</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1992</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1994</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1996</w:t>
            </w:r>
          </w:p>
        </w:tc>
        <w:tc>
          <w:tcPr>
            <w:tcW w:w="515"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1998</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2001</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2004</w:t>
            </w:r>
          </w:p>
        </w:tc>
        <w:tc>
          <w:tcPr>
            <w:tcW w:w="516" w:type="dxa"/>
            <w:tcBorders>
              <w:left w:val="nil"/>
              <w:bottom w:val="single" w:sz="4" w:space="0" w:color="auto"/>
              <w:right w:val="single" w:sz="12"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2007</w:t>
            </w:r>
          </w:p>
        </w:tc>
        <w:tc>
          <w:tcPr>
            <w:tcW w:w="515" w:type="dxa"/>
            <w:tcBorders>
              <w:left w:val="single" w:sz="12" w:space="0" w:color="auto"/>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2007</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2009</w:t>
            </w:r>
          </w:p>
        </w:tc>
        <w:tc>
          <w:tcPr>
            <w:tcW w:w="516" w:type="dxa"/>
            <w:tcBorders>
              <w:left w:val="nil"/>
              <w:bottom w:val="single" w:sz="4" w:space="0" w:color="auto"/>
              <w:right w:val="nil"/>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2010</w:t>
            </w:r>
          </w:p>
        </w:tc>
        <w:tc>
          <w:tcPr>
            <w:tcW w:w="516" w:type="dxa"/>
            <w:tcBorders>
              <w:left w:val="nil"/>
              <w:bottom w:val="single" w:sz="4"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616" w:type="dxa"/>
            <w:tcBorders>
              <w:bottom w:val="nil"/>
            </w:tcBorders>
            <w:tcMar>
              <w:left w:w="115" w:type="dxa"/>
              <w:right w:w="115" w:type="dxa"/>
            </w:tcMar>
            <w:vAlign w:val="center"/>
          </w:tcPr>
          <w:p w:rsidR="00C96A4B" w:rsidRPr="00854E6C" w:rsidRDefault="00C96A4B" w:rsidP="00614C04">
            <w:pPr>
              <w:spacing w:before="40" w:after="40"/>
              <w:jc w:val="center"/>
              <w:rPr>
                <w:rFonts w:cs="Arial"/>
                <w:b/>
                <w:sz w:val="14"/>
                <w:szCs w:val="16"/>
              </w:rPr>
            </w:pPr>
            <w:r w:rsidRPr="00854E6C">
              <w:rPr>
                <w:rFonts w:cs="Arial"/>
                <w:b/>
                <w:sz w:val="14"/>
                <w:szCs w:val="16"/>
              </w:rPr>
              <w:t>0-6</w:t>
            </w:r>
          </w:p>
        </w:tc>
        <w:tc>
          <w:tcPr>
            <w:tcW w:w="515" w:type="dxa"/>
            <w:tcBorders>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15</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13</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14</w:t>
            </w:r>
          </w:p>
        </w:tc>
        <w:tc>
          <w:tcPr>
            <w:tcW w:w="515"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18</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36</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39</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34</w:t>
            </w:r>
          </w:p>
        </w:tc>
        <w:tc>
          <w:tcPr>
            <w:tcW w:w="515"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31</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31</w:t>
            </w:r>
          </w:p>
        </w:tc>
        <w:tc>
          <w:tcPr>
            <w:tcW w:w="516" w:type="dxa"/>
            <w:tcBorders>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23</w:t>
            </w:r>
          </w:p>
        </w:tc>
        <w:tc>
          <w:tcPr>
            <w:tcW w:w="516" w:type="dxa"/>
            <w:tcBorders>
              <w:left w:val="nil"/>
              <w:bottom w:val="nil"/>
              <w:right w:val="single" w:sz="12" w:space="0" w:color="auto"/>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20</w:t>
            </w:r>
          </w:p>
        </w:tc>
        <w:tc>
          <w:tcPr>
            <w:tcW w:w="515" w:type="dxa"/>
            <w:tcBorders>
              <w:left w:val="single" w:sz="12" w:space="0" w:color="auto"/>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25</w:t>
            </w:r>
          </w:p>
        </w:tc>
        <w:tc>
          <w:tcPr>
            <w:tcW w:w="516" w:type="dxa"/>
            <w:tcBorders>
              <w:left w:val="nil"/>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16" w:type="dxa"/>
            <w:tcBorders>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22</w:t>
            </w:r>
          </w:p>
        </w:tc>
        <w:tc>
          <w:tcPr>
            <w:tcW w:w="516" w:type="dxa"/>
            <w:tcBorders>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21</w:t>
            </w:r>
          </w:p>
        </w:tc>
      </w:tr>
      <w:tr w:rsidR="00C96A4B">
        <w:trPr>
          <w:jc w:val="center"/>
        </w:trPr>
        <w:tc>
          <w:tcPr>
            <w:tcW w:w="616" w:type="dxa"/>
            <w:tcBorders>
              <w:top w:val="nil"/>
              <w:bottom w:val="nil"/>
            </w:tcBorders>
            <w:tcMar>
              <w:left w:w="115" w:type="dxa"/>
              <w:right w:w="115" w:type="dxa"/>
            </w:tcMar>
            <w:vAlign w:val="center"/>
          </w:tcPr>
          <w:p w:rsidR="00C96A4B" w:rsidRPr="00854E6C" w:rsidRDefault="00C96A4B" w:rsidP="00614C04">
            <w:pPr>
              <w:spacing w:before="40" w:after="40"/>
              <w:jc w:val="center"/>
              <w:rPr>
                <w:rFonts w:cs="Arial"/>
                <w:b/>
                <w:sz w:val="14"/>
                <w:szCs w:val="16"/>
              </w:rPr>
            </w:pPr>
            <w:r w:rsidRPr="00854E6C">
              <w:rPr>
                <w:rFonts w:cs="Arial"/>
                <w:b/>
                <w:sz w:val="14"/>
                <w:szCs w:val="16"/>
              </w:rPr>
              <w:t>7-11</w:t>
            </w:r>
          </w:p>
        </w:tc>
        <w:tc>
          <w:tcPr>
            <w:tcW w:w="515" w:type="dxa"/>
            <w:tcBorders>
              <w:top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17</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12</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13</w:t>
            </w:r>
          </w:p>
        </w:tc>
        <w:tc>
          <w:tcPr>
            <w:tcW w:w="515"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19</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33</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38</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33</w:t>
            </w:r>
          </w:p>
        </w:tc>
        <w:tc>
          <w:tcPr>
            <w:tcW w:w="515"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29</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29</w:t>
            </w:r>
          </w:p>
        </w:tc>
        <w:tc>
          <w:tcPr>
            <w:tcW w:w="516" w:type="dxa"/>
            <w:tcBorders>
              <w:top w:val="nil"/>
              <w:left w:val="nil"/>
              <w:bottom w:val="nil"/>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25</w:t>
            </w:r>
          </w:p>
        </w:tc>
        <w:tc>
          <w:tcPr>
            <w:tcW w:w="516" w:type="dxa"/>
            <w:tcBorders>
              <w:top w:val="nil"/>
              <w:left w:val="nil"/>
              <w:bottom w:val="nil"/>
              <w:right w:val="single" w:sz="12" w:space="0" w:color="auto"/>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16</w:t>
            </w:r>
          </w:p>
        </w:tc>
        <w:tc>
          <w:tcPr>
            <w:tcW w:w="515" w:type="dxa"/>
            <w:tcBorders>
              <w:top w:val="nil"/>
              <w:left w:val="single" w:sz="12" w:space="0" w:color="auto"/>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16" w:type="dxa"/>
            <w:tcBorders>
              <w:top w:val="nil"/>
              <w:left w:val="nil"/>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25</w:t>
            </w:r>
          </w:p>
        </w:tc>
        <w:tc>
          <w:tcPr>
            <w:tcW w:w="516"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24</w:t>
            </w:r>
          </w:p>
        </w:tc>
        <w:tc>
          <w:tcPr>
            <w:tcW w:w="516" w:type="dxa"/>
            <w:tcBorders>
              <w:top w:val="nil"/>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24</w:t>
            </w:r>
          </w:p>
        </w:tc>
      </w:tr>
      <w:tr w:rsidR="00C96A4B">
        <w:trPr>
          <w:jc w:val="center"/>
        </w:trPr>
        <w:tc>
          <w:tcPr>
            <w:tcW w:w="616" w:type="dxa"/>
            <w:tcBorders>
              <w:top w:val="nil"/>
              <w:bottom w:val="single" w:sz="4" w:space="0" w:color="auto"/>
            </w:tcBorders>
            <w:tcMar>
              <w:left w:w="115" w:type="dxa"/>
              <w:right w:w="115" w:type="dxa"/>
            </w:tcMar>
            <w:vAlign w:val="center"/>
          </w:tcPr>
          <w:p w:rsidR="00C96A4B" w:rsidRPr="00854E6C" w:rsidRDefault="00C96A4B" w:rsidP="00614C04">
            <w:pPr>
              <w:spacing w:before="40" w:after="40"/>
              <w:jc w:val="center"/>
              <w:rPr>
                <w:rFonts w:cs="Arial"/>
                <w:b/>
                <w:sz w:val="14"/>
                <w:szCs w:val="16"/>
              </w:rPr>
            </w:pPr>
            <w:r w:rsidRPr="00854E6C">
              <w:rPr>
                <w:rFonts w:cs="Arial"/>
                <w:b/>
                <w:sz w:val="14"/>
                <w:szCs w:val="16"/>
              </w:rPr>
              <w:t>12-17</w:t>
            </w:r>
          </w:p>
        </w:tc>
        <w:tc>
          <w:tcPr>
            <w:tcW w:w="515" w:type="dxa"/>
            <w:tcBorders>
              <w:top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13</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8</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10</w:t>
            </w:r>
          </w:p>
        </w:tc>
        <w:tc>
          <w:tcPr>
            <w:tcW w:w="515"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11</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27</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28</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28</w:t>
            </w:r>
          </w:p>
        </w:tc>
        <w:tc>
          <w:tcPr>
            <w:tcW w:w="515"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21</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23</w:t>
            </w:r>
          </w:p>
        </w:tc>
        <w:tc>
          <w:tcPr>
            <w:tcW w:w="516" w:type="dxa"/>
            <w:tcBorders>
              <w:top w:val="nil"/>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22</w:t>
            </w:r>
          </w:p>
        </w:tc>
        <w:tc>
          <w:tcPr>
            <w:tcW w:w="516" w:type="dxa"/>
            <w:tcBorders>
              <w:top w:val="nil"/>
              <w:left w:val="nil"/>
              <w:bottom w:val="single" w:sz="4" w:space="0" w:color="auto"/>
              <w:right w:val="single" w:sz="12" w:space="0" w:color="auto"/>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14</w:t>
            </w:r>
          </w:p>
        </w:tc>
        <w:tc>
          <w:tcPr>
            <w:tcW w:w="515" w:type="dxa"/>
            <w:tcBorders>
              <w:top w:val="nil"/>
              <w:left w:val="single" w:sz="12" w:space="0" w:color="auto"/>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19</w:t>
            </w:r>
          </w:p>
        </w:tc>
        <w:tc>
          <w:tcPr>
            <w:tcW w:w="516" w:type="dxa"/>
            <w:tcBorders>
              <w:top w:val="nil"/>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19</w:t>
            </w:r>
          </w:p>
        </w:tc>
        <w:tc>
          <w:tcPr>
            <w:tcW w:w="516" w:type="dxa"/>
            <w:tcBorders>
              <w:top w:val="nil"/>
              <w:left w:val="nil"/>
              <w:bottom w:val="single" w:sz="4" w:space="0" w:color="auto"/>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19</w:t>
            </w:r>
          </w:p>
        </w:tc>
        <w:tc>
          <w:tcPr>
            <w:tcW w:w="516" w:type="dxa"/>
            <w:tcBorders>
              <w:top w:val="nil"/>
              <w:left w:val="nil"/>
              <w:bottom w:val="single" w:sz="4" w:space="0" w:color="auto"/>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20</w:t>
            </w:r>
          </w:p>
        </w:tc>
      </w:tr>
      <w:tr w:rsidR="00C96A4B">
        <w:trPr>
          <w:jc w:val="center"/>
        </w:trPr>
        <w:tc>
          <w:tcPr>
            <w:tcW w:w="616" w:type="dxa"/>
            <w:tcBorders>
              <w:top w:val="single" w:sz="4" w:space="0" w:color="auto"/>
              <w:bottom w:val="single" w:sz="4" w:space="0" w:color="auto"/>
              <w:right w:val="single" w:sz="4" w:space="0" w:color="auto"/>
            </w:tcBorders>
            <w:tcMar>
              <w:left w:w="115" w:type="dxa"/>
              <w:right w:w="115" w:type="dxa"/>
            </w:tcMar>
            <w:vAlign w:val="center"/>
          </w:tcPr>
          <w:p w:rsidR="00C96A4B" w:rsidRPr="00854E6C" w:rsidRDefault="00C96A4B" w:rsidP="00614C04">
            <w:pPr>
              <w:spacing w:before="40" w:after="40"/>
              <w:jc w:val="center"/>
              <w:rPr>
                <w:rFonts w:cs="Arial"/>
                <w:b/>
                <w:sz w:val="14"/>
                <w:szCs w:val="16"/>
              </w:rPr>
            </w:pPr>
            <w:r w:rsidRPr="00854E6C">
              <w:rPr>
                <w:rFonts w:cs="Arial"/>
                <w:b/>
                <w:sz w:val="14"/>
                <w:szCs w:val="16"/>
              </w:rPr>
              <w:t>0-17</w:t>
            </w:r>
          </w:p>
        </w:tc>
        <w:tc>
          <w:tcPr>
            <w:tcW w:w="515" w:type="dxa"/>
            <w:tcBorders>
              <w:top w:val="single" w:sz="4" w:space="0" w:color="auto"/>
              <w:left w:val="single" w:sz="4" w:space="0" w:color="auto"/>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15</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11</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12</w:t>
            </w:r>
          </w:p>
        </w:tc>
        <w:tc>
          <w:tcPr>
            <w:tcW w:w="515"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16</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32</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35</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32</w:t>
            </w:r>
          </w:p>
        </w:tc>
        <w:tc>
          <w:tcPr>
            <w:tcW w:w="515"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27</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28</w:t>
            </w:r>
          </w:p>
        </w:tc>
        <w:tc>
          <w:tcPr>
            <w:tcW w:w="516" w:type="dxa"/>
            <w:tcBorders>
              <w:top w:val="single" w:sz="4" w:space="0" w:color="auto"/>
              <w:left w:val="nil"/>
              <w:bottom w:val="single" w:sz="4" w:space="0" w:color="auto"/>
              <w:right w:val="nil"/>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23</w:t>
            </w:r>
          </w:p>
        </w:tc>
        <w:tc>
          <w:tcPr>
            <w:tcW w:w="516" w:type="dxa"/>
            <w:tcBorders>
              <w:top w:val="single" w:sz="4" w:space="0" w:color="auto"/>
              <w:left w:val="nil"/>
              <w:bottom w:val="single" w:sz="4" w:space="0" w:color="auto"/>
              <w:right w:val="single" w:sz="12" w:space="0" w:color="auto"/>
            </w:tcBorders>
            <w:tcMar>
              <w:left w:w="29" w:type="dxa"/>
              <w:right w:w="29" w:type="dxa"/>
            </w:tcMar>
            <w:vAlign w:val="center"/>
          </w:tcPr>
          <w:p w:rsidR="00C96A4B" w:rsidRPr="00854E6C" w:rsidRDefault="00C96A4B" w:rsidP="00614C04">
            <w:pPr>
              <w:spacing w:before="40" w:after="40"/>
              <w:jc w:val="center"/>
              <w:rPr>
                <w:rFonts w:cs="Arial"/>
                <w:sz w:val="14"/>
                <w:szCs w:val="16"/>
              </w:rPr>
            </w:pPr>
            <w:r w:rsidRPr="00854E6C">
              <w:rPr>
                <w:rFonts w:cs="Arial"/>
                <w:sz w:val="14"/>
                <w:szCs w:val="16"/>
              </w:rPr>
              <w:t>16</w:t>
            </w:r>
          </w:p>
        </w:tc>
        <w:tc>
          <w:tcPr>
            <w:tcW w:w="515" w:type="dxa"/>
            <w:tcBorders>
              <w:top w:val="single" w:sz="4" w:space="0" w:color="auto"/>
              <w:left w:val="single" w:sz="12" w:space="0" w:color="auto"/>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16" w:type="dxa"/>
            <w:tcBorders>
              <w:top w:val="single" w:sz="4" w:space="0" w:color="auto"/>
              <w:left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16" w:type="dxa"/>
            <w:tcBorders>
              <w:top w:val="single" w:sz="4" w:space="0" w:color="auto"/>
              <w:left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22</w:t>
            </w:r>
          </w:p>
        </w:tc>
        <w:tc>
          <w:tcPr>
            <w:tcW w:w="516" w:type="dxa"/>
            <w:tcBorders>
              <w:top w:val="single" w:sz="4" w:space="0" w:color="auto"/>
              <w:lef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21</w:t>
            </w:r>
          </w:p>
        </w:tc>
      </w:tr>
    </w:tbl>
    <w:p w:rsidR="00C96A4B" w:rsidRDefault="00C96A4B" w:rsidP="00C96A4B">
      <w:pPr>
        <w:ind w:left="360"/>
        <w:rPr>
          <w:b/>
          <w:sz w:val="18"/>
          <w:szCs w:val="18"/>
        </w:rPr>
      </w:pPr>
    </w:p>
    <w:p w:rsidR="00C96A4B" w:rsidRDefault="00C96A4B" w:rsidP="00C96A4B">
      <w:pPr>
        <w:ind w:left="360"/>
        <w:rPr>
          <w:b/>
          <w:sz w:val="18"/>
          <w:szCs w:val="18"/>
        </w:rPr>
      </w:pPr>
    </w:p>
    <w:p w:rsidR="00C96A4B" w:rsidRPr="009D129E" w:rsidRDefault="00C96A4B" w:rsidP="00C96A4B">
      <w:pPr>
        <w:spacing w:after="120"/>
        <w:jc w:val="center"/>
        <w:rPr>
          <w:sz w:val="20"/>
        </w:rPr>
      </w:pPr>
      <w:r>
        <w:rPr>
          <w:b/>
          <w:sz w:val="18"/>
        </w:rPr>
        <w:t xml:space="preserve">B.  </w:t>
      </w:r>
      <w:r w:rsidRPr="009D129E">
        <w:rPr>
          <w:b/>
          <w:sz w:val="18"/>
        </w:rPr>
        <w:t xml:space="preserve">Proportion of </w:t>
      </w:r>
      <w:r>
        <w:rPr>
          <w:b/>
          <w:sz w:val="18"/>
        </w:rPr>
        <w:t>children</w:t>
      </w:r>
      <w:r w:rsidRPr="009D129E">
        <w:rPr>
          <w:b/>
          <w:sz w:val="18"/>
        </w:rPr>
        <w:t xml:space="preserve"> in low-income households by age</w:t>
      </w:r>
      <w:r>
        <w:rPr>
          <w:b/>
          <w:sz w:val="18"/>
        </w:rPr>
        <w:t xml:space="preserve">, 60% </w:t>
      </w:r>
      <w:smartTag w:uri="urn:schemas-microsoft-com:office:smarttags" w:element="stockticker">
        <w:r>
          <w:rPr>
            <w:b/>
            <w:sz w:val="18"/>
          </w:rPr>
          <w:t>REL</w:t>
        </w:r>
      </w:smartTag>
      <w:r>
        <w:rPr>
          <w:b/>
          <w:sz w:val="18"/>
        </w:rPr>
        <w:t xml:space="preserve"> threshold (</w:t>
      </w:r>
      <w:smartTag w:uri="urn:schemas-microsoft-com:office:smarttags" w:element="stockticker">
        <w:r>
          <w:rPr>
            <w:b/>
            <w:sz w:val="18"/>
          </w:rPr>
          <w:t>AHC</w:t>
        </w:r>
      </w:smartTag>
      <w:r>
        <w:rPr>
          <w:b/>
          <w:sz w:val="18"/>
        </w:rPr>
        <w:t>)</w:t>
      </w:r>
    </w:p>
    <w:tbl>
      <w:tblPr>
        <w:tblStyle w:val="TableGrid"/>
        <w:tblW w:w="0" w:type="auto"/>
        <w:jc w:val="center"/>
        <w:tblInd w:w="117" w:type="dxa"/>
        <w:tblLayout w:type="fixed"/>
        <w:tblLook w:val="01E0"/>
      </w:tblPr>
      <w:tblGrid>
        <w:gridCol w:w="606"/>
        <w:gridCol w:w="512"/>
        <w:gridCol w:w="513"/>
        <w:gridCol w:w="513"/>
        <w:gridCol w:w="513"/>
        <w:gridCol w:w="513"/>
        <w:gridCol w:w="513"/>
        <w:gridCol w:w="513"/>
        <w:gridCol w:w="512"/>
        <w:gridCol w:w="513"/>
        <w:gridCol w:w="513"/>
        <w:gridCol w:w="513"/>
        <w:gridCol w:w="513"/>
        <w:gridCol w:w="513"/>
        <w:gridCol w:w="513"/>
        <w:gridCol w:w="560"/>
      </w:tblGrid>
      <w:tr w:rsidR="00C96A4B">
        <w:trPr>
          <w:jc w:val="center"/>
        </w:trPr>
        <w:tc>
          <w:tcPr>
            <w:tcW w:w="606" w:type="dxa"/>
            <w:tcBorders>
              <w:bottom w:val="single" w:sz="4" w:space="0" w:color="auto"/>
            </w:tcBorders>
            <w:vAlign w:val="center"/>
          </w:tcPr>
          <w:p w:rsidR="00C96A4B" w:rsidRPr="00F953D9" w:rsidRDefault="00C96A4B" w:rsidP="00614C04">
            <w:pPr>
              <w:spacing w:before="40" w:after="40"/>
              <w:jc w:val="center"/>
              <w:rPr>
                <w:rFonts w:cs="Arial"/>
                <w:b/>
                <w:sz w:val="14"/>
                <w:szCs w:val="16"/>
              </w:rPr>
            </w:pPr>
          </w:p>
        </w:tc>
        <w:tc>
          <w:tcPr>
            <w:tcW w:w="512" w:type="dxa"/>
            <w:tcBorders>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1982</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1984</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1986</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1988</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1990</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1992</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1994</w:t>
            </w:r>
          </w:p>
        </w:tc>
        <w:tc>
          <w:tcPr>
            <w:tcW w:w="512"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1996</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1998</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2001</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2004</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2007</w:t>
            </w:r>
          </w:p>
        </w:tc>
        <w:tc>
          <w:tcPr>
            <w:tcW w:w="513"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2009</w:t>
            </w:r>
          </w:p>
        </w:tc>
        <w:tc>
          <w:tcPr>
            <w:tcW w:w="513" w:type="dxa"/>
            <w:tcBorders>
              <w:left w:val="nil"/>
              <w:bottom w:val="single" w:sz="4" w:space="0" w:color="auto"/>
              <w:right w:val="nil"/>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2010</w:t>
            </w:r>
          </w:p>
        </w:tc>
        <w:tc>
          <w:tcPr>
            <w:tcW w:w="560" w:type="dxa"/>
            <w:tcBorders>
              <w:left w:val="nil"/>
              <w:bottom w:val="single" w:sz="4"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606" w:type="dxa"/>
            <w:tcBorders>
              <w:bottom w:val="nil"/>
            </w:tcBorders>
            <w:tcMar>
              <w:left w:w="115" w:type="dxa"/>
              <w:right w:w="115"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0-6</w:t>
            </w:r>
          </w:p>
        </w:tc>
        <w:tc>
          <w:tcPr>
            <w:tcW w:w="512" w:type="dxa"/>
            <w:tcBorders>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16</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12</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17</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30</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32</w:t>
            </w:r>
          </w:p>
        </w:tc>
        <w:tc>
          <w:tcPr>
            <w:tcW w:w="512"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30</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31</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33</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26</w:t>
            </w:r>
          </w:p>
        </w:tc>
        <w:tc>
          <w:tcPr>
            <w:tcW w:w="513"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25</w:t>
            </w:r>
          </w:p>
        </w:tc>
        <w:tc>
          <w:tcPr>
            <w:tcW w:w="513" w:type="dxa"/>
            <w:tcBorders>
              <w:left w:val="nil"/>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26</w:t>
            </w:r>
          </w:p>
        </w:tc>
        <w:tc>
          <w:tcPr>
            <w:tcW w:w="513" w:type="dxa"/>
            <w:tcBorders>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26</w:t>
            </w:r>
          </w:p>
        </w:tc>
        <w:tc>
          <w:tcPr>
            <w:tcW w:w="560" w:type="dxa"/>
            <w:tcBorders>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26</w:t>
            </w:r>
          </w:p>
        </w:tc>
      </w:tr>
      <w:tr w:rsidR="00C96A4B">
        <w:trPr>
          <w:jc w:val="center"/>
        </w:trPr>
        <w:tc>
          <w:tcPr>
            <w:tcW w:w="606" w:type="dxa"/>
            <w:tcBorders>
              <w:top w:val="nil"/>
              <w:bottom w:val="nil"/>
            </w:tcBorders>
            <w:tcMar>
              <w:left w:w="115" w:type="dxa"/>
              <w:right w:w="115"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7-11</w:t>
            </w:r>
          </w:p>
        </w:tc>
        <w:tc>
          <w:tcPr>
            <w:tcW w:w="512" w:type="dxa"/>
            <w:tcBorders>
              <w:top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17</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12</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14</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18</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28</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32</w:t>
            </w:r>
          </w:p>
        </w:tc>
        <w:tc>
          <w:tcPr>
            <w:tcW w:w="512"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28</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29</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32</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30</w:t>
            </w:r>
          </w:p>
        </w:tc>
        <w:tc>
          <w:tcPr>
            <w:tcW w:w="513"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22</w:t>
            </w:r>
          </w:p>
        </w:tc>
        <w:tc>
          <w:tcPr>
            <w:tcW w:w="513" w:type="dxa"/>
            <w:tcBorders>
              <w:top w:val="nil"/>
              <w:left w:val="nil"/>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28</w:t>
            </w:r>
          </w:p>
        </w:tc>
        <w:tc>
          <w:tcPr>
            <w:tcW w:w="513"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28</w:t>
            </w:r>
          </w:p>
        </w:tc>
        <w:tc>
          <w:tcPr>
            <w:tcW w:w="560" w:type="dxa"/>
            <w:tcBorders>
              <w:top w:val="nil"/>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28</w:t>
            </w:r>
          </w:p>
        </w:tc>
      </w:tr>
      <w:tr w:rsidR="00C96A4B">
        <w:trPr>
          <w:jc w:val="center"/>
        </w:trPr>
        <w:tc>
          <w:tcPr>
            <w:tcW w:w="606" w:type="dxa"/>
            <w:tcBorders>
              <w:top w:val="nil"/>
            </w:tcBorders>
            <w:tcMar>
              <w:left w:w="115" w:type="dxa"/>
              <w:right w:w="115"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12-17</w:t>
            </w:r>
          </w:p>
        </w:tc>
        <w:tc>
          <w:tcPr>
            <w:tcW w:w="512" w:type="dxa"/>
            <w:tcBorders>
              <w:top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12</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8</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11</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23</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23</w:t>
            </w:r>
          </w:p>
        </w:tc>
        <w:tc>
          <w:tcPr>
            <w:tcW w:w="512"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25</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24</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26</w:t>
            </w:r>
          </w:p>
        </w:tc>
        <w:tc>
          <w:tcPr>
            <w:tcW w:w="513"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3" w:type="dxa"/>
            <w:tcBorders>
              <w:top w:val="nil"/>
              <w:left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23</w:t>
            </w:r>
          </w:p>
        </w:tc>
        <w:tc>
          <w:tcPr>
            <w:tcW w:w="513" w:type="dxa"/>
            <w:tcBorders>
              <w:top w:val="nil"/>
              <w:left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22</w:t>
            </w:r>
          </w:p>
        </w:tc>
        <w:tc>
          <w:tcPr>
            <w:tcW w:w="560" w:type="dxa"/>
            <w:tcBorders>
              <w:top w:val="nil"/>
              <w:lef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r>
      <w:tr w:rsidR="00C96A4B">
        <w:trPr>
          <w:jc w:val="center"/>
        </w:trPr>
        <w:tc>
          <w:tcPr>
            <w:tcW w:w="606" w:type="dxa"/>
            <w:tcMar>
              <w:left w:w="115" w:type="dxa"/>
              <w:right w:w="115"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0-17</w:t>
            </w:r>
          </w:p>
        </w:tc>
        <w:tc>
          <w:tcPr>
            <w:tcW w:w="512" w:type="dxa"/>
            <w:tcBorders>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14</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11</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13</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16</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27</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29</w:t>
            </w:r>
          </w:p>
        </w:tc>
        <w:tc>
          <w:tcPr>
            <w:tcW w:w="512"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28</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28</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30</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28</w:t>
            </w:r>
          </w:p>
        </w:tc>
        <w:tc>
          <w:tcPr>
            <w:tcW w:w="513"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22</w:t>
            </w:r>
          </w:p>
        </w:tc>
        <w:tc>
          <w:tcPr>
            <w:tcW w:w="513" w:type="dxa"/>
            <w:tcBorders>
              <w:left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25</w:t>
            </w:r>
          </w:p>
        </w:tc>
        <w:tc>
          <w:tcPr>
            <w:tcW w:w="513" w:type="dxa"/>
            <w:tcBorders>
              <w:left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25</w:t>
            </w:r>
          </w:p>
        </w:tc>
        <w:tc>
          <w:tcPr>
            <w:tcW w:w="560" w:type="dxa"/>
            <w:tcBorders>
              <w:lef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25</w:t>
            </w:r>
          </w:p>
        </w:tc>
      </w:tr>
    </w:tbl>
    <w:p w:rsidR="00C96A4B" w:rsidRDefault="00C96A4B" w:rsidP="00C96A4B">
      <w:pPr>
        <w:ind w:left="360"/>
        <w:rPr>
          <w:b/>
          <w:sz w:val="18"/>
          <w:szCs w:val="18"/>
        </w:rPr>
      </w:pPr>
    </w:p>
    <w:p w:rsidR="00C96A4B" w:rsidRDefault="00C96A4B" w:rsidP="00C96A4B">
      <w:pPr>
        <w:ind w:left="360"/>
        <w:rPr>
          <w:b/>
          <w:sz w:val="18"/>
          <w:szCs w:val="18"/>
        </w:rPr>
      </w:pPr>
    </w:p>
    <w:p w:rsidR="00C96A4B" w:rsidRPr="009D129E" w:rsidRDefault="00C96A4B" w:rsidP="00C96A4B">
      <w:pPr>
        <w:spacing w:after="120"/>
        <w:jc w:val="center"/>
        <w:rPr>
          <w:sz w:val="20"/>
        </w:rPr>
      </w:pPr>
      <w:r>
        <w:rPr>
          <w:b/>
          <w:sz w:val="18"/>
        </w:rPr>
        <w:t xml:space="preserve">C.  </w:t>
      </w:r>
      <w:r w:rsidRPr="009D129E">
        <w:rPr>
          <w:b/>
          <w:sz w:val="18"/>
        </w:rPr>
        <w:t xml:space="preserve">Proportion of </w:t>
      </w:r>
      <w:r>
        <w:rPr>
          <w:b/>
          <w:sz w:val="18"/>
        </w:rPr>
        <w:t>children</w:t>
      </w:r>
      <w:r w:rsidRPr="009D129E">
        <w:rPr>
          <w:b/>
          <w:sz w:val="18"/>
        </w:rPr>
        <w:t xml:space="preserve"> in low-income households by age</w:t>
      </w:r>
      <w:r>
        <w:rPr>
          <w:b/>
          <w:sz w:val="18"/>
        </w:rPr>
        <w:t xml:space="preserve">, 50% </w:t>
      </w:r>
      <w:smartTag w:uri="urn:schemas-microsoft-com:office:smarttags" w:element="stockticker">
        <w:r>
          <w:rPr>
            <w:b/>
            <w:sz w:val="18"/>
          </w:rPr>
          <w:t>REL</w:t>
        </w:r>
      </w:smartTag>
      <w:r>
        <w:rPr>
          <w:b/>
          <w:sz w:val="18"/>
        </w:rPr>
        <w:t xml:space="preserve"> threshold (</w:t>
      </w:r>
      <w:smartTag w:uri="urn:schemas-microsoft-com:office:smarttags" w:element="stockticker">
        <w:r>
          <w:rPr>
            <w:b/>
            <w:sz w:val="18"/>
          </w:rPr>
          <w:t>AHC</w:t>
        </w:r>
      </w:smartTag>
      <w:r>
        <w:rPr>
          <w:b/>
          <w:sz w:val="18"/>
        </w:rPr>
        <w:t>)</w:t>
      </w:r>
    </w:p>
    <w:tbl>
      <w:tblPr>
        <w:tblStyle w:val="TableGrid"/>
        <w:tblW w:w="0" w:type="auto"/>
        <w:jc w:val="center"/>
        <w:tblInd w:w="325" w:type="dxa"/>
        <w:tblLook w:val="01E0"/>
      </w:tblPr>
      <w:tblGrid>
        <w:gridCol w:w="668"/>
        <w:gridCol w:w="516"/>
        <w:gridCol w:w="516"/>
        <w:gridCol w:w="517"/>
        <w:gridCol w:w="516"/>
        <w:gridCol w:w="517"/>
        <w:gridCol w:w="516"/>
        <w:gridCol w:w="517"/>
        <w:gridCol w:w="516"/>
        <w:gridCol w:w="517"/>
        <w:gridCol w:w="516"/>
        <w:gridCol w:w="517"/>
        <w:gridCol w:w="516"/>
        <w:gridCol w:w="517"/>
        <w:gridCol w:w="516"/>
        <w:gridCol w:w="517"/>
      </w:tblGrid>
      <w:tr w:rsidR="00C96A4B">
        <w:trPr>
          <w:jc w:val="center"/>
        </w:trPr>
        <w:tc>
          <w:tcPr>
            <w:tcW w:w="668" w:type="dxa"/>
            <w:tcBorders>
              <w:bottom w:val="single" w:sz="4"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p>
        </w:tc>
        <w:tc>
          <w:tcPr>
            <w:tcW w:w="516" w:type="dxa"/>
            <w:tcBorders>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1982</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1984</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1986</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1988</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1990</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1992</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1994</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1996</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1998</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2001</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2004</w:t>
            </w:r>
          </w:p>
        </w:tc>
        <w:tc>
          <w:tcPr>
            <w:tcW w:w="516"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2007</w:t>
            </w:r>
          </w:p>
        </w:tc>
        <w:tc>
          <w:tcPr>
            <w:tcW w:w="517" w:type="dxa"/>
            <w:tcBorders>
              <w:left w:val="nil"/>
              <w:bottom w:val="single" w:sz="4" w:space="0" w:color="auto"/>
              <w:right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sidRPr="00F953D9">
              <w:rPr>
                <w:rFonts w:cs="Arial"/>
                <w:b/>
                <w:sz w:val="14"/>
                <w:szCs w:val="16"/>
              </w:rPr>
              <w:t>2009</w:t>
            </w:r>
          </w:p>
        </w:tc>
        <w:tc>
          <w:tcPr>
            <w:tcW w:w="516" w:type="dxa"/>
            <w:tcBorders>
              <w:left w:val="nil"/>
              <w:bottom w:val="single" w:sz="4" w:space="0" w:color="auto"/>
              <w:right w:val="nil"/>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2010</w:t>
            </w:r>
          </w:p>
        </w:tc>
        <w:tc>
          <w:tcPr>
            <w:tcW w:w="517" w:type="dxa"/>
            <w:tcBorders>
              <w:left w:val="nil"/>
              <w:bottom w:val="single" w:sz="4" w:space="0" w:color="auto"/>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668" w:type="dxa"/>
            <w:tcBorders>
              <w:bottom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0-6</w:t>
            </w:r>
          </w:p>
        </w:tc>
        <w:tc>
          <w:tcPr>
            <w:tcW w:w="516" w:type="dxa"/>
            <w:tcBorders>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9</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8</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22</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22</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24</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6"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20</w:t>
            </w:r>
          </w:p>
        </w:tc>
        <w:tc>
          <w:tcPr>
            <w:tcW w:w="517" w:type="dxa"/>
            <w:tcBorders>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18</w:t>
            </w:r>
          </w:p>
        </w:tc>
        <w:tc>
          <w:tcPr>
            <w:tcW w:w="516" w:type="dxa"/>
            <w:tcBorders>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c>
          <w:tcPr>
            <w:tcW w:w="517" w:type="dxa"/>
            <w:tcBorders>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16</w:t>
            </w:r>
          </w:p>
        </w:tc>
      </w:tr>
      <w:tr w:rsidR="00C96A4B">
        <w:trPr>
          <w:jc w:val="center"/>
        </w:trPr>
        <w:tc>
          <w:tcPr>
            <w:tcW w:w="668" w:type="dxa"/>
            <w:tcBorders>
              <w:top w:val="nil"/>
              <w:bottom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7-11</w:t>
            </w:r>
          </w:p>
        </w:tc>
        <w:tc>
          <w:tcPr>
            <w:tcW w:w="516" w:type="dxa"/>
            <w:tcBorders>
              <w:top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7"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8</w:t>
            </w:r>
          </w:p>
        </w:tc>
        <w:tc>
          <w:tcPr>
            <w:tcW w:w="517"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8</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18</w:t>
            </w:r>
          </w:p>
        </w:tc>
        <w:tc>
          <w:tcPr>
            <w:tcW w:w="517"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7"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7"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6" w:type="dxa"/>
            <w:tcBorders>
              <w:top w:val="nil"/>
              <w:left w:val="nil"/>
              <w:bottom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7" w:type="dxa"/>
            <w:tcBorders>
              <w:top w:val="nil"/>
              <w:left w:val="nil"/>
              <w:bottom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22</w:t>
            </w:r>
          </w:p>
        </w:tc>
        <w:tc>
          <w:tcPr>
            <w:tcW w:w="516"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17</w:t>
            </w:r>
          </w:p>
        </w:tc>
        <w:tc>
          <w:tcPr>
            <w:tcW w:w="517" w:type="dxa"/>
            <w:tcBorders>
              <w:top w:val="nil"/>
              <w:left w:val="nil"/>
              <w:bottom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18</w:t>
            </w:r>
          </w:p>
        </w:tc>
      </w:tr>
      <w:tr w:rsidR="00C96A4B">
        <w:trPr>
          <w:jc w:val="center"/>
        </w:trPr>
        <w:tc>
          <w:tcPr>
            <w:tcW w:w="668" w:type="dxa"/>
            <w:tcBorders>
              <w:top w:val="nil"/>
            </w:tcBorders>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12-17</w:t>
            </w:r>
          </w:p>
        </w:tc>
        <w:tc>
          <w:tcPr>
            <w:tcW w:w="516" w:type="dxa"/>
            <w:tcBorders>
              <w:top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9</w:t>
            </w:r>
          </w:p>
        </w:tc>
        <w:tc>
          <w:tcPr>
            <w:tcW w:w="517"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6</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7"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5</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15</w:t>
            </w:r>
          </w:p>
        </w:tc>
        <w:tc>
          <w:tcPr>
            <w:tcW w:w="517"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16</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17</w:t>
            </w:r>
          </w:p>
        </w:tc>
        <w:tc>
          <w:tcPr>
            <w:tcW w:w="517"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16</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17</w:t>
            </w:r>
          </w:p>
        </w:tc>
        <w:tc>
          <w:tcPr>
            <w:tcW w:w="517"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6" w:type="dxa"/>
            <w:tcBorders>
              <w:top w:val="nil"/>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13</w:t>
            </w:r>
          </w:p>
        </w:tc>
        <w:tc>
          <w:tcPr>
            <w:tcW w:w="517" w:type="dxa"/>
            <w:tcBorders>
              <w:top w:val="nil"/>
              <w:left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15</w:t>
            </w:r>
          </w:p>
        </w:tc>
        <w:tc>
          <w:tcPr>
            <w:tcW w:w="516" w:type="dxa"/>
            <w:tcBorders>
              <w:top w:val="nil"/>
              <w:left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15</w:t>
            </w:r>
          </w:p>
        </w:tc>
        <w:tc>
          <w:tcPr>
            <w:tcW w:w="517" w:type="dxa"/>
            <w:tcBorders>
              <w:top w:val="nil"/>
              <w:lef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15</w:t>
            </w:r>
          </w:p>
        </w:tc>
      </w:tr>
      <w:tr w:rsidR="00C96A4B">
        <w:trPr>
          <w:jc w:val="center"/>
        </w:trPr>
        <w:tc>
          <w:tcPr>
            <w:tcW w:w="668" w:type="dxa"/>
            <w:tcMar>
              <w:left w:w="29" w:type="dxa"/>
              <w:right w:w="29" w:type="dxa"/>
            </w:tcMar>
            <w:vAlign w:val="center"/>
          </w:tcPr>
          <w:p w:rsidR="00C96A4B" w:rsidRPr="00F953D9" w:rsidRDefault="00C96A4B" w:rsidP="00614C04">
            <w:pPr>
              <w:spacing w:before="40" w:after="40"/>
              <w:jc w:val="center"/>
              <w:rPr>
                <w:rFonts w:cs="Arial"/>
                <w:b/>
                <w:sz w:val="14"/>
                <w:szCs w:val="16"/>
              </w:rPr>
            </w:pPr>
            <w:r>
              <w:rPr>
                <w:rFonts w:cs="Arial"/>
                <w:b/>
                <w:sz w:val="14"/>
                <w:szCs w:val="16"/>
              </w:rPr>
              <w:t>0-17</w:t>
            </w:r>
          </w:p>
        </w:tc>
        <w:tc>
          <w:tcPr>
            <w:tcW w:w="516" w:type="dxa"/>
            <w:tcBorders>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9</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10</w:t>
            </w:r>
          </w:p>
        </w:tc>
        <w:tc>
          <w:tcPr>
            <w:tcW w:w="517"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8</w:t>
            </w:r>
          </w:p>
        </w:tc>
        <w:tc>
          <w:tcPr>
            <w:tcW w:w="517"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7</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17</w:t>
            </w:r>
          </w:p>
        </w:tc>
        <w:tc>
          <w:tcPr>
            <w:tcW w:w="517"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20</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20</w:t>
            </w:r>
          </w:p>
        </w:tc>
        <w:tc>
          <w:tcPr>
            <w:tcW w:w="517"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20</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21</w:t>
            </w:r>
          </w:p>
        </w:tc>
        <w:tc>
          <w:tcPr>
            <w:tcW w:w="517"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19</w:t>
            </w:r>
          </w:p>
        </w:tc>
        <w:tc>
          <w:tcPr>
            <w:tcW w:w="516" w:type="dxa"/>
            <w:tcBorders>
              <w:left w:val="nil"/>
              <w:right w:val="nil"/>
            </w:tcBorders>
            <w:tcMar>
              <w:left w:w="29" w:type="dxa"/>
              <w:right w:w="29" w:type="dxa"/>
            </w:tcMar>
            <w:vAlign w:val="center"/>
          </w:tcPr>
          <w:p w:rsidR="00C96A4B" w:rsidRPr="00063BF3" w:rsidRDefault="00C96A4B" w:rsidP="00614C04">
            <w:pPr>
              <w:spacing w:before="40" w:after="40"/>
              <w:jc w:val="center"/>
              <w:rPr>
                <w:rFonts w:cs="Arial"/>
                <w:sz w:val="14"/>
                <w:szCs w:val="16"/>
              </w:rPr>
            </w:pPr>
            <w:r>
              <w:rPr>
                <w:rFonts w:cs="Arial"/>
                <w:sz w:val="14"/>
                <w:szCs w:val="16"/>
              </w:rPr>
              <w:t>16</w:t>
            </w:r>
          </w:p>
        </w:tc>
        <w:tc>
          <w:tcPr>
            <w:tcW w:w="517" w:type="dxa"/>
            <w:tcBorders>
              <w:left w:val="nil"/>
              <w:righ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18</w:t>
            </w:r>
          </w:p>
        </w:tc>
        <w:tc>
          <w:tcPr>
            <w:tcW w:w="516" w:type="dxa"/>
            <w:tcBorders>
              <w:left w:val="nil"/>
              <w:righ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c>
          <w:tcPr>
            <w:tcW w:w="517" w:type="dxa"/>
            <w:tcBorders>
              <w:left w:val="nil"/>
            </w:tcBorders>
            <w:tcMar>
              <w:left w:w="29" w:type="dxa"/>
              <w:right w:w="29" w:type="dxa"/>
            </w:tcMar>
            <w:vAlign w:val="center"/>
          </w:tcPr>
          <w:p w:rsidR="00C96A4B" w:rsidRPr="00F953D9" w:rsidRDefault="00C96A4B" w:rsidP="00614C04">
            <w:pPr>
              <w:spacing w:before="40" w:after="40"/>
              <w:jc w:val="center"/>
              <w:rPr>
                <w:rFonts w:cs="Arial"/>
                <w:sz w:val="14"/>
                <w:szCs w:val="16"/>
              </w:rPr>
            </w:pPr>
            <w:r>
              <w:rPr>
                <w:rFonts w:cs="Arial"/>
                <w:sz w:val="14"/>
                <w:szCs w:val="16"/>
              </w:rPr>
              <w:t>16</w:t>
            </w:r>
          </w:p>
        </w:tc>
      </w:tr>
    </w:tbl>
    <w:p w:rsidR="00C96A4B" w:rsidRPr="009D129E" w:rsidRDefault="00C96A4B" w:rsidP="00C96A4B">
      <w:pPr>
        <w:pStyle w:val="Heading3"/>
        <w:rPr>
          <w:sz w:val="20"/>
          <w:szCs w:val="22"/>
        </w:rPr>
      </w:pPr>
      <w:r>
        <w:rPr>
          <w:sz w:val="20"/>
          <w:szCs w:val="22"/>
        </w:rPr>
        <w:br w:type="page"/>
      </w:r>
      <w:r>
        <w:rPr>
          <w:sz w:val="20"/>
          <w:szCs w:val="22"/>
        </w:rPr>
        <w:lastRenderedPageBreak/>
        <w:t>Children</w:t>
      </w:r>
      <w:r w:rsidRPr="009D129E">
        <w:rPr>
          <w:sz w:val="20"/>
          <w:szCs w:val="22"/>
        </w:rPr>
        <w:t xml:space="preserve"> in low-income households by </w:t>
      </w:r>
      <w:r>
        <w:rPr>
          <w:sz w:val="20"/>
          <w:szCs w:val="22"/>
        </w:rPr>
        <w:t>ethnicity</w:t>
      </w:r>
    </w:p>
    <w:p w:rsidR="00C96A4B" w:rsidRPr="009D129E" w:rsidRDefault="00C96A4B" w:rsidP="00C96A4B">
      <w:pPr>
        <w:rPr>
          <w:sz w:val="20"/>
        </w:rPr>
      </w:pPr>
    </w:p>
    <w:p w:rsidR="00C96A4B" w:rsidRDefault="00C96A4B" w:rsidP="00C96A4B">
      <w:pPr>
        <w:jc w:val="both"/>
        <w:rPr>
          <w:sz w:val="20"/>
          <w:szCs w:val="22"/>
        </w:rPr>
      </w:pPr>
      <w:r>
        <w:rPr>
          <w:sz w:val="20"/>
          <w:szCs w:val="22"/>
        </w:rPr>
        <w:t>As noted in the Introduction, only limited analysis by ethnicity is reported because of the relatively small sample sizes for Maori, Pacific and Other ethnic groups (especially Pacific).  The sample sizes are even smaller when looking only at children.</w:t>
      </w:r>
    </w:p>
    <w:p w:rsidR="00C96A4B" w:rsidRDefault="00C96A4B" w:rsidP="00C96A4B">
      <w:pPr>
        <w:jc w:val="both"/>
        <w:rPr>
          <w:sz w:val="20"/>
          <w:szCs w:val="22"/>
        </w:rPr>
      </w:pPr>
    </w:p>
    <w:p w:rsidR="00C96A4B" w:rsidRDefault="00C96A4B" w:rsidP="00C96A4B">
      <w:pPr>
        <w:jc w:val="both"/>
        <w:rPr>
          <w:sz w:val="20"/>
          <w:szCs w:val="22"/>
        </w:rPr>
      </w:pPr>
      <w:r>
        <w:rPr>
          <w:sz w:val="20"/>
          <w:szCs w:val="22"/>
        </w:rPr>
        <w:t>What can be said is that poverty rates for children in the Maori and Pacific ethnic groups are consistently higher than for those in the European/Pakeha ethnic group, whatever measure is used.</w:t>
      </w:r>
    </w:p>
    <w:p w:rsidR="00C96A4B" w:rsidRDefault="00C96A4B" w:rsidP="00C96A4B">
      <w:pPr>
        <w:jc w:val="both"/>
        <w:rPr>
          <w:sz w:val="20"/>
          <w:szCs w:val="22"/>
        </w:rPr>
      </w:pPr>
    </w:p>
    <w:p w:rsidR="00C96A4B" w:rsidRDefault="00C96A4B" w:rsidP="00C96A4B">
      <w:pPr>
        <w:jc w:val="both"/>
        <w:rPr>
          <w:rFonts w:cs="Arial"/>
          <w:sz w:val="20"/>
        </w:rPr>
      </w:pPr>
      <w:r>
        <w:rPr>
          <w:sz w:val="20"/>
          <w:szCs w:val="22"/>
        </w:rPr>
        <w:t xml:space="preserve">For example, on average over 2007 to 2011, using the </w:t>
      </w:r>
      <w:smartTag w:uri="urn:schemas-microsoft-com:office:smarttags" w:element="stockticker">
        <w:r>
          <w:rPr>
            <w:sz w:val="20"/>
            <w:szCs w:val="22"/>
          </w:rPr>
          <w:t>AHC</w:t>
        </w:r>
      </w:smartTag>
      <w:r>
        <w:rPr>
          <w:sz w:val="20"/>
          <w:szCs w:val="22"/>
        </w:rPr>
        <w:t xml:space="preserve"> 60% fixed line measure,  around </w:t>
      </w:r>
      <w:r w:rsidRPr="005F1335">
        <w:rPr>
          <w:rFonts w:cs="Arial"/>
          <w:sz w:val="20"/>
        </w:rPr>
        <w:t>one in six European/Pakeha children lived in poor households</w:t>
      </w:r>
      <w:r w:rsidRPr="005F1335">
        <w:rPr>
          <w:rFonts w:cs="Arial"/>
          <w:b/>
          <w:sz w:val="20"/>
        </w:rPr>
        <w:t xml:space="preserve">, </w:t>
      </w:r>
      <w:r w:rsidRPr="005F1335">
        <w:rPr>
          <w:rFonts w:cs="Arial"/>
          <w:sz w:val="20"/>
        </w:rPr>
        <w:t>one in four Pacific children</w:t>
      </w:r>
      <w:r w:rsidRPr="005F1335">
        <w:rPr>
          <w:rFonts w:cs="Arial"/>
          <w:b/>
          <w:sz w:val="20"/>
        </w:rPr>
        <w:t xml:space="preserve">, </w:t>
      </w:r>
      <w:r w:rsidRPr="005F1335">
        <w:rPr>
          <w:rFonts w:cs="Arial"/>
          <w:sz w:val="20"/>
        </w:rPr>
        <w:t>and one in three Maori children (double the rate for European/Pakeha children)</w:t>
      </w:r>
      <w:r>
        <w:rPr>
          <w:rFonts w:cs="Arial"/>
          <w:sz w:val="20"/>
        </w:rPr>
        <w:t>.</w:t>
      </w:r>
      <w:r>
        <w:rPr>
          <w:rStyle w:val="FootnoteReference"/>
          <w:rFonts w:cs="Arial"/>
          <w:sz w:val="20"/>
        </w:rPr>
        <w:footnoteReference w:id="70"/>
      </w:r>
    </w:p>
    <w:p w:rsidR="00C96A4B" w:rsidRDefault="00C96A4B" w:rsidP="00C96A4B">
      <w:pPr>
        <w:jc w:val="both"/>
        <w:rPr>
          <w:rFonts w:cs="Arial"/>
          <w:sz w:val="20"/>
        </w:rPr>
      </w:pPr>
    </w:p>
    <w:p w:rsidR="00C96A4B" w:rsidRDefault="00C96A4B" w:rsidP="00C96A4B">
      <w:pPr>
        <w:jc w:val="both"/>
        <w:rPr>
          <w:rFonts w:cs="Arial"/>
          <w:sz w:val="20"/>
        </w:rPr>
      </w:pPr>
      <w:r>
        <w:rPr>
          <w:rFonts w:cs="Arial"/>
          <w:sz w:val="20"/>
        </w:rPr>
        <w:t>T</w:t>
      </w:r>
      <w:r w:rsidRPr="005F1335">
        <w:rPr>
          <w:rFonts w:cs="Arial"/>
          <w:sz w:val="20"/>
        </w:rPr>
        <w:t>he higher poverty rate for Maori children reflects the relatively high proportion of Maori children living in sole</w:t>
      </w:r>
      <w:r>
        <w:rPr>
          <w:rFonts w:cs="Arial"/>
          <w:sz w:val="20"/>
        </w:rPr>
        <w:t>-</w:t>
      </w:r>
      <w:r w:rsidRPr="005F1335">
        <w:rPr>
          <w:rFonts w:cs="Arial"/>
          <w:sz w:val="20"/>
        </w:rPr>
        <w:t>parent beneficiary families and households (</w:t>
      </w:r>
      <w:r>
        <w:rPr>
          <w:rFonts w:cs="Arial"/>
          <w:sz w:val="20"/>
        </w:rPr>
        <w:t>around</w:t>
      </w:r>
      <w:r w:rsidRPr="005F1335">
        <w:rPr>
          <w:rFonts w:cs="Arial"/>
          <w:sz w:val="20"/>
        </w:rPr>
        <w:t xml:space="preserve"> 43% of DPB recipients were Maori</w:t>
      </w:r>
      <w:r>
        <w:rPr>
          <w:rFonts w:cs="Arial"/>
          <w:sz w:val="20"/>
        </w:rPr>
        <w:t xml:space="preserve"> in the 2007 to 2010 period</w:t>
      </w:r>
      <w:r w:rsidRPr="005F1335">
        <w:rPr>
          <w:rFonts w:cs="Arial"/>
          <w:sz w:val="20"/>
        </w:rPr>
        <w:t>)</w:t>
      </w:r>
      <w:r>
        <w:rPr>
          <w:rFonts w:cs="Arial"/>
          <w:sz w:val="20"/>
        </w:rPr>
        <w:t>.</w:t>
      </w:r>
    </w:p>
    <w:p w:rsidR="00C96A4B" w:rsidRDefault="00C96A4B" w:rsidP="00C96A4B">
      <w:pPr>
        <w:jc w:val="both"/>
        <w:rPr>
          <w:rFonts w:cs="Arial"/>
          <w:sz w:val="20"/>
        </w:rPr>
      </w:pPr>
    </w:p>
    <w:p w:rsidR="002B7BF5" w:rsidRDefault="00C96A4B" w:rsidP="00C96A4B">
      <w:pPr>
        <w:jc w:val="both"/>
        <w:rPr>
          <w:rFonts w:cs="Arial"/>
          <w:sz w:val="20"/>
        </w:rPr>
      </w:pPr>
      <w:r>
        <w:rPr>
          <w:rFonts w:cs="Arial"/>
          <w:sz w:val="20"/>
        </w:rPr>
        <w:t>On average from 2009 to 2011, just under half of poor children were Maori or Pacific</w:t>
      </w:r>
      <w:r w:rsidR="002B7BF5">
        <w:rPr>
          <w:rFonts w:cs="Arial"/>
          <w:sz w:val="20"/>
        </w:rPr>
        <w:t xml:space="preserve"> using this measure.</w:t>
      </w:r>
    </w:p>
    <w:p w:rsidR="002B7BF5" w:rsidRDefault="002B7BF5" w:rsidP="00C96A4B">
      <w:pPr>
        <w:jc w:val="both"/>
        <w:rPr>
          <w:rFonts w:cs="Arial"/>
          <w:sz w:val="20"/>
        </w:rPr>
      </w:pPr>
    </w:p>
    <w:p w:rsidR="00C96A4B" w:rsidRPr="001042C5" w:rsidRDefault="00C96A4B" w:rsidP="00C96A4B">
      <w:pPr>
        <w:jc w:val="both"/>
        <w:rPr>
          <w:sz w:val="20"/>
          <w:szCs w:val="22"/>
        </w:rPr>
      </w:pPr>
      <w:r>
        <w:rPr>
          <w:rFonts w:cs="Arial"/>
          <w:sz w:val="20"/>
        </w:rPr>
        <w:t>.</w:t>
      </w:r>
    </w:p>
    <w:p w:rsidR="00C96A4B" w:rsidRPr="009D129E" w:rsidRDefault="00C96A4B" w:rsidP="00C96A4B">
      <w:pPr>
        <w:jc w:val="both"/>
        <w:rPr>
          <w:sz w:val="20"/>
          <w:szCs w:val="22"/>
        </w:rPr>
      </w:pPr>
    </w:p>
    <w:p w:rsidR="00C96A4B" w:rsidRPr="00D800BC" w:rsidRDefault="00C96A4B" w:rsidP="00C96A4B">
      <w:pPr>
        <w:pStyle w:val="Heading3"/>
      </w:pPr>
    </w:p>
    <w:p w:rsidR="00C96A4B" w:rsidRPr="009D129E" w:rsidRDefault="00C96A4B" w:rsidP="00C96A4B">
      <w:pPr>
        <w:pStyle w:val="Heading3"/>
        <w:rPr>
          <w:sz w:val="20"/>
          <w:szCs w:val="22"/>
        </w:rPr>
      </w:pPr>
      <w:r>
        <w:rPr>
          <w:sz w:val="20"/>
          <w:szCs w:val="22"/>
        </w:rPr>
        <w:t>Children</w:t>
      </w:r>
      <w:r w:rsidRPr="009D129E">
        <w:rPr>
          <w:sz w:val="20"/>
          <w:szCs w:val="22"/>
        </w:rPr>
        <w:t xml:space="preserve"> in low-income households by </w:t>
      </w:r>
      <w:r>
        <w:rPr>
          <w:sz w:val="20"/>
          <w:szCs w:val="22"/>
        </w:rPr>
        <w:t>tenure</w:t>
      </w:r>
    </w:p>
    <w:p w:rsidR="00C96A4B" w:rsidRPr="009D129E" w:rsidRDefault="00C96A4B" w:rsidP="00C96A4B">
      <w:pPr>
        <w:rPr>
          <w:sz w:val="20"/>
        </w:rPr>
      </w:pPr>
    </w:p>
    <w:p w:rsidR="00C96A4B" w:rsidRPr="00B47360" w:rsidRDefault="00C96A4B" w:rsidP="00C96A4B">
      <w:pPr>
        <w:rPr>
          <w:sz w:val="20"/>
        </w:rPr>
      </w:pPr>
      <w:r w:rsidRPr="00B47360">
        <w:rPr>
          <w:sz w:val="20"/>
        </w:rPr>
        <w:t xml:space="preserve">Using the AHC 60% fixed line measure, the </w:t>
      </w:r>
      <w:r>
        <w:rPr>
          <w:sz w:val="20"/>
        </w:rPr>
        <w:t xml:space="preserve">child </w:t>
      </w:r>
      <w:r w:rsidRPr="00B47360">
        <w:rPr>
          <w:sz w:val="20"/>
        </w:rPr>
        <w:t>poverty rates show a clear gradient across different tenure types:  50% in HNZC homes, 30% in private rental, 10% in privately owned homes with a mortgage and 6% where there is no mortgage.</w:t>
      </w:r>
    </w:p>
    <w:p w:rsidR="00C96A4B" w:rsidRDefault="00C96A4B" w:rsidP="00C96A4B">
      <w:pPr>
        <w:pStyle w:val="Heading3"/>
        <w:jc w:val="both"/>
        <w:rPr>
          <w:b w:val="0"/>
          <w:sz w:val="20"/>
          <w:szCs w:val="22"/>
        </w:rPr>
      </w:pPr>
    </w:p>
    <w:p w:rsidR="00C96A4B" w:rsidRDefault="00C96A4B" w:rsidP="00C96A4B">
      <w:pPr>
        <w:pStyle w:val="Heading3"/>
        <w:jc w:val="both"/>
        <w:rPr>
          <w:b w:val="0"/>
          <w:sz w:val="20"/>
          <w:szCs w:val="22"/>
        </w:rPr>
      </w:pPr>
      <w:r>
        <w:rPr>
          <w:b w:val="0"/>
          <w:sz w:val="20"/>
          <w:szCs w:val="22"/>
        </w:rPr>
        <w:t>In 2010 and 2011, 50% of poor children lived with their families in private rental accommodation, and another 20% in HNZC homes.</w:t>
      </w:r>
    </w:p>
    <w:p w:rsidR="00C96A4B" w:rsidRDefault="00C96A4B" w:rsidP="00C96A4B"/>
    <w:p w:rsidR="00C96A4B" w:rsidRDefault="00C96A4B" w:rsidP="00C96A4B">
      <w:pPr>
        <w:rPr>
          <w:sz w:val="20"/>
        </w:rPr>
      </w:pPr>
      <w:r>
        <w:rPr>
          <w:sz w:val="20"/>
        </w:rPr>
        <w:t>In the early to mid 1990s, the majority of children identified as poor (50 to 55%) came from households which owned their own home.  The difference is in part a reflection of the fact that in the early to mid 1990s 72% of children lived in households which owned the home, whereas in 2010 and 2011 this proportion had fallen to 57%.</w:t>
      </w:r>
    </w:p>
    <w:p w:rsidR="00C96A4B" w:rsidRDefault="00C96A4B" w:rsidP="00C96A4B">
      <w:pPr>
        <w:rPr>
          <w:sz w:val="20"/>
        </w:rPr>
      </w:pPr>
    </w:p>
    <w:p w:rsidR="0073224C" w:rsidRDefault="0073224C" w:rsidP="0073224C">
      <w:pPr>
        <w:pStyle w:val="Heading3"/>
        <w:rPr>
          <w:sz w:val="20"/>
          <w:szCs w:val="22"/>
        </w:rPr>
      </w:pPr>
    </w:p>
    <w:p w:rsidR="0073224C" w:rsidRPr="009D129E" w:rsidRDefault="0073224C" w:rsidP="0073224C">
      <w:pPr>
        <w:pStyle w:val="Heading3"/>
        <w:rPr>
          <w:sz w:val="20"/>
          <w:szCs w:val="22"/>
        </w:rPr>
      </w:pPr>
      <w:r>
        <w:rPr>
          <w:sz w:val="20"/>
          <w:szCs w:val="22"/>
        </w:rPr>
        <w:t>Child poverty rates and poverty composition for children</w:t>
      </w:r>
    </w:p>
    <w:p w:rsidR="0073224C" w:rsidRPr="009D129E" w:rsidRDefault="0073224C" w:rsidP="0073224C">
      <w:pPr>
        <w:rPr>
          <w:sz w:val="20"/>
        </w:rPr>
      </w:pPr>
    </w:p>
    <w:p w:rsidR="0073224C" w:rsidRPr="00B47360" w:rsidRDefault="0073224C" w:rsidP="0073224C">
      <w:pPr>
        <w:rPr>
          <w:sz w:val="20"/>
        </w:rPr>
      </w:pPr>
      <w:r w:rsidRPr="00B47360">
        <w:rPr>
          <w:sz w:val="20"/>
        </w:rPr>
        <w:t xml:space="preserve">Using the AHC 60% fixed line measure, the </w:t>
      </w:r>
      <w:r>
        <w:rPr>
          <w:sz w:val="20"/>
        </w:rPr>
        <w:t xml:space="preserve">child </w:t>
      </w:r>
      <w:r w:rsidRPr="00B47360">
        <w:rPr>
          <w:sz w:val="20"/>
        </w:rPr>
        <w:t>poverty rates show a clear gradient across different tenure types:  50% in HNZC homes, 30% in private rental, 10% in privately owned homes with a mortgage and 6% where there is no mortgage.</w:t>
      </w:r>
    </w:p>
    <w:p w:rsidR="00C96A4B" w:rsidRPr="009D129E" w:rsidRDefault="00C96A4B" w:rsidP="00C96A4B">
      <w:pPr>
        <w:pStyle w:val="Heading3"/>
        <w:rPr>
          <w:sz w:val="20"/>
          <w:szCs w:val="20"/>
        </w:rPr>
      </w:pPr>
      <w:r>
        <w:rPr>
          <w:sz w:val="20"/>
          <w:szCs w:val="20"/>
        </w:rPr>
        <w:br w:type="page"/>
      </w:r>
      <w:r w:rsidRPr="009D129E">
        <w:rPr>
          <w:sz w:val="20"/>
          <w:szCs w:val="20"/>
        </w:rPr>
        <w:lastRenderedPageBreak/>
        <w:t>Proportion of children in low-income households by household type, family type and work status of adults in the household</w:t>
      </w:r>
    </w:p>
    <w:p w:rsidR="00C96A4B" w:rsidRDefault="00C96A4B" w:rsidP="00C96A4B">
      <w:pPr>
        <w:pStyle w:val="Heading3"/>
        <w:rPr>
          <w:szCs w:val="22"/>
        </w:rPr>
      </w:pPr>
    </w:p>
    <w:p w:rsidR="00C96A4B" w:rsidRDefault="00C96A4B" w:rsidP="00C96A4B">
      <w:pPr>
        <w:pStyle w:val="Heading3"/>
        <w:jc w:val="both"/>
        <w:rPr>
          <w:szCs w:val="22"/>
        </w:rPr>
      </w:pPr>
    </w:p>
    <w:p w:rsidR="00C96A4B" w:rsidRPr="009D129E" w:rsidRDefault="00C96A4B" w:rsidP="00C96A4B">
      <w:pPr>
        <w:jc w:val="both"/>
        <w:rPr>
          <w:b/>
          <w:sz w:val="20"/>
          <w:szCs w:val="22"/>
        </w:rPr>
      </w:pPr>
      <w:r w:rsidRPr="009D129E">
        <w:rPr>
          <w:b/>
          <w:sz w:val="20"/>
          <w:szCs w:val="22"/>
        </w:rPr>
        <w:t>Key findings</w:t>
      </w:r>
    </w:p>
    <w:p w:rsidR="00C96A4B" w:rsidRPr="009D129E" w:rsidRDefault="00C96A4B" w:rsidP="00C96A4B">
      <w:pPr>
        <w:pStyle w:val="Heading3"/>
        <w:jc w:val="both"/>
        <w:rPr>
          <w:b w:val="0"/>
          <w:sz w:val="20"/>
          <w:szCs w:val="22"/>
        </w:rPr>
      </w:pPr>
    </w:p>
    <w:p w:rsidR="00C96A4B" w:rsidRPr="009D129E" w:rsidRDefault="00C96A4B" w:rsidP="00C96A4B">
      <w:pPr>
        <w:ind w:left="270"/>
        <w:jc w:val="both"/>
        <w:rPr>
          <w:sz w:val="20"/>
          <w:szCs w:val="22"/>
        </w:rPr>
      </w:pPr>
      <w:r w:rsidRPr="009D129E">
        <w:rPr>
          <w:sz w:val="20"/>
          <w:szCs w:val="22"/>
        </w:rPr>
        <w:t xml:space="preserve">Using </w:t>
      </w:r>
      <w:smartTag w:uri="urn:schemas-microsoft-com:office:smarttags" w:element="stockticker">
        <w:r w:rsidRPr="009D129E">
          <w:rPr>
            <w:sz w:val="20"/>
            <w:szCs w:val="22"/>
          </w:rPr>
          <w:t>AHC</w:t>
        </w:r>
      </w:smartTag>
      <w:r w:rsidRPr="009D129E">
        <w:rPr>
          <w:sz w:val="20"/>
          <w:szCs w:val="22"/>
        </w:rPr>
        <w:t xml:space="preserve"> incomes (</w:t>
      </w:r>
      <w:r w:rsidRPr="009D129E">
        <w:rPr>
          <w:b/>
          <w:sz w:val="20"/>
          <w:szCs w:val="22"/>
        </w:rPr>
        <w:t>Table H.3</w:t>
      </w:r>
      <w:r w:rsidRPr="009D129E">
        <w:rPr>
          <w:sz w:val="20"/>
          <w:szCs w:val="22"/>
        </w:rPr>
        <w:t>):</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Children living in sole-parent (SP) households experience significantly higher poverty rates than those in two-parent (2P) households and other family households</w:t>
      </w:r>
      <w:r>
        <w:rPr>
          <w:sz w:val="20"/>
          <w:szCs w:val="22"/>
        </w:rPr>
        <w:t xml:space="preserve"> (56%, 13% and 16% respectively in 2011).</w:t>
      </w:r>
    </w:p>
    <w:p w:rsidR="00C96A4B" w:rsidRPr="009D129E" w:rsidRDefault="00C96A4B" w:rsidP="00C96A4B">
      <w:pPr>
        <w:tabs>
          <w:tab w:val="num" w:pos="540"/>
        </w:tabs>
        <w:ind w:left="540" w:hanging="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Around one in three SP families (EFUs) live in households with other adults.  Children living in these SP EFUs have lower poverty rates than those in SP EFUs living on their own because of the wider household </w:t>
      </w:r>
      <w:r>
        <w:rPr>
          <w:sz w:val="20"/>
          <w:szCs w:val="22"/>
        </w:rPr>
        <w:t xml:space="preserve">financial </w:t>
      </w:r>
      <w:r w:rsidRPr="009D129E">
        <w:rPr>
          <w:sz w:val="20"/>
          <w:szCs w:val="22"/>
        </w:rPr>
        <w:t>resources available to them</w:t>
      </w:r>
      <w:r>
        <w:rPr>
          <w:sz w:val="20"/>
          <w:szCs w:val="22"/>
        </w:rPr>
        <w:t>, both directly and indirectly</w:t>
      </w:r>
      <w:r w:rsidRPr="009D129E">
        <w:rPr>
          <w:sz w:val="20"/>
          <w:szCs w:val="22"/>
        </w:rPr>
        <w:t>.</w:t>
      </w:r>
      <w:r>
        <w:rPr>
          <w:rStyle w:val="FootnoteReference"/>
          <w:sz w:val="20"/>
          <w:szCs w:val="22"/>
        </w:rPr>
        <w:footnoteReference w:id="71"/>
      </w:r>
    </w:p>
    <w:p w:rsidR="00C96A4B" w:rsidRPr="009D129E" w:rsidRDefault="00C96A4B" w:rsidP="00C96A4B">
      <w:pPr>
        <w:tabs>
          <w:tab w:val="num" w:pos="540"/>
        </w:tabs>
        <w:ind w:left="540" w:hanging="270"/>
        <w:jc w:val="both"/>
        <w:rPr>
          <w:sz w:val="20"/>
          <w:szCs w:val="22"/>
        </w:rPr>
      </w:pPr>
    </w:p>
    <w:p w:rsidR="00C96A4B" w:rsidRDefault="00C96A4B" w:rsidP="00614C04">
      <w:pPr>
        <w:numPr>
          <w:ilvl w:val="0"/>
          <w:numId w:val="50"/>
        </w:numPr>
        <w:tabs>
          <w:tab w:val="clear" w:pos="720"/>
          <w:tab w:val="num" w:pos="540"/>
        </w:tabs>
        <w:ind w:left="540" w:hanging="270"/>
        <w:jc w:val="both"/>
        <w:rPr>
          <w:sz w:val="20"/>
          <w:szCs w:val="22"/>
        </w:rPr>
      </w:pPr>
      <w:r w:rsidRPr="009D129E">
        <w:rPr>
          <w:sz w:val="20"/>
          <w:szCs w:val="22"/>
        </w:rPr>
        <w:t>Although poverty rates for children in SP families are much higher than for children in 2P</w:t>
      </w:r>
      <w:r>
        <w:rPr>
          <w:sz w:val="20"/>
          <w:szCs w:val="22"/>
        </w:rPr>
        <w:t xml:space="preserve"> families</w:t>
      </w:r>
      <w:r w:rsidRPr="009D129E">
        <w:rPr>
          <w:sz w:val="20"/>
          <w:szCs w:val="22"/>
        </w:rPr>
        <w:t xml:space="preserve">, </w:t>
      </w:r>
      <w:r>
        <w:rPr>
          <w:sz w:val="20"/>
          <w:szCs w:val="22"/>
        </w:rPr>
        <w:t xml:space="preserve">from the mid 1990s to 2010, around half of poor children came from 2P families and half from SP families.  </w:t>
      </w:r>
    </w:p>
    <w:p w:rsidR="00C96A4B" w:rsidRPr="009D129E"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Children in households with three or more children generally have poverty rates </w:t>
      </w:r>
      <w:r>
        <w:rPr>
          <w:sz w:val="20"/>
          <w:szCs w:val="22"/>
        </w:rPr>
        <w:t xml:space="preserve">considerably higher </w:t>
      </w:r>
      <w:r w:rsidRPr="009D129E">
        <w:rPr>
          <w:sz w:val="20"/>
          <w:szCs w:val="22"/>
        </w:rPr>
        <w:t xml:space="preserve">than those </w:t>
      </w:r>
      <w:r>
        <w:rPr>
          <w:sz w:val="20"/>
          <w:szCs w:val="22"/>
        </w:rPr>
        <w:t>with only one or two children (eg  28% and 18% in 2011, and similar in 2007, 2009 and 2011).  In 2011, c</w:t>
      </w:r>
      <w:r w:rsidRPr="009D129E">
        <w:rPr>
          <w:sz w:val="20"/>
          <w:szCs w:val="22"/>
        </w:rPr>
        <w:t>hildre</w:t>
      </w:r>
      <w:r>
        <w:rPr>
          <w:sz w:val="20"/>
          <w:szCs w:val="22"/>
        </w:rPr>
        <w:t>n in these larger households mad</w:t>
      </w:r>
      <w:r w:rsidRPr="009D129E">
        <w:rPr>
          <w:sz w:val="20"/>
          <w:szCs w:val="22"/>
        </w:rPr>
        <w:t xml:space="preserve">e up </w:t>
      </w:r>
      <w:r>
        <w:rPr>
          <w:sz w:val="20"/>
          <w:szCs w:val="22"/>
        </w:rPr>
        <w:t>just under</w:t>
      </w:r>
      <w:r w:rsidRPr="009D129E">
        <w:rPr>
          <w:sz w:val="20"/>
          <w:szCs w:val="22"/>
        </w:rPr>
        <w:t xml:space="preserve"> half of all poor children</w:t>
      </w:r>
      <w:r>
        <w:rPr>
          <w:sz w:val="20"/>
          <w:szCs w:val="22"/>
        </w:rPr>
        <w:t xml:space="preserve"> (48%).</w:t>
      </w:r>
      <w:r>
        <w:rPr>
          <w:rStyle w:val="FootnoteReference"/>
          <w:sz w:val="20"/>
          <w:szCs w:val="22"/>
        </w:rPr>
        <w:footnoteReference w:id="72"/>
      </w:r>
    </w:p>
    <w:p w:rsidR="00C96A4B" w:rsidRPr="009D129E" w:rsidRDefault="00C96A4B" w:rsidP="00C96A4B">
      <w:pPr>
        <w:tabs>
          <w:tab w:val="num" w:pos="540"/>
        </w:tabs>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In </w:t>
      </w:r>
      <w:r>
        <w:rPr>
          <w:sz w:val="20"/>
          <w:szCs w:val="22"/>
        </w:rPr>
        <w:t xml:space="preserve">2001 and </w:t>
      </w:r>
      <w:r w:rsidRPr="009D129E">
        <w:rPr>
          <w:sz w:val="20"/>
          <w:szCs w:val="22"/>
        </w:rPr>
        <w:t xml:space="preserve">2004, around </w:t>
      </w:r>
      <w:r>
        <w:rPr>
          <w:sz w:val="20"/>
          <w:szCs w:val="22"/>
        </w:rPr>
        <w:t>one in two</w:t>
      </w:r>
      <w:r w:rsidRPr="009D129E">
        <w:rPr>
          <w:sz w:val="20"/>
          <w:szCs w:val="22"/>
        </w:rPr>
        <w:t xml:space="preserve"> poor children came from households where at least one adult was in full-time p</w:t>
      </w:r>
      <w:r>
        <w:rPr>
          <w:sz w:val="20"/>
          <w:szCs w:val="22"/>
        </w:rPr>
        <w:t>aid employment or was self-employed</w:t>
      </w:r>
      <w:r w:rsidRPr="009D129E">
        <w:rPr>
          <w:sz w:val="20"/>
          <w:szCs w:val="22"/>
        </w:rPr>
        <w:t xml:space="preserve">.  </w:t>
      </w:r>
      <w:r>
        <w:rPr>
          <w:sz w:val="20"/>
          <w:szCs w:val="22"/>
        </w:rPr>
        <w:t>On average from 2007 to 2011</w:t>
      </w:r>
      <w:r w:rsidRPr="009D129E">
        <w:rPr>
          <w:sz w:val="20"/>
          <w:szCs w:val="22"/>
        </w:rPr>
        <w:t xml:space="preserve"> </w:t>
      </w:r>
      <w:r>
        <w:rPr>
          <w:sz w:val="20"/>
          <w:szCs w:val="22"/>
        </w:rPr>
        <w:t>this proportion had dropped to around two in five.</w:t>
      </w:r>
    </w:p>
    <w:p w:rsidR="00C96A4B" w:rsidRDefault="00C96A4B" w:rsidP="00C96A4B">
      <w:pPr>
        <w:ind w:left="270"/>
        <w:jc w:val="both"/>
        <w:rPr>
          <w:sz w:val="20"/>
          <w:szCs w:val="22"/>
        </w:rPr>
      </w:pPr>
    </w:p>
    <w:p w:rsidR="00C96A4B" w:rsidRPr="009D129E" w:rsidRDefault="00C96A4B" w:rsidP="00614C04">
      <w:pPr>
        <w:numPr>
          <w:ilvl w:val="0"/>
          <w:numId w:val="50"/>
        </w:numPr>
        <w:tabs>
          <w:tab w:val="clear" w:pos="720"/>
          <w:tab w:val="num" w:pos="540"/>
        </w:tabs>
        <w:ind w:left="540" w:hanging="270"/>
        <w:jc w:val="both"/>
        <w:rPr>
          <w:sz w:val="20"/>
          <w:szCs w:val="22"/>
        </w:rPr>
      </w:pPr>
      <w:r w:rsidRPr="009D129E">
        <w:rPr>
          <w:sz w:val="20"/>
          <w:szCs w:val="22"/>
        </w:rPr>
        <w:t xml:space="preserve">From 1992 to 2004, children in workless households generally had poverty rates around four times higher than </w:t>
      </w:r>
      <w:r>
        <w:rPr>
          <w:sz w:val="20"/>
          <w:szCs w:val="22"/>
        </w:rPr>
        <w:t xml:space="preserve">for </w:t>
      </w:r>
      <w:r w:rsidRPr="009D129E">
        <w:rPr>
          <w:sz w:val="20"/>
          <w:szCs w:val="22"/>
        </w:rPr>
        <w:t xml:space="preserve">those in households where at least one adult was in full-time work.  In 2007 </w:t>
      </w:r>
      <w:r>
        <w:rPr>
          <w:sz w:val="20"/>
          <w:szCs w:val="22"/>
        </w:rPr>
        <w:t xml:space="preserve">to 2011, </w:t>
      </w:r>
      <w:r w:rsidRPr="009D129E">
        <w:rPr>
          <w:sz w:val="20"/>
          <w:szCs w:val="22"/>
        </w:rPr>
        <w:t xml:space="preserve">the difference was even greater – around </w:t>
      </w:r>
      <w:r>
        <w:rPr>
          <w:sz w:val="20"/>
          <w:szCs w:val="22"/>
        </w:rPr>
        <w:t xml:space="preserve">six to </w:t>
      </w:r>
      <w:r w:rsidRPr="009D129E">
        <w:rPr>
          <w:sz w:val="20"/>
          <w:szCs w:val="22"/>
        </w:rPr>
        <w:t xml:space="preserve">seven times higher for children </w:t>
      </w:r>
      <w:r>
        <w:rPr>
          <w:sz w:val="20"/>
          <w:szCs w:val="22"/>
        </w:rPr>
        <w:t xml:space="preserve">in </w:t>
      </w:r>
      <w:r w:rsidRPr="009D129E">
        <w:rPr>
          <w:sz w:val="20"/>
          <w:szCs w:val="22"/>
        </w:rPr>
        <w:t>workless households.</w:t>
      </w:r>
      <w:r>
        <w:rPr>
          <w:sz w:val="20"/>
          <w:szCs w:val="22"/>
        </w:rPr>
        <w:t xml:space="preserve">  This reflects the greater WFF assistance for working families than for beneficiary families.</w:t>
      </w:r>
    </w:p>
    <w:p w:rsidR="00C96A4B" w:rsidRDefault="00C96A4B" w:rsidP="00C96A4B">
      <w:pPr>
        <w:ind w:left="270"/>
        <w:jc w:val="both"/>
        <w:rPr>
          <w:sz w:val="20"/>
          <w:szCs w:val="22"/>
        </w:rPr>
      </w:pPr>
    </w:p>
    <w:p w:rsidR="00C96A4B" w:rsidRDefault="00C96A4B" w:rsidP="00614C04">
      <w:pPr>
        <w:numPr>
          <w:ilvl w:val="0"/>
          <w:numId w:val="50"/>
        </w:numPr>
        <w:tabs>
          <w:tab w:val="clear" w:pos="720"/>
          <w:tab w:val="num" w:pos="540"/>
        </w:tabs>
        <w:ind w:left="540" w:hanging="270"/>
        <w:jc w:val="both"/>
        <w:rPr>
          <w:sz w:val="20"/>
          <w:szCs w:val="22"/>
        </w:rPr>
      </w:pPr>
      <w:r>
        <w:rPr>
          <w:sz w:val="20"/>
          <w:szCs w:val="22"/>
        </w:rPr>
        <w:t>The fall in child poverty rates from 2004 to 2007 for children in one-FT-one-workless 2P households was very large (28% to 9%), reflecting the WFF impact, especially through the In-work Tax Credit.</w:t>
      </w:r>
    </w:p>
    <w:p w:rsidR="00981595" w:rsidRDefault="00981595" w:rsidP="00981595">
      <w:pPr>
        <w:jc w:val="both"/>
        <w:rPr>
          <w:sz w:val="20"/>
          <w:szCs w:val="22"/>
        </w:rPr>
      </w:pPr>
    </w:p>
    <w:p w:rsidR="00981595" w:rsidRPr="009D129E" w:rsidRDefault="00981595" w:rsidP="00614C04">
      <w:pPr>
        <w:numPr>
          <w:ilvl w:val="0"/>
          <w:numId w:val="50"/>
        </w:numPr>
        <w:tabs>
          <w:tab w:val="clear" w:pos="720"/>
          <w:tab w:val="num" w:pos="540"/>
        </w:tabs>
        <w:ind w:left="540" w:hanging="270"/>
        <w:jc w:val="both"/>
        <w:rPr>
          <w:sz w:val="20"/>
          <w:szCs w:val="22"/>
        </w:rPr>
      </w:pPr>
      <w:r>
        <w:rPr>
          <w:sz w:val="20"/>
          <w:szCs w:val="22"/>
        </w:rPr>
        <w:t xml:space="preserve">See </w:t>
      </w:r>
      <w:r w:rsidRPr="00981595">
        <w:rPr>
          <w:b/>
          <w:sz w:val="20"/>
          <w:szCs w:val="22"/>
        </w:rPr>
        <w:t>Appendix 10</w:t>
      </w:r>
      <w:r>
        <w:rPr>
          <w:sz w:val="20"/>
          <w:szCs w:val="22"/>
        </w:rPr>
        <w:t xml:space="preserve"> for a summary of the composition of poor children by ethnicity and by selected household characteristics.  The poverty rate </w:t>
      </w:r>
      <w:r w:rsidR="00B863CA">
        <w:rPr>
          <w:sz w:val="20"/>
          <w:szCs w:val="22"/>
        </w:rPr>
        <w:t xml:space="preserve">for children in a particular group (eg sole parent households) </w:t>
      </w:r>
      <w:r>
        <w:rPr>
          <w:sz w:val="20"/>
          <w:szCs w:val="22"/>
        </w:rPr>
        <w:t>is about the proportion of children who are in poor households</w:t>
      </w:r>
      <w:r w:rsidR="00B863CA">
        <w:rPr>
          <w:sz w:val="20"/>
          <w:szCs w:val="22"/>
        </w:rPr>
        <w:t xml:space="preserve"> in that group</w:t>
      </w:r>
      <w:r>
        <w:rPr>
          <w:sz w:val="20"/>
          <w:szCs w:val="22"/>
        </w:rPr>
        <w:t xml:space="preserve">.  Poverty composition is about the proportion of </w:t>
      </w:r>
      <w:r w:rsidR="00B863CA">
        <w:rPr>
          <w:sz w:val="20"/>
          <w:szCs w:val="22"/>
        </w:rPr>
        <w:t xml:space="preserve">all </w:t>
      </w:r>
      <w:r>
        <w:rPr>
          <w:sz w:val="20"/>
          <w:szCs w:val="22"/>
        </w:rPr>
        <w:t>poor children who</w:t>
      </w:r>
      <w:r w:rsidR="00B863CA">
        <w:rPr>
          <w:sz w:val="20"/>
          <w:szCs w:val="22"/>
        </w:rPr>
        <w:t xml:space="preserve"> are in that particular sub-group.</w:t>
      </w:r>
    </w:p>
    <w:p w:rsidR="00C96A4B" w:rsidRPr="009D129E" w:rsidRDefault="00C96A4B" w:rsidP="00C96A4B">
      <w:pPr>
        <w:ind w:left="270"/>
        <w:jc w:val="both"/>
        <w:rPr>
          <w:sz w:val="20"/>
          <w:szCs w:val="22"/>
        </w:rPr>
      </w:pPr>
    </w:p>
    <w:p w:rsidR="00C96A4B" w:rsidRPr="009D129E" w:rsidRDefault="00C96A4B" w:rsidP="00C96A4B">
      <w:pPr>
        <w:ind w:left="270"/>
        <w:jc w:val="both"/>
        <w:rPr>
          <w:sz w:val="20"/>
          <w:szCs w:val="22"/>
        </w:rPr>
      </w:pPr>
    </w:p>
    <w:p w:rsidR="00C96A4B" w:rsidRDefault="00C96A4B" w:rsidP="00C96A4B">
      <w:pPr>
        <w:ind w:left="270"/>
        <w:jc w:val="both"/>
        <w:rPr>
          <w:szCs w:val="22"/>
        </w:rPr>
      </w:pPr>
    </w:p>
    <w:p w:rsidR="00C96A4B" w:rsidRDefault="00C96A4B" w:rsidP="00C96A4B">
      <w:pPr>
        <w:pStyle w:val="Heading3"/>
        <w:jc w:val="both"/>
        <w:rPr>
          <w:szCs w:val="22"/>
        </w:rPr>
      </w:pPr>
    </w:p>
    <w:p w:rsidR="00C96A4B" w:rsidRDefault="00C96A4B" w:rsidP="00C96A4B">
      <w:pPr>
        <w:pStyle w:val="Heading3"/>
        <w:jc w:val="both"/>
        <w:rPr>
          <w:szCs w:val="22"/>
        </w:rPr>
      </w:pPr>
    </w:p>
    <w:p w:rsidR="00C96A4B" w:rsidRPr="006E1F87" w:rsidRDefault="00C96A4B" w:rsidP="00C96A4B">
      <w:pPr>
        <w:pStyle w:val="Heading3"/>
        <w:jc w:val="center"/>
        <w:rPr>
          <w:sz w:val="20"/>
          <w:szCs w:val="20"/>
        </w:rPr>
      </w:pPr>
      <w:r>
        <w:br w:type="page"/>
      </w:r>
      <w:r w:rsidRPr="006E1F87">
        <w:rPr>
          <w:sz w:val="20"/>
          <w:szCs w:val="20"/>
        </w:rPr>
        <w:lastRenderedPageBreak/>
        <w:t>Table H.3</w:t>
      </w:r>
    </w:p>
    <w:p w:rsidR="00C96A4B" w:rsidRPr="006E1F87" w:rsidRDefault="00C96A4B" w:rsidP="00C96A4B">
      <w:pPr>
        <w:jc w:val="center"/>
        <w:rPr>
          <w:b/>
          <w:sz w:val="20"/>
        </w:rPr>
      </w:pPr>
      <w:r w:rsidRPr="006E1F87">
        <w:rPr>
          <w:b/>
          <w:sz w:val="20"/>
        </w:rPr>
        <w:t xml:space="preserve">Children in low-income households by household and family type: </w:t>
      </w:r>
    </w:p>
    <w:p w:rsidR="00C96A4B" w:rsidRPr="006E1F87" w:rsidRDefault="00C96A4B" w:rsidP="00C96A4B">
      <w:pPr>
        <w:spacing w:after="120"/>
        <w:jc w:val="center"/>
        <w:rPr>
          <w:b/>
          <w:sz w:val="20"/>
        </w:rPr>
      </w:pPr>
      <w:r w:rsidRPr="006E1F87">
        <w:rPr>
          <w:b/>
          <w:sz w:val="20"/>
        </w:rPr>
        <w:t xml:space="preserve">60% </w:t>
      </w:r>
      <w:smartTag w:uri="urn:schemas-microsoft-com:office:smarttags" w:element="stockticker">
        <w:r w:rsidRPr="006E1F87">
          <w:rPr>
            <w:b/>
            <w:sz w:val="20"/>
          </w:rPr>
          <w:t>AHC</w:t>
        </w:r>
      </w:smartTag>
      <w:r w:rsidRPr="006E1F87">
        <w:rPr>
          <w:b/>
          <w:sz w:val="20"/>
        </w:rPr>
        <w:t xml:space="preserve"> CV</w:t>
      </w:r>
    </w:p>
    <w:p w:rsidR="00C96A4B" w:rsidRPr="009D129E" w:rsidRDefault="00C96A4B" w:rsidP="00C96A4B">
      <w:pPr>
        <w:spacing w:after="120"/>
        <w:ind w:left="180"/>
        <w:rPr>
          <w:rFonts w:cs="Arial"/>
          <w:b/>
          <w:sz w:val="18"/>
          <w:szCs w:val="18"/>
        </w:rPr>
      </w:pPr>
      <w:r w:rsidRPr="009D129E">
        <w:rPr>
          <w:b/>
          <w:sz w:val="18"/>
          <w:szCs w:val="18"/>
        </w:rPr>
        <w:t>A.  Proportions of children below the threshold</w:t>
      </w:r>
      <w:r>
        <w:rPr>
          <w:b/>
          <w:sz w:val="18"/>
          <w:szCs w:val="18"/>
        </w:rPr>
        <w:t>, by household and family type</w:t>
      </w:r>
    </w:p>
    <w:tbl>
      <w:tblPr>
        <w:tblStyle w:val="TableGrid"/>
        <w:tblW w:w="8449" w:type="dxa"/>
        <w:jc w:val="center"/>
        <w:tblLayout w:type="fixed"/>
        <w:tblLook w:val="01E0"/>
      </w:tblPr>
      <w:tblGrid>
        <w:gridCol w:w="2182"/>
        <w:gridCol w:w="417"/>
        <w:gridCol w:w="418"/>
        <w:gridCol w:w="418"/>
        <w:gridCol w:w="418"/>
        <w:gridCol w:w="418"/>
        <w:gridCol w:w="417"/>
        <w:gridCol w:w="418"/>
        <w:gridCol w:w="418"/>
        <w:gridCol w:w="418"/>
        <w:gridCol w:w="418"/>
        <w:gridCol w:w="417"/>
        <w:gridCol w:w="418"/>
        <w:gridCol w:w="418"/>
        <w:gridCol w:w="418"/>
        <w:gridCol w:w="418"/>
      </w:tblGrid>
      <w:tr w:rsidR="00C96A4B">
        <w:trPr>
          <w:trHeight w:hRule="exact" w:val="325"/>
          <w:jc w:val="center"/>
        </w:trPr>
        <w:tc>
          <w:tcPr>
            <w:tcW w:w="2182" w:type="dxa"/>
            <w:tcBorders>
              <w:bottom w:val="single" w:sz="4" w:space="0" w:color="auto"/>
              <w:right w:val="single" w:sz="4" w:space="0" w:color="auto"/>
            </w:tcBorders>
            <w:vAlign w:val="center"/>
          </w:tcPr>
          <w:p w:rsidR="00C96A4B" w:rsidRPr="00E71995" w:rsidRDefault="00C96A4B" w:rsidP="00614C04">
            <w:pPr>
              <w:spacing w:before="40" w:after="40"/>
              <w:jc w:val="center"/>
              <w:rPr>
                <w:rFonts w:cs="Arial"/>
                <w:b/>
                <w:sz w:val="14"/>
                <w:szCs w:val="16"/>
              </w:rPr>
            </w:pPr>
          </w:p>
        </w:tc>
        <w:tc>
          <w:tcPr>
            <w:tcW w:w="4595" w:type="dxa"/>
            <w:gridSpan w:val="11"/>
            <w:tcBorders>
              <w:left w:val="single" w:sz="4" w:space="0" w:color="auto"/>
              <w:bottom w:val="single" w:sz="4" w:space="0" w:color="auto"/>
              <w:right w:val="single" w:sz="12"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Reference year = 1998</w:t>
            </w:r>
          </w:p>
        </w:tc>
        <w:tc>
          <w:tcPr>
            <w:tcW w:w="1672" w:type="dxa"/>
            <w:gridSpan w:val="4"/>
            <w:tcBorders>
              <w:left w:val="single" w:sz="12" w:space="0" w:color="auto"/>
              <w:bottom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Ref year = 2007</w:t>
            </w:r>
          </w:p>
        </w:tc>
      </w:tr>
      <w:tr w:rsidR="00C96A4B">
        <w:trPr>
          <w:trHeight w:hRule="exact" w:val="325"/>
          <w:jc w:val="center"/>
        </w:trPr>
        <w:tc>
          <w:tcPr>
            <w:tcW w:w="2182" w:type="dxa"/>
            <w:tcBorders>
              <w:bottom w:val="single" w:sz="4" w:space="0" w:color="auto"/>
              <w:right w:val="single" w:sz="4" w:space="0" w:color="auto"/>
            </w:tcBorders>
            <w:vAlign w:val="center"/>
          </w:tcPr>
          <w:p w:rsidR="00C96A4B" w:rsidRPr="00E71995" w:rsidRDefault="00C96A4B" w:rsidP="00614C04">
            <w:pPr>
              <w:spacing w:before="40" w:after="40"/>
              <w:jc w:val="center"/>
              <w:rPr>
                <w:rFonts w:cs="Arial"/>
                <w:b/>
                <w:sz w:val="14"/>
                <w:szCs w:val="16"/>
              </w:rPr>
            </w:pPr>
          </w:p>
        </w:tc>
        <w:tc>
          <w:tcPr>
            <w:tcW w:w="417" w:type="dxa"/>
            <w:tcBorders>
              <w:left w:val="single" w:sz="4"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84</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86</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88</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90</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92</w:t>
            </w:r>
          </w:p>
        </w:tc>
        <w:tc>
          <w:tcPr>
            <w:tcW w:w="417"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94</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96</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98</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01</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04</w:t>
            </w:r>
          </w:p>
        </w:tc>
        <w:tc>
          <w:tcPr>
            <w:tcW w:w="417" w:type="dxa"/>
            <w:tcBorders>
              <w:left w:val="nil"/>
              <w:bottom w:val="single" w:sz="4" w:space="0" w:color="auto"/>
              <w:right w:val="single" w:sz="12" w:space="0" w:color="auto"/>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07</w:t>
            </w:r>
          </w:p>
        </w:tc>
        <w:tc>
          <w:tcPr>
            <w:tcW w:w="418" w:type="dxa"/>
            <w:tcBorders>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07</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09</w:t>
            </w:r>
          </w:p>
        </w:tc>
        <w:tc>
          <w:tcPr>
            <w:tcW w:w="418" w:type="dxa"/>
            <w:tcBorders>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10</w:t>
            </w:r>
          </w:p>
        </w:tc>
        <w:tc>
          <w:tcPr>
            <w:tcW w:w="418" w:type="dxa"/>
            <w:tcBorders>
              <w:left w:val="nil"/>
              <w:bottom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11</w:t>
            </w:r>
          </w:p>
        </w:tc>
      </w:tr>
      <w:tr w:rsidR="00C96A4B">
        <w:trPr>
          <w:jc w:val="center"/>
        </w:trPr>
        <w:tc>
          <w:tcPr>
            <w:tcW w:w="2182" w:type="dxa"/>
            <w:tcBorders>
              <w:top w:val="single" w:sz="4" w:space="0" w:color="auto"/>
              <w:bottom w:val="nil"/>
              <w:right w:val="single" w:sz="4" w:space="0" w:color="auto"/>
            </w:tcBorders>
            <w:vAlign w:val="center"/>
          </w:tcPr>
          <w:p w:rsidR="00C96A4B" w:rsidRPr="00E71995" w:rsidRDefault="00C96A4B" w:rsidP="00614C04">
            <w:pPr>
              <w:spacing w:before="40" w:after="40"/>
              <w:ind w:left="22"/>
              <w:rPr>
                <w:b/>
                <w:sz w:val="14"/>
                <w:szCs w:val="16"/>
              </w:rPr>
            </w:pPr>
            <w:r w:rsidRPr="00E71995">
              <w:rPr>
                <w:b/>
                <w:sz w:val="14"/>
                <w:szCs w:val="16"/>
              </w:rPr>
              <w:t>By household type</w:t>
            </w:r>
          </w:p>
        </w:tc>
        <w:tc>
          <w:tcPr>
            <w:tcW w:w="417" w:type="dxa"/>
            <w:tcBorders>
              <w:top w:val="single" w:sz="4" w:space="0" w:color="auto"/>
              <w:left w:val="single" w:sz="4"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7"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7" w:type="dxa"/>
            <w:tcBorders>
              <w:top w:val="single" w:sz="4" w:space="0" w:color="auto"/>
              <w:left w:val="nil"/>
              <w:bottom w:val="nil"/>
              <w:right w:val="single" w:sz="12" w:space="0" w:color="auto"/>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SP HHs</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74</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56</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49</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59</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54</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53</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56</w:t>
            </w: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2P HHs</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27</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16</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13</w:t>
            </w: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other fam HHs</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15</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22</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9</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16</w:t>
            </w:r>
          </w:p>
        </w:tc>
      </w:tr>
      <w:tr w:rsidR="00C96A4B">
        <w:trPr>
          <w:jc w:val="center"/>
        </w:trPr>
        <w:tc>
          <w:tcPr>
            <w:tcW w:w="2182" w:type="dxa"/>
            <w:tcBorders>
              <w:bottom w:val="nil"/>
              <w:right w:val="single" w:sz="4" w:space="0" w:color="auto"/>
            </w:tcBorders>
            <w:vAlign w:val="center"/>
          </w:tcPr>
          <w:p w:rsidR="00C96A4B" w:rsidRPr="00E71995" w:rsidRDefault="00C96A4B" w:rsidP="00614C04">
            <w:pPr>
              <w:spacing w:before="40" w:after="40"/>
              <w:ind w:left="22"/>
              <w:rPr>
                <w:b/>
                <w:sz w:val="14"/>
                <w:szCs w:val="16"/>
              </w:rPr>
            </w:pPr>
            <w:r w:rsidRPr="00E71995">
              <w:rPr>
                <w:b/>
                <w:sz w:val="14"/>
                <w:szCs w:val="16"/>
              </w:rPr>
              <w:t xml:space="preserve">By family type   </w:t>
            </w:r>
            <w:r w:rsidRPr="00E71995">
              <w:rPr>
                <w:sz w:val="14"/>
                <w:szCs w:val="16"/>
              </w:rPr>
              <w:t>(n1)</w:t>
            </w:r>
          </w:p>
        </w:tc>
        <w:tc>
          <w:tcPr>
            <w:tcW w:w="417" w:type="dxa"/>
            <w:tcBorders>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7"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7" w:type="dxa"/>
            <w:tcBorders>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left w:val="nil"/>
              <w:bottom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SP families</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60</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55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44</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42</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46</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42</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46</w:t>
            </w: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in SP families on own</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80</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57</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49</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61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57</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57</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60</w:t>
            </w: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within wider HHs</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32</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25</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32</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19</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14</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22</w:t>
            </w:r>
          </w:p>
        </w:tc>
      </w:tr>
      <w:tr w:rsidR="00C96A4B">
        <w:trPr>
          <w:jc w:val="center"/>
        </w:trPr>
        <w:tc>
          <w:tcPr>
            <w:tcW w:w="2182" w:type="dxa"/>
            <w:tcBorders>
              <w:top w:val="nil"/>
              <w:bottom w:val="single" w:sz="4" w:space="0" w:color="auto"/>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2P families</w:t>
            </w:r>
          </w:p>
        </w:tc>
        <w:tc>
          <w:tcPr>
            <w:tcW w:w="417" w:type="dxa"/>
            <w:tcBorders>
              <w:top w:val="nil"/>
              <w:left w:val="single" w:sz="4" w:space="0" w:color="auto"/>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25</w:t>
            </w:r>
          </w:p>
        </w:tc>
        <w:tc>
          <w:tcPr>
            <w:tcW w:w="417"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28</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7" w:type="dxa"/>
            <w:tcBorders>
              <w:top w:val="nil"/>
              <w:left w:val="nil"/>
              <w:bottom w:val="single" w:sz="4" w:space="0" w:color="auto"/>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14</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14</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16</w:t>
            </w:r>
          </w:p>
        </w:tc>
        <w:tc>
          <w:tcPr>
            <w:tcW w:w="418" w:type="dxa"/>
            <w:tcBorders>
              <w:top w:val="nil"/>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12</w:t>
            </w:r>
          </w:p>
        </w:tc>
      </w:tr>
      <w:tr w:rsidR="00C96A4B">
        <w:trPr>
          <w:jc w:val="center"/>
        </w:trPr>
        <w:tc>
          <w:tcPr>
            <w:tcW w:w="2182" w:type="dxa"/>
            <w:tcBorders>
              <w:top w:val="single" w:sz="4" w:space="0" w:color="auto"/>
              <w:left w:val="single" w:sz="4" w:space="0" w:color="auto"/>
              <w:bottom w:val="nil"/>
              <w:right w:val="nil"/>
            </w:tcBorders>
            <w:vAlign w:val="center"/>
          </w:tcPr>
          <w:p w:rsidR="00C96A4B" w:rsidRPr="00E71995" w:rsidRDefault="00C96A4B" w:rsidP="00614C04">
            <w:pPr>
              <w:spacing w:before="40" w:after="40"/>
              <w:rPr>
                <w:rFonts w:cs="Arial"/>
                <w:b/>
                <w:sz w:val="14"/>
                <w:szCs w:val="16"/>
              </w:rPr>
            </w:pPr>
            <w:r w:rsidRPr="00E71995">
              <w:rPr>
                <w:rFonts w:cs="Arial"/>
                <w:b/>
                <w:sz w:val="14"/>
                <w:szCs w:val="16"/>
              </w:rPr>
              <w:t>By # of children in HH</w:t>
            </w:r>
          </w:p>
        </w:tc>
        <w:tc>
          <w:tcPr>
            <w:tcW w:w="417" w:type="dxa"/>
            <w:tcBorders>
              <w:top w:val="single" w:sz="4" w:space="0" w:color="auto"/>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7"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7" w:type="dxa"/>
            <w:tcBorders>
              <w:top w:val="single" w:sz="4" w:space="0" w:color="auto"/>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single" w:sz="4" w:space="0" w:color="auto"/>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single" w:sz="4" w:space="0" w:color="auto"/>
              <w:left w:val="nil"/>
              <w:bottom w:val="nil"/>
              <w:right w:val="single" w:sz="4" w:space="0" w:color="auto"/>
            </w:tcBorders>
            <w:tcMar>
              <w:left w:w="29" w:type="dxa"/>
              <w:right w:w="29" w:type="dxa"/>
            </w:tcMar>
            <w:vAlign w:val="center"/>
          </w:tcPr>
          <w:p w:rsidR="00C96A4B" w:rsidRPr="00E71995" w:rsidRDefault="00C96A4B" w:rsidP="00614C04">
            <w:pPr>
              <w:spacing w:before="40" w:after="40"/>
              <w:jc w:val="center"/>
              <w:rPr>
                <w:rFonts w:cs="Arial"/>
                <w:sz w:val="14"/>
                <w:szCs w:val="16"/>
              </w:rPr>
            </w:pPr>
          </w:p>
        </w:tc>
      </w:tr>
      <w:tr w:rsidR="00C96A4B">
        <w:trPr>
          <w:jc w:val="center"/>
        </w:trPr>
        <w:tc>
          <w:tcPr>
            <w:tcW w:w="2182" w:type="dxa"/>
            <w:tcBorders>
              <w:top w:val="nil"/>
              <w:left w:val="single" w:sz="4" w:space="0" w:color="auto"/>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1 or 2 children</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29</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19</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18</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18</w:t>
            </w:r>
          </w:p>
        </w:tc>
        <w:tc>
          <w:tcPr>
            <w:tcW w:w="418" w:type="dxa"/>
            <w:tcBorders>
              <w:top w:val="nil"/>
              <w:left w:val="nil"/>
              <w:bottom w:val="nil"/>
              <w:right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18</w:t>
            </w:r>
          </w:p>
        </w:tc>
      </w:tr>
      <w:tr w:rsidR="00C96A4B">
        <w:trPr>
          <w:jc w:val="center"/>
        </w:trPr>
        <w:tc>
          <w:tcPr>
            <w:tcW w:w="2182" w:type="dxa"/>
            <w:tcBorders>
              <w:top w:val="nil"/>
              <w:left w:val="single" w:sz="4" w:space="0" w:color="auto"/>
              <w:bottom w:val="single" w:sz="4" w:space="0" w:color="auto"/>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3 or more children</w:t>
            </w:r>
          </w:p>
        </w:tc>
        <w:tc>
          <w:tcPr>
            <w:tcW w:w="417" w:type="dxa"/>
            <w:tcBorders>
              <w:top w:val="nil"/>
              <w:left w:val="single" w:sz="4" w:space="0" w:color="auto"/>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19</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15</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22</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38</w:t>
            </w:r>
          </w:p>
        </w:tc>
        <w:tc>
          <w:tcPr>
            <w:tcW w:w="417"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41</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34</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29</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32</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30</w:t>
            </w:r>
          </w:p>
        </w:tc>
        <w:tc>
          <w:tcPr>
            <w:tcW w:w="417" w:type="dxa"/>
            <w:tcBorders>
              <w:top w:val="nil"/>
              <w:left w:val="nil"/>
              <w:bottom w:val="single" w:sz="8" w:space="0" w:color="auto"/>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28</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28</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27</w:t>
            </w:r>
          </w:p>
        </w:tc>
        <w:tc>
          <w:tcPr>
            <w:tcW w:w="418" w:type="dxa"/>
            <w:tcBorders>
              <w:top w:val="nil"/>
              <w:left w:val="nil"/>
              <w:bottom w:val="single" w:sz="4" w:space="0" w:color="auto"/>
              <w:right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28</w:t>
            </w:r>
          </w:p>
        </w:tc>
      </w:tr>
      <w:tr w:rsidR="00C96A4B">
        <w:trPr>
          <w:jc w:val="center"/>
        </w:trPr>
        <w:tc>
          <w:tcPr>
            <w:tcW w:w="6360" w:type="dxa"/>
            <w:gridSpan w:val="11"/>
            <w:tcBorders>
              <w:top w:val="nil"/>
              <w:bottom w:val="nil"/>
              <w:right w:val="nil"/>
            </w:tcBorders>
            <w:vAlign w:val="center"/>
          </w:tcPr>
          <w:p w:rsidR="00C96A4B" w:rsidRPr="00323602" w:rsidRDefault="00C96A4B" w:rsidP="00614C04">
            <w:pPr>
              <w:spacing w:before="40" w:after="40"/>
              <w:rPr>
                <w:rFonts w:cs="Arial"/>
                <w:b/>
                <w:sz w:val="14"/>
                <w:szCs w:val="16"/>
              </w:rPr>
            </w:pPr>
            <w:r w:rsidRPr="00323602">
              <w:rPr>
                <w:rFonts w:cs="Arial"/>
                <w:b/>
                <w:sz w:val="14"/>
                <w:szCs w:val="16"/>
              </w:rPr>
              <w:t>By work status of adults (all HHs with children)</w:t>
            </w:r>
          </w:p>
        </w:tc>
        <w:tc>
          <w:tcPr>
            <w:tcW w:w="417" w:type="dxa"/>
            <w:tcBorders>
              <w:top w:val="single" w:sz="8" w:space="0" w:color="auto"/>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p>
        </w:tc>
      </w:tr>
      <w:tr w:rsidR="00C96A4B">
        <w:trPr>
          <w:jc w:val="center"/>
        </w:trPr>
        <w:tc>
          <w:tcPr>
            <w:tcW w:w="2182"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Self-employed</w:t>
            </w:r>
          </w:p>
        </w:tc>
        <w:tc>
          <w:tcPr>
            <w:tcW w:w="417" w:type="dxa"/>
            <w:tcBorders>
              <w:top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21</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12</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17</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20</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17</w:t>
            </w:r>
          </w:p>
        </w:tc>
      </w:tr>
      <w:tr w:rsidR="00C96A4B">
        <w:trPr>
          <w:jc w:val="center"/>
        </w:trPr>
        <w:tc>
          <w:tcPr>
            <w:tcW w:w="2182"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One or more FT</w:t>
            </w:r>
          </w:p>
        </w:tc>
        <w:tc>
          <w:tcPr>
            <w:tcW w:w="417" w:type="dxa"/>
            <w:tcBorders>
              <w:top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14</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10</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9</w:t>
            </w:r>
          </w:p>
        </w:tc>
      </w:tr>
      <w:tr w:rsidR="00C96A4B">
        <w:trPr>
          <w:jc w:val="center"/>
        </w:trPr>
        <w:tc>
          <w:tcPr>
            <w:tcW w:w="2182"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None FT</w:t>
            </w:r>
          </w:p>
        </w:tc>
        <w:tc>
          <w:tcPr>
            <w:tcW w:w="417" w:type="dxa"/>
            <w:tcBorders>
              <w:top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73</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75</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74</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72</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58</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49</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63</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64</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53</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61</w:t>
            </w:r>
          </w:p>
        </w:tc>
      </w:tr>
      <w:tr w:rsidR="00C96A4B">
        <w:trPr>
          <w:jc w:val="center"/>
        </w:trPr>
        <w:tc>
          <w:tcPr>
            <w:tcW w:w="2182" w:type="dxa"/>
            <w:tcBorders>
              <w:top w:val="nil"/>
              <w:bottom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Workless</w:t>
            </w:r>
          </w:p>
        </w:tc>
        <w:tc>
          <w:tcPr>
            <w:tcW w:w="417" w:type="dxa"/>
            <w:tcBorders>
              <w:top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38</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25</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25</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78</w:t>
            </w:r>
          </w:p>
        </w:tc>
        <w:tc>
          <w:tcPr>
            <w:tcW w:w="417"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77</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78</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71</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77</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60</w:t>
            </w:r>
          </w:p>
        </w:tc>
        <w:tc>
          <w:tcPr>
            <w:tcW w:w="417" w:type="dxa"/>
            <w:tcBorders>
              <w:top w:val="nil"/>
              <w:left w:val="nil"/>
              <w:bottom w:val="single" w:sz="4" w:space="0" w:color="auto"/>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58</w:t>
            </w:r>
          </w:p>
        </w:tc>
        <w:tc>
          <w:tcPr>
            <w:tcW w:w="418"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71</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74</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59</w:t>
            </w:r>
          </w:p>
        </w:tc>
        <w:tc>
          <w:tcPr>
            <w:tcW w:w="418" w:type="dxa"/>
            <w:tcBorders>
              <w:top w:val="nil"/>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65</w:t>
            </w:r>
          </w:p>
        </w:tc>
      </w:tr>
      <w:tr w:rsidR="00C96A4B">
        <w:trPr>
          <w:jc w:val="center"/>
        </w:trPr>
        <w:tc>
          <w:tcPr>
            <w:tcW w:w="5942" w:type="dxa"/>
            <w:gridSpan w:val="10"/>
            <w:tcBorders>
              <w:top w:val="nil"/>
              <w:bottom w:val="nil"/>
              <w:right w:val="nil"/>
            </w:tcBorders>
            <w:vAlign w:val="center"/>
          </w:tcPr>
          <w:p w:rsidR="00C96A4B" w:rsidRPr="00323602" w:rsidRDefault="00C96A4B" w:rsidP="00614C04">
            <w:pPr>
              <w:spacing w:before="40" w:after="40"/>
              <w:rPr>
                <w:rFonts w:cs="Arial"/>
                <w:b/>
                <w:sz w:val="14"/>
                <w:szCs w:val="16"/>
              </w:rPr>
            </w:pPr>
            <w:r w:rsidRPr="00323602">
              <w:rPr>
                <w:rFonts w:cs="Arial"/>
                <w:b/>
                <w:sz w:val="14"/>
                <w:szCs w:val="16"/>
              </w:rPr>
              <w:t>By work status of adults (two parent HHs)</w:t>
            </w:r>
          </w:p>
        </w:tc>
        <w:tc>
          <w:tcPr>
            <w:tcW w:w="418" w:type="dxa"/>
            <w:tcBorders>
              <w:top w:val="single" w:sz="4" w:space="0" w:color="auto"/>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8"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Both full-time</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7</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6</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8</w:t>
            </w:r>
          </w:p>
        </w:tc>
      </w:tr>
      <w:tr w:rsidR="00C96A4B">
        <w:trPr>
          <w:jc w:val="center"/>
        </w:trPr>
        <w:tc>
          <w:tcPr>
            <w:tcW w:w="2182"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One FT, one PT</w:t>
            </w:r>
          </w:p>
        </w:tc>
        <w:tc>
          <w:tcPr>
            <w:tcW w:w="417" w:type="dxa"/>
            <w:tcBorders>
              <w:top w:val="nil"/>
              <w:left w:val="single" w:sz="4" w:space="0" w:color="auto"/>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7</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10</w:t>
            </w:r>
          </w:p>
        </w:tc>
        <w:tc>
          <w:tcPr>
            <w:tcW w:w="417"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19</w:t>
            </w:r>
          </w:p>
        </w:tc>
        <w:tc>
          <w:tcPr>
            <w:tcW w:w="418" w:type="dxa"/>
            <w:tcBorders>
              <w:top w:val="nil"/>
              <w:left w:val="nil"/>
              <w:bottom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8</w:t>
            </w:r>
          </w:p>
        </w:tc>
        <w:tc>
          <w:tcPr>
            <w:tcW w:w="417" w:type="dxa"/>
            <w:tcBorders>
              <w:top w:val="nil"/>
              <w:left w:val="nil"/>
              <w:bottom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6</w:t>
            </w:r>
          </w:p>
        </w:tc>
        <w:tc>
          <w:tcPr>
            <w:tcW w:w="418"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11</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6</w:t>
            </w:r>
          </w:p>
        </w:tc>
        <w:tc>
          <w:tcPr>
            <w:tcW w:w="418"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12</w:t>
            </w:r>
          </w:p>
        </w:tc>
        <w:tc>
          <w:tcPr>
            <w:tcW w:w="418"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w:t>
            </w:r>
          </w:p>
        </w:tc>
      </w:tr>
      <w:tr w:rsidR="00C96A4B">
        <w:trPr>
          <w:jc w:val="center"/>
        </w:trPr>
        <w:tc>
          <w:tcPr>
            <w:tcW w:w="2182" w:type="dxa"/>
            <w:tcBorders>
              <w:top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One FT, one workless</w:t>
            </w:r>
          </w:p>
        </w:tc>
        <w:tc>
          <w:tcPr>
            <w:tcW w:w="417" w:type="dxa"/>
            <w:tcBorders>
              <w:top w:val="nil"/>
              <w:left w:val="single" w:sz="4" w:space="0" w:color="auto"/>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15</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16</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27</w:t>
            </w:r>
          </w:p>
        </w:tc>
        <w:tc>
          <w:tcPr>
            <w:tcW w:w="417"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32</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28</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24</w:t>
            </w:r>
          </w:p>
        </w:tc>
        <w:tc>
          <w:tcPr>
            <w:tcW w:w="418" w:type="dxa"/>
            <w:tcBorders>
              <w:top w:val="nil"/>
              <w:left w:val="nil"/>
              <w:bottom w:val="single" w:sz="4" w:space="0" w:color="auto"/>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28</w:t>
            </w:r>
          </w:p>
        </w:tc>
        <w:tc>
          <w:tcPr>
            <w:tcW w:w="417" w:type="dxa"/>
            <w:tcBorders>
              <w:top w:val="nil"/>
              <w:left w:val="nil"/>
              <w:bottom w:val="single" w:sz="4" w:space="0" w:color="auto"/>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9</w:t>
            </w:r>
          </w:p>
        </w:tc>
        <w:tc>
          <w:tcPr>
            <w:tcW w:w="418"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12</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19</w:t>
            </w:r>
          </w:p>
        </w:tc>
        <w:tc>
          <w:tcPr>
            <w:tcW w:w="418"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16</w:t>
            </w:r>
          </w:p>
        </w:tc>
        <w:tc>
          <w:tcPr>
            <w:tcW w:w="418" w:type="dxa"/>
            <w:tcBorders>
              <w:top w:val="nil"/>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11</w:t>
            </w:r>
          </w:p>
        </w:tc>
      </w:tr>
      <w:tr w:rsidR="00C96A4B">
        <w:trPr>
          <w:trHeight w:val="278"/>
          <w:jc w:val="center"/>
        </w:trPr>
        <w:tc>
          <w:tcPr>
            <w:tcW w:w="2182" w:type="dxa"/>
            <w:vAlign w:val="center"/>
          </w:tcPr>
          <w:p w:rsidR="00C96A4B" w:rsidRPr="00E71995" w:rsidRDefault="00C96A4B" w:rsidP="00614C04">
            <w:pPr>
              <w:spacing w:before="40" w:after="40"/>
              <w:ind w:left="86"/>
              <w:rPr>
                <w:b/>
                <w:sz w:val="14"/>
                <w:szCs w:val="16"/>
              </w:rPr>
            </w:pPr>
            <w:r w:rsidRPr="00E71995">
              <w:rPr>
                <w:b/>
                <w:sz w:val="14"/>
                <w:szCs w:val="16"/>
              </w:rPr>
              <w:t>All children, all HHs</w:t>
            </w:r>
          </w:p>
        </w:tc>
        <w:tc>
          <w:tcPr>
            <w:tcW w:w="417" w:type="dxa"/>
            <w:tcBorders>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15</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11</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12</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16</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33</w:t>
            </w:r>
          </w:p>
        </w:tc>
        <w:tc>
          <w:tcPr>
            <w:tcW w:w="417"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35</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32</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28</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29</w:t>
            </w:r>
          </w:p>
        </w:tc>
        <w:tc>
          <w:tcPr>
            <w:tcW w:w="418" w:type="dxa"/>
            <w:tcBorders>
              <w:left w:val="nil"/>
              <w:right w:val="nil"/>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23</w:t>
            </w:r>
          </w:p>
        </w:tc>
        <w:tc>
          <w:tcPr>
            <w:tcW w:w="417" w:type="dxa"/>
            <w:tcBorders>
              <w:left w:val="nil"/>
              <w:right w:val="single" w:sz="12" w:space="0" w:color="auto"/>
            </w:tcBorders>
            <w:tcMar>
              <w:left w:w="29" w:type="dxa"/>
              <w:right w:w="29" w:type="dxa"/>
            </w:tcMar>
            <w:vAlign w:val="center"/>
          </w:tcPr>
          <w:p w:rsidR="00C96A4B" w:rsidRPr="00663569" w:rsidRDefault="00C96A4B" w:rsidP="00614C04">
            <w:pPr>
              <w:spacing w:before="40" w:after="40"/>
              <w:jc w:val="center"/>
              <w:rPr>
                <w:rFonts w:cs="Arial"/>
                <w:sz w:val="14"/>
                <w:szCs w:val="16"/>
              </w:rPr>
            </w:pPr>
            <w:r w:rsidRPr="00663569">
              <w:rPr>
                <w:rFonts w:cs="Arial"/>
                <w:sz w:val="14"/>
                <w:szCs w:val="16"/>
              </w:rPr>
              <w:t>16</w:t>
            </w:r>
          </w:p>
        </w:tc>
        <w:tc>
          <w:tcPr>
            <w:tcW w:w="418" w:type="dxa"/>
            <w:tcBorders>
              <w:left w:val="single" w:sz="12"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22</w:t>
            </w:r>
          </w:p>
        </w:tc>
        <w:tc>
          <w:tcPr>
            <w:tcW w:w="418" w:type="dxa"/>
            <w:tcBorders>
              <w:left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22</w:t>
            </w:r>
          </w:p>
        </w:tc>
        <w:tc>
          <w:tcPr>
            <w:tcW w:w="418" w:type="dxa"/>
            <w:tcBorders>
              <w:left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22</w:t>
            </w:r>
          </w:p>
        </w:tc>
        <w:tc>
          <w:tcPr>
            <w:tcW w:w="418" w:type="dxa"/>
            <w:tcBorders>
              <w:left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21</w:t>
            </w:r>
          </w:p>
        </w:tc>
      </w:tr>
    </w:tbl>
    <w:p w:rsidR="00C96A4B" w:rsidRPr="00117ED5" w:rsidRDefault="00C96A4B" w:rsidP="00C96A4B">
      <w:pPr>
        <w:rPr>
          <w:sz w:val="20"/>
        </w:rPr>
      </w:pPr>
    </w:p>
    <w:p w:rsidR="00C96A4B" w:rsidRDefault="00C96A4B" w:rsidP="00C96A4B">
      <w:pPr>
        <w:spacing w:after="120"/>
        <w:ind w:left="90"/>
        <w:rPr>
          <w:b/>
          <w:sz w:val="18"/>
          <w:szCs w:val="18"/>
        </w:rPr>
      </w:pPr>
    </w:p>
    <w:p w:rsidR="00C96A4B" w:rsidRPr="009D129E" w:rsidRDefault="00C96A4B" w:rsidP="00C96A4B">
      <w:pPr>
        <w:spacing w:after="120"/>
        <w:ind w:left="90"/>
        <w:rPr>
          <w:rFonts w:cs="Arial"/>
          <w:b/>
          <w:sz w:val="18"/>
          <w:szCs w:val="18"/>
        </w:rPr>
      </w:pPr>
      <w:r w:rsidRPr="009D129E">
        <w:rPr>
          <w:b/>
          <w:sz w:val="18"/>
          <w:szCs w:val="18"/>
        </w:rPr>
        <w:t>B.  Composition of children below the threshold, by household and family type</w:t>
      </w:r>
    </w:p>
    <w:tbl>
      <w:tblPr>
        <w:tblStyle w:val="TableGrid"/>
        <w:tblW w:w="8354" w:type="dxa"/>
        <w:jc w:val="center"/>
        <w:tblLayout w:type="fixed"/>
        <w:tblLook w:val="01E0"/>
      </w:tblPr>
      <w:tblGrid>
        <w:gridCol w:w="2138"/>
        <w:gridCol w:w="414"/>
        <w:gridCol w:w="414"/>
        <w:gridCol w:w="415"/>
        <w:gridCol w:w="414"/>
        <w:gridCol w:w="415"/>
        <w:gridCol w:w="414"/>
        <w:gridCol w:w="414"/>
        <w:gridCol w:w="415"/>
        <w:gridCol w:w="414"/>
        <w:gridCol w:w="415"/>
        <w:gridCol w:w="414"/>
        <w:gridCol w:w="414"/>
        <w:gridCol w:w="415"/>
        <w:gridCol w:w="472"/>
        <w:gridCol w:w="357"/>
      </w:tblGrid>
      <w:tr w:rsidR="00C96A4B">
        <w:trPr>
          <w:trHeight w:hRule="exact" w:val="317"/>
          <w:jc w:val="center"/>
        </w:trPr>
        <w:tc>
          <w:tcPr>
            <w:tcW w:w="2138" w:type="dxa"/>
            <w:tcBorders>
              <w:top w:val="single" w:sz="4" w:space="0" w:color="auto"/>
              <w:bottom w:val="single" w:sz="4" w:space="0" w:color="auto"/>
              <w:right w:val="single" w:sz="4" w:space="0" w:color="auto"/>
            </w:tcBorders>
            <w:vAlign w:val="center"/>
          </w:tcPr>
          <w:p w:rsidR="00C96A4B" w:rsidRPr="00E71995" w:rsidRDefault="00C96A4B" w:rsidP="00614C04">
            <w:pPr>
              <w:spacing w:before="40" w:after="40"/>
              <w:jc w:val="center"/>
              <w:rPr>
                <w:rFonts w:cs="Arial"/>
                <w:b/>
                <w:sz w:val="14"/>
                <w:szCs w:val="16"/>
              </w:rPr>
            </w:pPr>
          </w:p>
        </w:tc>
        <w:tc>
          <w:tcPr>
            <w:tcW w:w="414" w:type="dxa"/>
            <w:tcBorders>
              <w:top w:val="single" w:sz="4" w:space="0" w:color="auto"/>
              <w:left w:val="single" w:sz="4"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84</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86</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88</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92</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94</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96</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98</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01</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04</w:t>
            </w:r>
          </w:p>
        </w:tc>
        <w:tc>
          <w:tcPr>
            <w:tcW w:w="414" w:type="dxa"/>
            <w:tcBorders>
              <w:top w:val="single" w:sz="4" w:space="0" w:color="auto"/>
              <w:left w:val="nil"/>
              <w:bottom w:val="single" w:sz="4" w:space="0" w:color="auto"/>
              <w:right w:val="single" w:sz="12" w:space="0" w:color="auto"/>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07</w:t>
            </w:r>
          </w:p>
        </w:tc>
        <w:tc>
          <w:tcPr>
            <w:tcW w:w="414" w:type="dxa"/>
            <w:tcBorders>
              <w:top w:val="single" w:sz="4" w:space="0" w:color="auto"/>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07</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09</w:t>
            </w:r>
          </w:p>
        </w:tc>
        <w:tc>
          <w:tcPr>
            <w:tcW w:w="472"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b/>
                <w:sz w:val="14"/>
                <w:szCs w:val="16"/>
              </w:rPr>
            </w:pPr>
            <w:r>
              <w:rPr>
                <w:rFonts w:cs="Arial"/>
                <w:b/>
                <w:sz w:val="14"/>
                <w:szCs w:val="16"/>
              </w:rPr>
              <w:t>10</w:t>
            </w:r>
          </w:p>
        </w:tc>
        <w:tc>
          <w:tcPr>
            <w:tcW w:w="357" w:type="dxa"/>
            <w:tcBorders>
              <w:top w:val="single" w:sz="4" w:space="0" w:color="auto"/>
              <w:left w:val="nil"/>
              <w:bottom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11</w:t>
            </w:r>
          </w:p>
        </w:tc>
      </w:tr>
      <w:tr w:rsidR="00C96A4B">
        <w:trPr>
          <w:jc w:val="center"/>
        </w:trPr>
        <w:tc>
          <w:tcPr>
            <w:tcW w:w="2138" w:type="dxa"/>
            <w:tcBorders>
              <w:top w:val="nil"/>
              <w:bottom w:val="nil"/>
              <w:right w:val="single" w:sz="4" w:space="0" w:color="auto"/>
            </w:tcBorders>
            <w:vAlign w:val="center"/>
          </w:tcPr>
          <w:p w:rsidR="00C96A4B" w:rsidRPr="00E44E79" w:rsidRDefault="00C96A4B" w:rsidP="00614C04">
            <w:pPr>
              <w:spacing w:before="40" w:after="40"/>
              <w:rPr>
                <w:b/>
                <w:sz w:val="14"/>
                <w:szCs w:val="16"/>
              </w:rPr>
            </w:pPr>
            <w:r w:rsidRPr="00E44E79">
              <w:rPr>
                <w:b/>
                <w:sz w:val="14"/>
                <w:szCs w:val="16"/>
              </w:rPr>
              <w:t>Children by household type</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72" w:type="dxa"/>
            <w:tcBorders>
              <w:top w:val="nil"/>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SP HHs</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21</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18</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27</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36</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42</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40</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40</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35</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38</w:t>
            </w: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43</w:t>
            </w: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49</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41</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49</w:t>
            </w: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2P HHs</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71</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68</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79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65</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61</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50</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51</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53</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52</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48</w:t>
            </w: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45</w:t>
            </w: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44</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54</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42</w:t>
            </w: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other fam HHs</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11</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11</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8</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7</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13</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14</w:t>
            </w:r>
          </w:p>
        </w:tc>
        <w:tc>
          <w:tcPr>
            <w:tcW w:w="414"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12</w:t>
            </w:r>
          </w:p>
        </w:tc>
        <w:tc>
          <w:tcPr>
            <w:tcW w:w="415"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6</w:t>
            </w:r>
          </w:p>
        </w:tc>
        <w:tc>
          <w:tcPr>
            <w:tcW w:w="472"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w:t>
            </w:r>
          </w:p>
        </w:tc>
        <w:tc>
          <w:tcPr>
            <w:tcW w:w="357" w:type="dxa"/>
            <w:tcBorders>
              <w:top w:val="nil"/>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8</w:t>
            </w:r>
          </w:p>
        </w:tc>
      </w:tr>
      <w:tr w:rsidR="00C96A4B">
        <w:trPr>
          <w:jc w:val="center"/>
        </w:trPr>
        <w:tc>
          <w:tcPr>
            <w:tcW w:w="2138" w:type="dxa"/>
            <w:tcBorders>
              <w:bottom w:val="nil"/>
              <w:right w:val="single" w:sz="4" w:space="0" w:color="auto"/>
            </w:tcBorders>
            <w:vAlign w:val="center"/>
          </w:tcPr>
          <w:p w:rsidR="00C96A4B" w:rsidRPr="00E71995" w:rsidRDefault="00C96A4B" w:rsidP="00614C04">
            <w:pPr>
              <w:spacing w:before="40" w:after="40"/>
              <w:ind w:left="22"/>
              <w:rPr>
                <w:b/>
                <w:sz w:val="14"/>
                <w:szCs w:val="16"/>
              </w:rPr>
            </w:pPr>
            <w:r w:rsidRPr="00E71995">
              <w:rPr>
                <w:b/>
                <w:sz w:val="14"/>
                <w:szCs w:val="16"/>
              </w:rPr>
              <w:t xml:space="preserve">Children by family type </w:t>
            </w:r>
            <w:r w:rsidRPr="00E71995">
              <w:rPr>
                <w:sz w:val="14"/>
                <w:szCs w:val="16"/>
              </w:rPr>
              <w:t>(n1)</w:t>
            </w:r>
          </w:p>
        </w:tc>
        <w:tc>
          <w:tcPr>
            <w:tcW w:w="414" w:type="dxa"/>
            <w:tcBorders>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5" w:type="dxa"/>
            <w:tcBorders>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p>
        </w:tc>
        <w:tc>
          <w:tcPr>
            <w:tcW w:w="414" w:type="dxa"/>
            <w:tcBorders>
              <w:top w:val="single" w:sz="4" w:space="0" w:color="auto"/>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15"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472" w:type="dxa"/>
            <w:tcBorders>
              <w:top w:val="single" w:sz="4" w:space="0" w:color="auto"/>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c>
          <w:tcPr>
            <w:tcW w:w="357" w:type="dxa"/>
            <w:tcBorders>
              <w:top w:val="single" w:sz="4" w:space="0" w:color="auto"/>
              <w:left w:val="nil"/>
              <w:bottom w:val="nil"/>
            </w:tcBorders>
            <w:tcMar>
              <w:left w:w="29" w:type="dxa"/>
              <w:right w:w="29" w:type="dxa"/>
            </w:tcMar>
            <w:vAlign w:val="center"/>
          </w:tcPr>
          <w:p w:rsidR="00C96A4B" w:rsidRPr="00E71995" w:rsidRDefault="00C96A4B" w:rsidP="00614C04">
            <w:pPr>
              <w:spacing w:before="40" w:after="40"/>
              <w:jc w:val="center"/>
              <w:rPr>
                <w:rFonts w:cs="Arial"/>
                <w:sz w:val="14"/>
                <w:szCs w:val="16"/>
              </w:rPr>
            </w:pP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SP families</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29</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39</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37</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45</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44</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39</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56</w:t>
            </w: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50</w:t>
            </w: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52</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44</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57</w:t>
            </w: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in SP families on own</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18</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26</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33</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39</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38</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40</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33</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44</w:t>
            </w: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39</w:t>
            </w: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45</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39</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47</w:t>
            </w:r>
          </w:p>
        </w:tc>
      </w:tr>
      <w:tr w:rsidR="00C96A4B">
        <w:trPr>
          <w:jc w:val="center"/>
        </w:trPr>
        <w:tc>
          <w:tcPr>
            <w:tcW w:w="2138" w:type="dxa"/>
            <w:tcBorders>
              <w:top w:val="nil"/>
              <w:bottom w:val="nil"/>
              <w:right w:val="single" w:sz="4" w:space="0" w:color="auto"/>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within wider HHs</w:t>
            </w:r>
          </w:p>
        </w:tc>
        <w:tc>
          <w:tcPr>
            <w:tcW w:w="414" w:type="dxa"/>
            <w:tcBorders>
              <w:top w:val="nil"/>
              <w:left w:val="single" w:sz="4" w:space="0" w:color="auto"/>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2</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3</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w:t>
            </w:r>
          </w:p>
        </w:tc>
        <w:tc>
          <w:tcPr>
            <w:tcW w:w="414"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w:t>
            </w:r>
          </w:p>
        </w:tc>
        <w:tc>
          <w:tcPr>
            <w:tcW w:w="415" w:type="dxa"/>
            <w:tcBorders>
              <w:top w:val="nil"/>
              <w:left w:val="nil"/>
              <w:bottom w:val="nil"/>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7</w:t>
            </w:r>
          </w:p>
        </w:tc>
        <w:tc>
          <w:tcPr>
            <w:tcW w:w="414" w:type="dxa"/>
            <w:tcBorders>
              <w:top w:val="nil"/>
              <w:left w:val="nil"/>
              <w:bottom w:val="nil"/>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13</w:t>
            </w:r>
          </w:p>
        </w:tc>
        <w:tc>
          <w:tcPr>
            <w:tcW w:w="414" w:type="dxa"/>
            <w:tcBorders>
              <w:top w:val="nil"/>
              <w:left w:val="single" w:sz="12" w:space="0" w:color="auto"/>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11</w:t>
            </w:r>
          </w:p>
        </w:tc>
        <w:tc>
          <w:tcPr>
            <w:tcW w:w="415"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7</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10</w:t>
            </w:r>
          </w:p>
        </w:tc>
      </w:tr>
      <w:tr w:rsidR="00C96A4B">
        <w:trPr>
          <w:jc w:val="center"/>
        </w:trPr>
        <w:tc>
          <w:tcPr>
            <w:tcW w:w="2138" w:type="dxa"/>
            <w:tcBorders>
              <w:top w:val="nil"/>
              <w:bottom w:val="single" w:sz="4" w:space="0" w:color="auto"/>
              <w:right w:val="single" w:sz="4" w:space="0" w:color="auto"/>
            </w:tcBorders>
            <w:vAlign w:val="center"/>
          </w:tcPr>
          <w:p w:rsidR="00C96A4B" w:rsidRPr="00E71995" w:rsidRDefault="00C96A4B" w:rsidP="00614C04">
            <w:pPr>
              <w:spacing w:before="40" w:after="40"/>
              <w:ind w:left="266"/>
              <w:rPr>
                <w:sz w:val="14"/>
                <w:szCs w:val="16"/>
              </w:rPr>
            </w:pPr>
            <w:r w:rsidRPr="00E71995">
              <w:rPr>
                <w:sz w:val="14"/>
                <w:szCs w:val="16"/>
              </w:rPr>
              <w:t>Children in 2P families</w:t>
            </w:r>
          </w:p>
        </w:tc>
        <w:tc>
          <w:tcPr>
            <w:tcW w:w="414" w:type="dxa"/>
            <w:tcBorders>
              <w:top w:val="nil"/>
              <w:left w:val="single" w:sz="4" w:space="0" w:color="auto"/>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4"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81</w:t>
            </w:r>
          </w:p>
        </w:tc>
        <w:tc>
          <w:tcPr>
            <w:tcW w:w="414"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71</w:t>
            </w:r>
          </w:p>
        </w:tc>
        <w:tc>
          <w:tcPr>
            <w:tcW w:w="415"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61</w:t>
            </w:r>
          </w:p>
        </w:tc>
        <w:tc>
          <w:tcPr>
            <w:tcW w:w="414"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64</w:t>
            </w:r>
          </w:p>
        </w:tc>
        <w:tc>
          <w:tcPr>
            <w:tcW w:w="414"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55</w:t>
            </w:r>
          </w:p>
        </w:tc>
        <w:tc>
          <w:tcPr>
            <w:tcW w:w="415"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56</w:t>
            </w:r>
          </w:p>
        </w:tc>
        <w:tc>
          <w:tcPr>
            <w:tcW w:w="414"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56</w:t>
            </w:r>
          </w:p>
        </w:tc>
        <w:tc>
          <w:tcPr>
            <w:tcW w:w="415" w:type="dxa"/>
            <w:tcBorders>
              <w:top w:val="nil"/>
              <w:left w:val="nil"/>
              <w:bottom w:val="single" w:sz="4" w:space="0" w:color="auto"/>
              <w:right w:val="nil"/>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60</w:t>
            </w:r>
          </w:p>
        </w:tc>
        <w:tc>
          <w:tcPr>
            <w:tcW w:w="414" w:type="dxa"/>
            <w:tcBorders>
              <w:top w:val="nil"/>
              <w:left w:val="nil"/>
              <w:bottom w:val="single" w:sz="4" w:space="0" w:color="auto"/>
              <w:right w:val="single" w:sz="12" w:space="0" w:color="auto"/>
            </w:tcBorders>
            <w:tcMar>
              <w:left w:w="29" w:type="dxa"/>
              <w:right w:w="29" w:type="dxa"/>
            </w:tcMar>
            <w:vAlign w:val="center"/>
          </w:tcPr>
          <w:p w:rsidR="00C96A4B" w:rsidRPr="001E4F0E" w:rsidRDefault="00C96A4B" w:rsidP="00614C04">
            <w:pPr>
              <w:spacing w:before="40" w:after="40"/>
              <w:jc w:val="center"/>
              <w:rPr>
                <w:rFonts w:cs="Arial"/>
                <w:sz w:val="14"/>
                <w:szCs w:val="16"/>
              </w:rPr>
            </w:pPr>
            <w:r w:rsidRPr="001E4F0E">
              <w:rPr>
                <w:rFonts w:cs="Arial"/>
                <w:sz w:val="14"/>
                <w:szCs w:val="16"/>
              </w:rPr>
              <w:t>44</w:t>
            </w:r>
          </w:p>
        </w:tc>
        <w:tc>
          <w:tcPr>
            <w:tcW w:w="414" w:type="dxa"/>
            <w:tcBorders>
              <w:top w:val="nil"/>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50</w:t>
            </w:r>
          </w:p>
        </w:tc>
        <w:tc>
          <w:tcPr>
            <w:tcW w:w="415"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48</w:t>
            </w:r>
          </w:p>
        </w:tc>
        <w:tc>
          <w:tcPr>
            <w:tcW w:w="472"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56</w:t>
            </w:r>
          </w:p>
        </w:tc>
        <w:tc>
          <w:tcPr>
            <w:tcW w:w="357" w:type="dxa"/>
            <w:tcBorders>
              <w:top w:val="nil"/>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43</w:t>
            </w:r>
          </w:p>
        </w:tc>
      </w:tr>
      <w:tr w:rsidR="00C96A4B">
        <w:trPr>
          <w:jc w:val="center"/>
        </w:trPr>
        <w:tc>
          <w:tcPr>
            <w:tcW w:w="2552" w:type="dxa"/>
            <w:gridSpan w:val="2"/>
            <w:tcBorders>
              <w:top w:val="nil"/>
              <w:bottom w:val="nil"/>
              <w:right w:val="nil"/>
            </w:tcBorders>
            <w:vAlign w:val="center"/>
          </w:tcPr>
          <w:p w:rsidR="00C96A4B" w:rsidRPr="00E44E79" w:rsidRDefault="00C96A4B" w:rsidP="00614C04">
            <w:pPr>
              <w:spacing w:before="40" w:after="40"/>
              <w:jc w:val="center"/>
              <w:rPr>
                <w:rFonts w:cs="Arial"/>
                <w:b/>
                <w:sz w:val="14"/>
                <w:szCs w:val="16"/>
              </w:rPr>
            </w:pPr>
            <w:r w:rsidRPr="00E44E79">
              <w:rPr>
                <w:b/>
                <w:sz w:val="14"/>
                <w:szCs w:val="16"/>
              </w:rPr>
              <w:t>By work status of adults (all HHs)</w:t>
            </w:r>
          </w:p>
        </w:tc>
        <w:tc>
          <w:tcPr>
            <w:tcW w:w="414" w:type="dxa"/>
            <w:tcBorders>
              <w:top w:val="single" w:sz="4" w:space="0" w:color="auto"/>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nil"/>
              <w:left w:val="nil"/>
              <w:bottom w:val="nil"/>
              <w:right w:val="single" w:sz="12" w:space="0" w:color="auto"/>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4" w:type="dxa"/>
            <w:tcBorders>
              <w:top w:val="single" w:sz="4" w:space="0" w:color="auto"/>
              <w:left w:val="single" w:sz="12" w:space="0" w:color="auto"/>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15" w:type="dxa"/>
            <w:tcBorders>
              <w:top w:val="single" w:sz="4" w:space="0" w:color="auto"/>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p>
        </w:tc>
        <w:tc>
          <w:tcPr>
            <w:tcW w:w="472" w:type="dxa"/>
            <w:tcBorders>
              <w:top w:val="single" w:sz="4" w:space="0" w:color="auto"/>
              <w:left w:val="nil"/>
              <w:bottom w:val="nil"/>
              <w:right w:val="nil"/>
            </w:tcBorders>
            <w:tcMar>
              <w:left w:w="29" w:type="dxa"/>
              <w:right w:w="29" w:type="dxa"/>
            </w:tcMar>
            <w:vAlign w:val="center"/>
          </w:tcPr>
          <w:p w:rsidR="00C96A4B" w:rsidRDefault="00C96A4B" w:rsidP="00614C04">
            <w:pPr>
              <w:spacing w:before="40" w:after="40"/>
              <w:jc w:val="center"/>
              <w:rPr>
                <w:rFonts w:cs="Arial"/>
                <w:sz w:val="14"/>
                <w:szCs w:val="16"/>
              </w:rPr>
            </w:pPr>
          </w:p>
        </w:tc>
        <w:tc>
          <w:tcPr>
            <w:tcW w:w="357" w:type="dxa"/>
            <w:tcBorders>
              <w:top w:val="single" w:sz="4" w:space="0" w:color="auto"/>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p>
        </w:tc>
      </w:tr>
      <w:tr w:rsidR="00C96A4B">
        <w:trPr>
          <w:jc w:val="center"/>
        </w:trPr>
        <w:tc>
          <w:tcPr>
            <w:tcW w:w="2138"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Self-employed</w:t>
            </w:r>
          </w:p>
        </w:tc>
        <w:tc>
          <w:tcPr>
            <w:tcW w:w="414" w:type="dxa"/>
            <w:tcBorders>
              <w:top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10</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9</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14</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8</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7</w:t>
            </w:r>
          </w:p>
        </w:tc>
        <w:tc>
          <w:tcPr>
            <w:tcW w:w="414" w:type="dxa"/>
            <w:tcBorders>
              <w:top w:val="nil"/>
              <w:left w:val="nil"/>
              <w:bottom w:val="nil"/>
              <w:right w:val="single" w:sz="12" w:space="0" w:color="auto"/>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w:t>
            </w:r>
          </w:p>
        </w:tc>
        <w:tc>
          <w:tcPr>
            <w:tcW w:w="414" w:type="dxa"/>
            <w:tcBorders>
              <w:top w:val="nil"/>
              <w:left w:val="single" w:sz="12" w:space="0" w:color="auto"/>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10</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10</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9</w:t>
            </w:r>
          </w:p>
        </w:tc>
      </w:tr>
      <w:tr w:rsidR="00C96A4B">
        <w:trPr>
          <w:jc w:val="center"/>
        </w:trPr>
        <w:tc>
          <w:tcPr>
            <w:tcW w:w="2138"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One or more FT</w:t>
            </w:r>
          </w:p>
        </w:tc>
        <w:tc>
          <w:tcPr>
            <w:tcW w:w="414" w:type="dxa"/>
            <w:tcBorders>
              <w:top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56</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62</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61</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57</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34</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36</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39</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40</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42</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45</w:t>
            </w:r>
          </w:p>
        </w:tc>
        <w:tc>
          <w:tcPr>
            <w:tcW w:w="414" w:type="dxa"/>
            <w:tcBorders>
              <w:top w:val="nil"/>
              <w:left w:val="nil"/>
              <w:bottom w:val="nil"/>
              <w:right w:val="single" w:sz="12" w:space="0" w:color="auto"/>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32</w:t>
            </w:r>
          </w:p>
        </w:tc>
        <w:tc>
          <w:tcPr>
            <w:tcW w:w="414" w:type="dxa"/>
            <w:tcBorders>
              <w:top w:val="nil"/>
              <w:left w:val="single" w:sz="12" w:space="0" w:color="auto"/>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33</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36</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29</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26</w:t>
            </w:r>
          </w:p>
        </w:tc>
      </w:tr>
      <w:tr w:rsidR="00C96A4B">
        <w:trPr>
          <w:jc w:val="center"/>
        </w:trPr>
        <w:tc>
          <w:tcPr>
            <w:tcW w:w="2138" w:type="dxa"/>
            <w:tcBorders>
              <w:top w:val="nil"/>
              <w:bottom w:val="nil"/>
            </w:tcBorders>
            <w:vAlign w:val="center"/>
          </w:tcPr>
          <w:p w:rsidR="00C96A4B" w:rsidRPr="00E71995" w:rsidRDefault="00C96A4B" w:rsidP="00614C04">
            <w:pPr>
              <w:spacing w:before="40" w:after="40"/>
              <w:ind w:left="536" w:hanging="90"/>
              <w:rPr>
                <w:sz w:val="14"/>
                <w:szCs w:val="16"/>
              </w:rPr>
            </w:pPr>
            <w:r w:rsidRPr="00E71995">
              <w:rPr>
                <w:sz w:val="14"/>
                <w:szCs w:val="16"/>
              </w:rPr>
              <w:t>-</w:t>
            </w:r>
            <w:r w:rsidRPr="00E71995">
              <w:rPr>
                <w:sz w:val="14"/>
                <w:szCs w:val="16"/>
              </w:rPr>
              <w:tab/>
              <w:t>None FT</w:t>
            </w:r>
          </w:p>
        </w:tc>
        <w:tc>
          <w:tcPr>
            <w:tcW w:w="414" w:type="dxa"/>
            <w:tcBorders>
              <w:top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34</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29</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26</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38</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62</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59</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56</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55</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50</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49</w:t>
            </w:r>
          </w:p>
        </w:tc>
        <w:tc>
          <w:tcPr>
            <w:tcW w:w="414" w:type="dxa"/>
            <w:tcBorders>
              <w:top w:val="nil"/>
              <w:left w:val="nil"/>
              <w:bottom w:val="nil"/>
              <w:right w:val="single" w:sz="12" w:space="0" w:color="auto"/>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65</w:t>
            </w:r>
          </w:p>
        </w:tc>
        <w:tc>
          <w:tcPr>
            <w:tcW w:w="414" w:type="dxa"/>
            <w:tcBorders>
              <w:top w:val="nil"/>
              <w:left w:val="single" w:sz="12" w:space="0" w:color="auto"/>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61</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center"/>
              <w:rPr>
                <w:rFonts w:cs="Arial"/>
                <w:sz w:val="14"/>
                <w:szCs w:val="16"/>
              </w:rPr>
            </w:pPr>
            <w:r w:rsidRPr="00527B45">
              <w:rPr>
                <w:rFonts w:cs="Arial"/>
                <w:sz w:val="14"/>
                <w:szCs w:val="16"/>
              </w:rPr>
              <w:t>5</w:t>
            </w:r>
            <w:r>
              <w:rPr>
                <w:rFonts w:cs="Arial"/>
                <w:sz w:val="14"/>
                <w:szCs w:val="16"/>
              </w:rPr>
              <w:t>5</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59</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65</w:t>
            </w:r>
          </w:p>
        </w:tc>
      </w:tr>
      <w:tr w:rsidR="00C96A4B">
        <w:trPr>
          <w:jc w:val="center"/>
        </w:trPr>
        <w:tc>
          <w:tcPr>
            <w:tcW w:w="2138" w:type="dxa"/>
            <w:tcBorders>
              <w:top w:val="nil"/>
              <w:bottom w:val="nil"/>
            </w:tcBorders>
            <w:vAlign w:val="center"/>
          </w:tcPr>
          <w:p w:rsidR="00C96A4B" w:rsidRPr="00E71995" w:rsidRDefault="00C96A4B" w:rsidP="00614C04">
            <w:pPr>
              <w:spacing w:before="40" w:after="40"/>
              <w:ind w:left="716" w:hanging="90"/>
              <w:rPr>
                <w:i/>
                <w:sz w:val="14"/>
                <w:szCs w:val="16"/>
              </w:rPr>
            </w:pPr>
            <w:r w:rsidRPr="00E71995">
              <w:rPr>
                <w:i/>
                <w:sz w:val="14"/>
                <w:szCs w:val="16"/>
              </w:rPr>
              <w:t>-</w:t>
            </w:r>
            <w:r w:rsidRPr="00E71995">
              <w:rPr>
                <w:i/>
                <w:sz w:val="14"/>
                <w:szCs w:val="16"/>
              </w:rPr>
              <w:tab/>
              <w:t>PT only</w:t>
            </w:r>
          </w:p>
        </w:tc>
        <w:tc>
          <w:tcPr>
            <w:tcW w:w="414" w:type="dxa"/>
            <w:tcBorders>
              <w:top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3</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2</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5</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6</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6</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10</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9</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11</w:t>
            </w:r>
          </w:p>
        </w:tc>
        <w:tc>
          <w:tcPr>
            <w:tcW w:w="414"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12</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12</w:t>
            </w:r>
          </w:p>
        </w:tc>
        <w:tc>
          <w:tcPr>
            <w:tcW w:w="414" w:type="dxa"/>
            <w:tcBorders>
              <w:top w:val="nil"/>
              <w:left w:val="nil"/>
              <w:bottom w:val="nil"/>
              <w:right w:val="single" w:sz="12" w:space="0" w:color="auto"/>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13</w:t>
            </w:r>
          </w:p>
        </w:tc>
        <w:tc>
          <w:tcPr>
            <w:tcW w:w="414" w:type="dxa"/>
            <w:tcBorders>
              <w:top w:val="nil"/>
              <w:left w:val="single" w:sz="12" w:space="0" w:color="auto"/>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13</w:t>
            </w:r>
          </w:p>
        </w:tc>
        <w:tc>
          <w:tcPr>
            <w:tcW w:w="415" w:type="dxa"/>
            <w:tcBorders>
              <w:top w:val="nil"/>
              <w:left w:val="nil"/>
              <w:bottom w:val="nil"/>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11</w:t>
            </w:r>
          </w:p>
        </w:tc>
        <w:tc>
          <w:tcPr>
            <w:tcW w:w="472" w:type="dxa"/>
            <w:tcBorders>
              <w:top w:val="nil"/>
              <w:left w:val="nil"/>
              <w:bottom w:val="nil"/>
              <w:right w:val="nil"/>
            </w:tcBorders>
            <w:tcMar>
              <w:left w:w="29" w:type="dxa"/>
              <w:right w:w="29" w:type="dxa"/>
            </w:tcMar>
            <w:vAlign w:val="center"/>
          </w:tcPr>
          <w:p w:rsidR="00C96A4B" w:rsidRPr="00E71995" w:rsidRDefault="00C96A4B" w:rsidP="00614C04">
            <w:pPr>
              <w:spacing w:before="40" w:after="40"/>
              <w:jc w:val="right"/>
              <w:rPr>
                <w:rFonts w:cs="Arial"/>
                <w:i/>
                <w:sz w:val="14"/>
                <w:szCs w:val="16"/>
              </w:rPr>
            </w:pPr>
            <w:r>
              <w:rPr>
                <w:rFonts w:cs="Arial"/>
                <w:i/>
                <w:sz w:val="14"/>
                <w:szCs w:val="16"/>
              </w:rPr>
              <w:t>14</w:t>
            </w:r>
          </w:p>
        </w:tc>
        <w:tc>
          <w:tcPr>
            <w:tcW w:w="357" w:type="dxa"/>
            <w:tcBorders>
              <w:top w:val="nil"/>
              <w:left w:val="nil"/>
              <w:bottom w:val="nil"/>
            </w:tcBorders>
            <w:tcMar>
              <w:left w:w="29" w:type="dxa"/>
              <w:right w:w="29" w:type="dxa"/>
            </w:tcMar>
            <w:vAlign w:val="center"/>
          </w:tcPr>
          <w:p w:rsidR="00C96A4B" w:rsidRDefault="00C96A4B" w:rsidP="00614C04">
            <w:pPr>
              <w:spacing w:before="40" w:after="40"/>
              <w:jc w:val="right"/>
              <w:rPr>
                <w:rFonts w:cs="Arial"/>
                <w:i/>
                <w:sz w:val="14"/>
                <w:szCs w:val="16"/>
              </w:rPr>
            </w:pPr>
            <w:r>
              <w:rPr>
                <w:rFonts w:cs="Arial"/>
                <w:i/>
                <w:sz w:val="14"/>
                <w:szCs w:val="16"/>
              </w:rPr>
              <w:t>12</w:t>
            </w:r>
          </w:p>
        </w:tc>
      </w:tr>
      <w:tr w:rsidR="00C96A4B">
        <w:trPr>
          <w:jc w:val="center"/>
        </w:trPr>
        <w:tc>
          <w:tcPr>
            <w:tcW w:w="2138" w:type="dxa"/>
            <w:tcBorders>
              <w:top w:val="nil"/>
              <w:bottom w:val="single" w:sz="4" w:space="0" w:color="auto"/>
            </w:tcBorders>
            <w:vAlign w:val="center"/>
          </w:tcPr>
          <w:p w:rsidR="00C96A4B" w:rsidRPr="00E71995" w:rsidRDefault="00C96A4B" w:rsidP="00614C04">
            <w:pPr>
              <w:spacing w:before="40" w:after="40"/>
              <w:ind w:left="716" w:hanging="90"/>
              <w:rPr>
                <w:i/>
                <w:sz w:val="14"/>
                <w:szCs w:val="16"/>
              </w:rPr>
            </w:pPr>
            <w:r w:rsidRPr="00E71995">
              <w:rPr>
                <w:i/>
                <w:sz w:val="14"/>
                <w:szCs w:val="16"/>
              </w:rPr>
              <w:t>-</w:t>
            </w:r>
            <w:r w:rsidRPr="00E71995">
              <w:rPr>
                <w:i/>
                <w:sz w:val="14"/>
                <w:szCs w:val="16"/>
              </w:rPr>
              <w:tab/>
              <w:t>Workless</w:t>
            </w:r>
          </w:p>
        </w:tc>
        <w:tc>
          <w:tcPr>
            <w:tcW w:w="414" w:type="dxa"/>
            <w:tcBorders>
              <w:top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31</w:t>
            </w:r>
          </w:p>
        </w:tc>
        <w:tc>
          <w:tcPr>
            <w:tcW w:w="414"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27</w:t>
            </w:r>
          </w:p>
        </w:tc>
        <w:tc>
          <w:tcPr>
            <w:tcW w:w="415"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21</w:t>
            </w:r>
          </w:p>
        </w:tc>
        <w:tc>
          <w:tcPr>
            <w:tcW w:w="414"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32</w:t>
            </w:r>
          </w:p>
        </w:tc>
        <w:tc>
          <w:tcPr>
            <w:tcW w:w="415"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56</w:t>
            </w:r>
          </w:p>
        </w:tc>
        <w:tc>
          <w:tcPr>
            <w:tcW w:w="414"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49</w:t>
            </w:r>
          </w:p>
        </w:tc>
        <w:tc>
          <w:tcPr>
            <w:tcW w:w="414"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47</w:t>
            </w:r>
          </w:p>
        </w:tc>
        <w:tc>
          <w:tcPr>
            <w:tcW w:w="415"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44</w:t>
            </w:r>
          </w:p>
        </w:tc>
        <w:tc>
          <w:tcPr>
            <w:tcW w:w="414"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38</w:t>
            </w:r>
          </w:p>
        </w:tc>
        <w:tc>
          <w:tcPr>
            <w:tcW w:w="415"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37</w:t>
            </w:r>
          </w:p>
        </w:tc>
        <w:tc>
          <w:tcPr>
            <w:tcW w:w="414" w:type="dxa"/>
            <w:tcBorders>
              <w:top w:val="nil"/>
              <w:left w:val="nil"/>
              <w:bottom w:val="single" w:sz="4" w:space="0" w:color="auto"/>
              <w:right w:val="single" w:sz="12" w:space="0" w:color="auto"/>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52</w:t>
            </w:r>
          </w:p>
        </w:tc>
        <w:tc>
          <w:tcPr>
            <w:tcW w:w="414" w:type="dxa"/>
            <w:tcBorders>
              <w:top w:val="nil"/>
              <w:left w:val="single" w:sz="12" w:space="0" w:color="auto"/>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48</w:t>
            </w:r>
          </w:p>
        </w:tc>
        <w:tc>
          <w:tcPr>
            <w:tcW w:w="415" w:type="dxa"/>
            <w:tcBorders>
              <w:top w:val="nil"/>
              <w:left w:val="nil"/>
              <w:bottom w:val="single" w:sz="4" w:space="0" w:color="auto"/>
              <w:right w:val="nil"/>
            </w:tcBorders>
            <w:tcMar>
              <w:left w:w="29" w:type="dxa"/>
              <w:right w:w="29" w:type="dxa"/>
            </w:tcMar>
            <w:vAlign w:val="center"/>
          </w:tcPr>
          <w:p w:rsidR="00C96A4B" w:rsidRPr="00527B45" w:rsidRDefault="00C96A4B" w:rsidP="00614C04">
            <w:pPr>
              <w:spacing w:before="40" w:after="40"/>
              <w:jc w:val="right"/>
              <w:rPr>
                <w:rFonts w:cs="Arial"/>
                <w:i/>
                <w:sz w:val="14"/>
                <w:szCs w:val="16"/>
              </w:rPr>
            </w:pPr>
            <w:r w:rsidRPr="00527B45">
              <w:rPr>
                <w:rFonts w:cs="Arial"/>
                <w:i/>
                <w:sz w:val="14"/>
                <w:szCs w:val="16"/>
              </w:rPr>
              <w:t>4</w:t>
            </w:r>
            <w:r>
              <w:rPr>
                <w:rFonts w:cs="Arial"/>
                <w:i/>
                <w:sz w:val="14"/>
                <w:szCs w:val="16"/>
              </w:rPr>
              <w:t>4</w:t>
            </w:r>
          </w:p>
        </w:tc>
        <w:tc>
          <w:tcPr>
            <w:tcW w:w="472" w:type="dxa"/>
            <w:tcBorders>
              <w:top w:val="nil"/>
              <w:left w:val="nil"/>
              <w:bottom w:val="single" w:sz="4" w:space="0" w:color="auto"/>
              <w:right w:val="nil"/>
            </w:tcBorders>
            <w:tcMar>
              <w:left w:w="29" w:type="dxa"/>
              <w:right w:w="29" w:type="dxa"/>
            </w:tcMar>
            <w:vAlign w:val="center"/>
          </w:tcPr>
          <w:p w:rsidR="00C96A4B" w:rsidRPr="00E71995" w:rsidRDefault="00C96A4B" w:rsidP="00614C04">
            <w:pPr>
              <w:spacing w:before="40" w:after="40"/>
              <w:jc w:val="right"/>
              <w:rPr>
                <w:rFonts w:cs="Arial"/>
                <w:i/>
                <w:sz w:val="14"/>
                <w:szCs w:val="16"/>
              </w:rPr>
            </w:pPr>
            <w:r>
              <w:rPr>
                <w:rFonts w:cs="Arial"/>
                <w:i/>
                <w:sz w:val="14"/>
                <w:szCs w:val="16"/>
              </w:rPr>
              <w:t>45</w:t>
            </w:r>
          </w:p>
        </w:tc>
        <w:tc>
          <w:tcPr>
            <w:tcW w:w="357" w:type="dxa"/>
            <w:tcBorders>
              <w:top w:val="nil"/>
              <w:left w:val="nil"/>
              <w:bottom w:val="single" w:sz="4" w:space="0" w:color="auto"/>
            </w:tcBorders>
            <w:tcMar>
              <w:left w:w="29" w:type="dxa"/>
              <w:right w:w="29" w:type="dxa"/>
            </w:tcMar>
            <w:vAlign w:val="center"/>
          </w:tcPr>
          <w:p w:rsidR="00C96A4B" w:rsidRDefault="00C96A4B" w:rsidP="00614C04">
            <w:pPr>
              <w:spacing w:before="40" w:after="40"/>
              <w:jc w:val="right"/>
              <w:rPr>
                <w:rFonts w:cs="Arial"/>
                <w:i/>
                <w:sz w:val="14"/>
                <w:szCs w:val="16"/>
              </w:rPr>
            </w:pPr>
            <w:r>
              <w:rPr>
                <w:rFonts w:cs="Arial"/>
                <w:i/>
                <w:sz w:val="14"/>
                <w:szCs w:val="16"/>
              </w:rPr>
              <w:t>53</w:t>
            </w:r>
          </w:p>
        </w:tc>
      </w:tr>
      <w:tr w:rsidR="00C96A4B">
        <w:trPr>
          <w:jc w:val="center"/>
        </w:trPr>
        <w:tc>
          <w:tcPr>
            <w:tcW w:w="2138" w:type="dxa"/>
            <w:tcBorders>
              <w:top w:val="single" w:sz="4" w:space="0" w:color="auto"/>
              <w:bottom w:val="single" w:sz="4" w:space="0" w:color="auto"/>
            </w:tcBorders>
            <w:vAlign w:val="center"/>
          </w:tcPr>
          <w:p w:rsidR="00C96A4B" w:rsidRPr="00E71995" w:rsidRDefault="00C96A4B" w:rsidP="00614C04">
            <w:pPr>
              <w:spacing w:before="40" w:after="40"/>
              <w:ind w:left="86" w:hanging="90"/>
              <w:rPr>
                <w:b/>
                <w:sz w:val="14"/>
                <w:szCs w:val="16"/>
              </w:rPr>
            </w:pPr>
            <w:r w:rsidRPr="00E71995">
              <w:rPr>
                <w:b/>
                <w:sz w:val="14"/>
                <w:szCs w:val="16"/>
              </w:rPr>
              <w:t>All children</w:t>
            </w:r>
          </w:p>
        </w:tc>
        <w:tc>
          <w:tcPr>
            <w:tcW w:w="414" w:type="dxa"/>
            <w:tcBorders>
              <w:top w:val="single" w:sz="4"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100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4" w:type="dxa"/>
            <w:tcBorders>
              <w:top w:val="single" w:sz="4" w:space="0" w:color="auto"/>
              <w:left w:val="nil"/>
              <w:bottom w:val="single" w:sz="4" w:space="0" w:color="auto"/>
              <w:right w:val="single" w:sz="12" w:space="0" w:color="auto"/>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100</w:t>
            </w:r>
          </w:p>
        </w:tc>
        <w:tc>
          <w:tcPr>
            <w:tcW w:w="414" w:type="dxa"/>
            <w:tcBorders>
              <w:top w:val="single" w:sz="4" w:space="0" w:color="auto"/>
              <w:left w:val="single" w:sz="12" w:space="0" w:color="auto"/>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15"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sidRPr="00E71995">
              <w:rPr>
                <w:rFonts w:cs="Arial"/>
                <w:sz w:val="14"/>
                <w:szCs w:val="16"/>
              </w:rPr>
              <w:t>100</w:t>
            </w:r>
          </w:p>
        </w:tc>
        <w:tc>
          <w:tcPr>
            <w:tcW w:w="472" w:type="dxa"/>
            <w:tcBorders>
              <w:top w:val="single" w:sz="4" w:space="0" w:color="auto"/>
              <w:left w:val="nil"/>
              <w:bottom w:val="single" w:sz="4" w:space="0" w:color="auto"/>
              <w:right w:val="nil"/>
            </w:tcBorders>
            <w:tcMar>
              <w:left w:w="29" w:type="dxa"/>
              <w:right w:w="29" w:type="dxa"/>
            </w:tcMar>
            <w:vAlign w:val="center"/>
          </w:tcPr>
          <w:p w:rsidR="00C96A4B" w:rsidRPr="00E71995" w:rsidRDefault="00C96A4B" w:rsidP="00614C04">
            <w:pPr>
              <w:spacing w:before="40" w:after="40"/>
              <w:jc w:val="center"/>
              <w:rPr>
                <w:rFonts w:cs="Arial"/>
                <w:sz w:val="14"/>
                <w:szCs w:val="16"/>
              </w:rPr>
            </w:pPr>
            <w:r>
              <w:rPr>
                <w:rFonts w:cs="Arial"/>
                <w:sz w:val="14"/>
                <w:szCs w:val="16"/>
              </w:rPr>
              <w:t>100</w:t>
            </w:r>
          </w:p>
        </w:tc>
        <w:tc>
          <w:tcPr>
            <w:tcW w:w="357" w:type="dxa"/>
            <w:tcBorders>
              <w:top w:val="single" w:sz="4" w:space="0" w:color="auto"/>
              <w:left w:val="nil"/>
              <w:bottom w:val="single" w:sz="4" w:space="0" w:color="auto"/>
            </w:tcBorders>
            <w:tcMar>
              <w:left w:w="29" w:type="dxa"/>
              <w:right w:w="29" w:type="dxa"/>
            </w:tcMar>
            <w:vAlign w:val="center"/>
          </w:tcPr>
          <w:p w:rsidR="00C96A4B" w:rsidRDefault="00C96A4B" w:rsidP="00614C04">
            <w:pPr>
              <w:spacing w:before="40" w:after="40"/>
              <w:jc w:val="center"/>
              <w:rPr>
                <w:rFonts w:cs="Arial"/>
                <w:sz w:val="14"/>
                <w:szCs w:val="16"/>
              </w:rPr>
            </w:pPr>
            <w:r>
              <w:rPr>
                <w:rFonts w:cs="Arial"/>
                <w:sz w:val="14"/>
                <w:szCs w:val="16"/>
              </w:rPr>
              <w:t>100</w:t>
            </w:r>
          </w:p>
        </w:tc>
      </w:tr>
    </w:tbl>
    <w:p w:rsidR="00C96A4B" w:rsidRPr="0012733E" w:rsidRDefault="00C96A4B" w:rsidP="00C96A4B">
      <w:pPr>
        <w:tabs>
          <w:tab w:val="left" w:pos="990"/>
        </w:tabs>
        <w:spacing w:before="120"/>
        <w:ind w:left="810" w:hanging="630"/>
        <w:rPr>
          <w:rFonts w:cs="Arial"/>
          <w:sz w:val="16"/>
          <w:szCs w:val="16"/>
        </w:rPr>
      </w:pPr>
      <w:r w:rsidRPr="0012733E">
        <w:rPr>
          <w:rFonts w:cs="Arial"/>
          <w:sz w:val="16"/>
          <w:szCs w:val="16"/>
        </w:rPr>
        <w:t>Notes:</w:t>
      </w:r>
      <w:r w:rsidRPr="0012733E">
        <w:rPr>
          <w:rFonts w:cs="Arial"/>
          <w:sz w:val="16"/>
          <w:szCs w:val="16"/>
        </w:rPr>
        <w:tab/>
        <w:t>1</w:t>
      </w:r>
      <w:r w:rsidRPr="0012733E">
        <w:rPr>
          <w:rFonts w:cs="Arial"/>
          <w:sz w:val="16"/>
          <w:szCs w:val="16"/>
        </w:rPr>
        <w:tab/>
        <w:t>Family here is ‘economic family unit’ (see Section A for definition).</w:t>
      </w:r>
    </w:p>
    <w:p w:rsidR="00C96A4B" w:rsidRPr="0012733E" w:rsidRDefault="00C96A4B" w:rsidP="00C96A4B">
      <w:pPr>
        <w:tabs>
          <w:tab w:val="left" w:pos="990"/>
        </w:tabs>
        <w:spacing w:before="60"/>
        <w:ind w:left="821" w:hanging="634"/>
        <w:rPr>
          <w:rFonts w:cs="Arial"/>
          <w:sz w:val="16"/>
          <w:szCs w:val="16"/>
        </w:rPr>
      </w:pPr>
      <w:r w:rsidRPr="0012733E">
        <w:rPr>
          <w:rFonts w:cs="Arial"/>
          <w:sz w:val="16"/>
          <w:szCs w:val="16"/>
        </w:rPr>
        <w:tab/>
        <w:t>2</w:t>
      </w:r>
      <w:r w:rsidRPr="0012733E">
        <w:rPr>
          <w:rFonts w:cs="Arial"/>
          <w:sz w:val="16"/>
          <w:szCs w:val="16"/>
        </w:rPr>
        <w:tab/>
        <w:t xml:space="preserve">For each panel in Table H.4 (B) each column adds to 100%. </w:t>
      </w:r>
    </w:p>
    <w:p w:rsidR="00C96A4B" w:rsidRPr="001A1A6A" w:rsidRDefault="00C96A4B" w:rsidP="00C96A4B">
      <w:pPr>
        <w:rPr>
          <w:b/>
          <w:szCs w:val="22"/>
        </w:rPr>
      </w:pPr>
      <w:r>
        <w:br w:type="page"/>
      </w:r>
      <w:r w:rsidRPr="001A1A6A">
        <w:rPr>
          <w:b/>
          <w:szCs w:val="22"/>
        </w:rPr>
        <w:lastRenderedPageBreak/>
        <w:t>Children in ‘workless’ and ‘working’ households</w:t>
      </w:r>
    </w:p>
    <w:p w:rsidR="00C96A4B" w:rsidRPr="009D129E" w:rsidRDefault="00C96A4B" w:rsidP="00C96A4B">
      <w:pPr>
        <w:pStyle w:val="Heading3"/>
        <w:jc w:val="both"/>
        <w:rPr>
          <w:sz w:val="20"/>
          <w:szCs w:val="22"/>
        </w:rPr>
      </w:pPr>
    </w:p>
    <w:p w:rsidR="00C96A4B" w:rsidRPr="009D129E" w:rsidRDefault="00C96A4B" w:rsidP="00C96A4B">
      <w:pPr>
        <w:jc w:val="both"/>
        <w:rPr>
          <w:sz w:val="20"/>
        </w:rPr>
      </w:pPr>
      <w:r w:rsidRPr="009D129E">
        <w:rPr>
          <w:sz w:val="20"/>
        </w:rPr>
        <w:t>Policy development and public debate around improving the wellbeing of children often involve discussion about the links between child poverty rates and the labour market involvement of their parents.</w:t>
      </w:r>
      <w:r>
        <w:rPr>
          <w:rStyle w:val="FootnoteReference"/>
          <w:sz w:val="20"/>
        </w:rPr>
        <w:footnoteReference w:id="73"/>
      </w:r>
      <w:r>
        <w:rPr>
          <w:sz w:val="20"/>
        </w:rPr>
        <w:t xml:space="preserve">   </w:t>
      </w:r>
      <w:r w:rsidRPr="009D129E">
        <w:rPr>
          <w:sz w:val="20"/>
        </w:rPr>
        <w:t>This subsection contributes to that discussion by reporting on:</w:t>
      </w:r>
    </w:p>
    <w:p w:rsidR="00C96A4B" w:rsidRPr="009D129E" w:rsidRDefault="00C96A4B" w:rsidP="00614C04">
      <w:pPr>
        <w:numPr>
          <w:ilvl w:val="0"/>
          <w:numId w:val="61"/>
        </w:numPr>
        <w:tabs>
          <w:tab w:val="clear" w:pos="720"/>
          <w:tab w:val="num" w:pos="540"/>
        </w:tabs>
        <w:spacing w:before="120"/>
        <w:ind w:left="548" w:hanging="274"/>
        <w:jc w:val="both"/>
        <w:rPr>
          <w:sz w:val="20"/>
        </w:rPr>
      </w:pPr>
      <w:r>
        <w:rPr>
          <w:sz w:val="20"/>
        </w:rPr>
        <w:t>the number and</w:t>
      </w:r>
      <w:r w:rsidRPr="009D129E">
        <w:rPr>
          <w:sz w:val="20"/>
        </w:rPr>
        <w:t xml:space="preserve"> proportion of children in workless and working households</w:t>
      </w:r>
    </w:p>
    <w:p w:rsidR="00C96A4B" w:rsidRPr="00E76F1A" w:rsidRDefault="00C96A4B" w:rsidP="00614C04">
      <w:pPr>
        <w:numPr>
          <w:ilvl w:val="0"/>
          <w:numId w:val="61"/>
        </w:numPr>
        <w:tabs>
          <w:tab w:val="clear" w:pos="720"/>
          <w:tab w:val="num" w:pos="540"/>
        </w:tabs>
        <w:spacing w:before="120"/>
        <w:ind w:left="548" w:hanging="274"/>
        <w:jc w:val="both"/>
        <w:rPr>
          <w:b/>
          <w:sz w:val="20"/>
        </w:rPr>
      </w:pPr>
      <w:r>
        <w:rPr>
          <w:sz w:val="20"/>
        </w:rPr>
        <w:t>poverty rates for</w:t>
      </w:r>
      <w:r w:rsidRPr="009D129E">
        <w:rPr>
          <w:sz w:val="20"/>
        </w:rPr>
        <w:t xml:space="preserve"> children, </w:t>
      </w:r>
      <w:r>
        <w:rPr>
          <w:sz w:val="20"/>
        </w:rPr>
        <w:t>by</w:t>
      </w:r>
      <w:r w:rsidRPr="009D129E">
        <w:rPr>
          <w:sz w:val="20"/>
        </w:rPr>
        <w:t xml:space="preserve"> the work status of the adults in their household</w:t>
      </w:r>
    </w:p>
    <w:p w:rsidR="00C96A4B" w:rsidRPr="00E76F1A" w:rsidRDefault="00C96A4B" w:rsidP="00614C04">
      <w:pPr>
        <w:numPr>
          <w:ilvl w:val="0"/>
          <w:numId w:val="61"/>
        </w:numPr>
        <w:tabs>
          <w:tab w:val="clear" w:pos="720"/>
          <w:tab w:val="num" w:pos="540"/>
        </w:tabs>
        <w:spacing w:before="120"/>
        <w:ind w:left="548" w:hanging="274"/>
        <w:jc w:val="both"/>
        <w:rPr>
          <w:b/>
          <w:sz w:val="20"/>
        </w:rPr>
      </w:pPr>
      <w:r>
        <w:rPr>
          <w:sz w:val="20"/>
        </w:rPr>
        <w:t>the</w:t>
      </w:r>
      <w:r w:rsidRPr="009D129E">
        <w:rPr>
          <w:sz w:val="20"/>
        </w:rPr>
        <w:t xml:space="preserve"> composition of </w:t>
      </w:r>
      <w:r>
        <w:rPr>
          <w:sz w:val="20"/>
        </w:rPr>
        <w:t xml:space="preserve">poor </w:t>
      </w:r>
      <w:r w:rsidRPr="009D129E">
        <w:rPr>
          <w:sz w:val="20"/>
        </w:rPr>
        <w:t xml:space="preserve">children, </w:t>
      </w:r>
      <w:r>
        <w:rPr>
          <w:sz w:val="20"/>
        </w:rPr>
        <w:t>by</w:t>
      </w:r>
      <w:r w:rsidRPr="009D129E">
        <w:rPr>
          <w:sz w:val="20"/>
        </w:rPr>
        <w:t xml:space="preserve"> the work status of the adults in their household</w:t>
      </w:r>
      <w:r>
        <w:rPr>
          <w:sz w:val="20"/>
        </w:rPr>
        <w:t>.</w:t>
      </w:r>
    </w:p>
    <w:p w:rsidR="00C96A4B" w:rsidRDefault="00C96A4B" w:rsidP="00C96A4B">
      <w:pPr>
        <w:jc w:val="both"/>
        <w:rPr>
          <w:b/>
          <w:sz w:val="20"/>
        </w:rPr>
      </w:pPr>
    </w:p>
    <w:p w:rsidR="00C96A4B" w:rsidRPr="001A1A6A" w:rsidRDefault="00C96A4B" w:rsidP="00C96A4B">
      <w:pPr>
        <w:spacing w:before="120"/>
        <w:jc w:val="both"/>
        <w:rPr>
          <w:b/>
          <w:sz w:val="20"/>
        </w:rPr>
      </w:pPr>
      <w:r w:rsidRPr="001A1A6A">
        <w:rPr>
          <w:b/>
          <w:sz w:val="20"/>
        </w:rPr>
        <w:t>Numbers and proportions</w:t>
      </w:r>
      <w:r>
        <w:rPr>
          <w:b/>
          <w:sz w:val="20"/>
        </w:rPr>
        <w:t xml:space="preserve"> of children</w:t>
      </w:r>
      <w:r w:rsidRPr="001A1A6A">
        <w:rPr>
          <w:b/>
          <w:sz w:val="20"/>
        </w:rPr>
        <w:t xml:space="preserve"> in working and workless households</w:t>
      </w:r>
    </w:p>
    <w:p w:rsidR="00C96A4B" w:rsidRDefault="00C96A4B" w:rsidP="00C96A4B">
      <w:pPr>
        <w:jc w:val="both"/>
        <w:rPr>
          <w:sz w:val="20"/>
        </w:rPr>
      </w:pPr>
    </w:p>
    <w:p w:rsidR="00C96A4B" w:rsidRDefault="00C96A4B" w:rsidP="00C96A4B">
      <w:pPr>
        <w:spacing w:before="120"/>
        <w:jc w:val="both"/>
        <w:rPr>
          <w:rFonts w:cs="Arial"/>
          <w:sz w:val="20"/>
        </w:rPr>
      </w:pPr>
      <w:r w:rsidRPr="00DE15B8">
        <w:rPr>
          <w:rFonts w:cs="Arial"/>
          <w:b/>
          <w:sz w:val="20"/>
        </w:rPr>
        <w:t>Table H.</w:t>
      </w:r>
      <w:r>
        <w:rPr>
          <w:rFonts w:cs="Arial"/>
          <w:b/>
          <w:sz w:val="20"/>
        </w:rPr>
        <w:t>4</w:t>
      </w:r>
      <w:r w:rsidRPr="00DE15B8">
        <w:rPr>
          <w:rFonts w:cs="Arial"/>
          <w:b/>
          <w:sz w:val="20"/>
        </w:rPr>
        <w:t xml:space="preserve"> </w:t>
      </w:r>
      <w:r w:rsidRPr="00DE15B8">
        <w:rPr>
          <w:rFonts w:cs="Arial"/>
          <w:sz w:val="20"/>
        </w:rPr>
        <w:t xml:space="preserve">shows the trend in the proportion of children in ‘workless’ </w:t>
      </w:r>
      <w:r>
        <w:rPr>
          <w:rFonts w:cs="Arial"/>
          <w:sz w:val="20"/>
        </w:rPr>
        <w:t>households and in beneficiary families</w:t>
      </w:r>
      <w:r w:rsidRPr="00DE15B8">
        <w:rPr>
          <w:rFonts w:cs="Arial"/>
          <w:sz w:val="20"/>
        </w:rPr>
        <w:t xml:space="preserve"> over time.</w:t>
      </w:r>
      <w:r>
        <w:rPr>
          <w:rFonts w:cs="Arial"/>
          <w:sz w:val="20"/>
        </w:rPr>
        <w:t xml:space="preserve">  </w:t>
      </w:r>
    </w:p>
    <w:p w:rsidR="00C96A4B" w:rsidRDefault="00C96A4B" w:rsidP="00C96A4B">
      <w:pPr>
        <w:jc w:val="both"/>
        <w:rPr>
          <w:rFonts w:cs="Arial"/>
          <w:sz w:val="20"/>
        </w:rPr>
      </w:pPr>
    </w:p>
    <w:p w:rsidR="00C96A4B" w:rsidRDefault="00C96A4B" w:rsidP="00C96A4B">
      <w:pPr>
        <w:jc w:val="both"/>
        <w:rPr>
          <w:rFonts w:cs="Arial"/>
          <w:sz w:val="20"/>
        </w:rPr>
      </w:pPr>
      <w:r>
        <w:rPr>
          <w:rFonts w:cs="Arial"/>
          <w:sz w:val="20"/>
        </w:rPr>
        <w:t xml:space="preserve">The final row in the table (children in beneficiary families) is a ‘census’ as at 30 June each year, from MSD’s administrative data.  This is robust data.  The first four rows are estimates only, based on the HES sample.  We know that the estimates using Statistics New Zealand’s weights consistently under-estimate the number of beneficiaries compared with the administrative data.  Generally, the estimates using the Treasury’s Taxwell weights are closer to the administrative data, but the sampling error from the HES can still lead to either or both weighting regimes under- or over-estimating the population numbers. </w:t>
      </w:r>
    </w:p>
    <w:p w:rsidR="00C96A4B" w:rsidRDefault="00C96A4B" w:rsidP="00C96A4B">
      <w:pPr>
        <w:jc w:val="both"/>
        <w:rPr>
          <w:rFonts w:cs="Arial"/>
          <w:sz w:val="20"/>
        </w:rPr>
      </w:pPr>
    </w:p>
    <w:p w:rsidR="00C96A4B" w:rsidRDefault="00C96A4B" w:rsidP="00C96A4B">
      <w:pPr>
        <w:jc w:val="both"/>
        <w:rPr>
          <w:rFonts w:cs="Arial"/>
          <w:sz w:val="20"/>
        </w:rPr>
      </w:pPr>
      <w:r>
        <w:rPr>
          <w:rFonts w:cs="Arial"/>
          <w:sz w:val="20"/>
        </w:rPr>
        <w:t xml:space="preserve">The 2010 figures for the first four rows need to be treated with caution.  The proportions of children in households with no full-time worker (whether 25% or 30%) seem to be unusually high compared with (a) the 2009 figures, and (b) the proportion of children in beneficiary families (22%).  This (22%) was unchanged at </w:t>
      </w:r>
      <w:r w:rsidR="00187A13">
        <w:rPr>
          <w:rFonts w:cs="Arial"/>
          <w:sz w:val="20"/>
        </w:rPr>
        <w:t>30 June 2011</w:t>
      </w:r>
      <w:r>
        <w:rPr>
          <w:rFonts w:cs="Arial"/>
          <w:sz w:val="20"/>
        </w:rPr>
        <w:t xml:space="preserve">.   It is not clear whether the 2010 figures are just a statistical blip, or are evidence of an increasing number of non-beneficiary multi-adult families holding down several part-time jobs, with no one actually employed full-time in the one job.  </w:t>
      </w:r>
      <w:r w:rsidR="00187A13">
        <w:rPr>
          <w:rFonts w:cs="Arial"/>
          <w:sz w:val="20"/>
        </w:rPr>
        <w:t>The Incomes Report will continue to monitor these figures over coming years.</w:t>
      </w:r>
    </w:p>
    <w:p w:rsidR="00C96A4B" w:rsidRDefault="00C96A4B" w:rsidP="00C96A4B">
      <w:pPr>
        <w:jc w:val="both"/>
        <w:rPr>
          <w:rFonts w:cs="Arial"/>
          <w:sz w:val="20"/>
        </w:rPr>
      </w:pPr>
    </w:p>
    <w:p w:rsidR="00C96A4B" w:rsidRPr="006A471C" w:rsidRDefault="00C96A4B" w:rsidP="00C96A4B">
      <w:pPr>
        <w:jc w:val="both"/>
        <w:rPr>
          <w:rFonts w:cs="Arial"/>
          <w:sz w:val="20"/>
        </w:rPr>
      </w:pPr>
      <w:r>
        <w:rPr>
          <w:rFonts w:cs="Arial"/>
          <w:sz w:val="20"/>
        </w:rPr>
        <w:t xml:space="preserve">What can be said with certainty is that more than one in five and perhaps as many as one in four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children live in households where there is no adult in full-time employment.  These rates and the rate for children in workless households are high by OECD and EU standards (see Section J).</w:t>
      </w:r>
      <w:r w:rsidRPr="00B46DEA">
        <w:rPr>
          <w:rStyle w:val="FootnoteReference"/>
          <w:sz w:val="20"/>
        </w:rPr>
        <w:footnoteReference w:id="74"/>
      </w:r>
      <w:r w:rsidRPr="00B46DEA">
        <w:rPr>
          <w:rFonts w:cs="Arial"/>
          <w:sz w:val="20"/>
        </w:rPr>
        <w:t xml:space="preserve">  </w:t>
      </w:r>
    </w:p>
    <w:p w:rsidR="00C96A4B" w:rsidRPr="009D129E" w:rsidRDefault="00C96A4B" w:rsidP="00C96A4B">
      <w:pPr>
        <w:jc w:val="center"/>
        <w:rPr>
          <w:rFonts w:cs="Arial"/>
          <w:b/>
          <w:sz w:val="18"/>
        </w:rPr>
      </w:pPr>
    </w:p>
    <w:p w:rsidR="00C96A4B" w:rsidRPr="009D129E" w:rsidRDefault="00C96A4B" w:rsidP="00C96A4B">
      <w:pPr>
        <w:jc w:val="center"/>
        <w:rPr>
          <w:rFonts w:cs="Arial"/>
          <w:b/>
          <w:sz w:val="18"/>
        </w:rPr>
      </w:pPr>
      <w:r w:rsidRPr="009D129E">
        <w:rPr>
          <w:rFonts w:cs="Arial"/>
          <w:b/>
          <w:sz w:val="18"/>
        </w:rPr>
        <w:t>Table H.</w:t>
      </w:r>
      <w:r>
        <w:rPr>
          <w:rFonts w:cs="Arial"/>
          <w:b/>
          <w:sz w:val="18"/>
        </w:rPr>
        <w:t>4</w:t>
      </w:r>
    </w:p>
    <w:p w:rsidR="00C96A4B" w:rsidRPr="009D129E" w:rsidRDefault="00C96A4B" w:rsidP="00C96A4B">
      <w:pPr>
        <w:spacing w:after="120"/>
        <w:ind w:left="360" w:hanging="270"/>
        <w:jc w:val="center"/>
        <w:rPr>
          <w:sz w:val="18"/>
        </w:rPr>
      </w:pPr>
      <w:r w:rsidRPr="009D129E">
        <w:rPr>
          <w:b/>
          <w:sz w:val="18"/>
        </w:rPr>
        <w:t>Proportion of children in ‘workless’ households (% of all children)</w:t>
      </w:r>
    </w:p>
    <w:tbl>
      <w:tblPr>
        <w:tblStyle w:val="TableGrid"/>
        <w:tblW w:w="8469" w:type="dxa"/>
        <w:jc w:val="center"/>
        <w:tblLayout w:type="fixed"/>
        <w:tblLook w:val="01E0"/>
      </w:tblPr>
      <w:tblGrid>
        <w:gridCol w:w="2654"/>
        <w:gridCol w:w="415"/>
        <w:gridCol w:w="415"/>
        <w:gridCol w:w="416"/>
        <w:gridCol w:w="415"/>
        <w:gridCol w:w="415"/>
        <w:gridCol w:w="416"/>
        <w:gridCol w:w="415"/>
        <w:gridCol w:w="415"/>
        <w:gridCol w:w="416"/>
        <w:gridCol w:w="415"/>
        <w:gridCol w:w="415"/>
        <w:gridCol w:w="416"/>
        <w:gridCol w:w="415"/>
        <w:gridCol w:w="416"/>
      </w:tblGrid>
      <w:tr w:rsidR="00C96A4B">
        <w:trPr>
          <w:jc w:val="center"/>
        </w:trPr>
        <w:tc>
          <w:tcPr>
            <w:tcW w:w="2654" w:type="dxa"/>
            <w:tcBorders>
              <w:bottom w:val="single" w:sz="4" w:space="0" w:color="auto"/>
            </w:tcBorders>
            <w:tcMar>
              <w:left w:w="115" w:type="dxa"/>
              <w:right w:w="115" w:type="dxa"/>
            </w:tcMar>
            <w:vAlign w:val="center"/>
          </w:tcPr>
          <w:p w:rsidR="00C96A4B" w:rsidRPr="0020307C" w:rsidRDefault="00C96A4B" w:rsidP="00614C04">
            <w:pPr>
              <w:spacing w:before="60" w:after="60"/>
              <w:ind w:left="86"/>
              <w:jc w:val="right"/>
              <w:rPr>
                <w:rFonts w:cs="Arial"/>
                <w:sz w:val="14"/>
                <w:szCs w:val="16"/>
              </w:rPr>
            </w:pPr>
            <w:r w:rsidRPr="0020307C">
              <w:rPr>
                <w:rFonts w:cs="Arial"/>
                <w:sz w:val="14"/>
                <w:szCs w:val="16"/>
              </w:rPr>
              <w:t>HES year</w:t>
            </w:r>
          </w:p>
        </w:tc>
        <w:tc>
          <w:tcPr>
            <w:tcW w:w="415" w:type="dxa"/>
            <w:tcBorders>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1986</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1988</w:t>
            </w:r>
          </w:p>
        </w:tc>
        <w:tc>
          <w:tcPr>
            <w:tcW w:w="416"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1990</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1992</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15"/>
              <w:jc w:val="center"/>
              <w:rPr>
                <w:rFonts w:cs="Arial"/>
                <w:b/>
                <w:sz w:val="14"/>
                <w:szCs w:val="16"/>
              </w:rPr>
            </w:pPr>
            <w:r w:rsidRPr="0020307C">
              <w:rPr>
                <w:rFonts w:cs="Arial"/>
                <w:b/>
                <w:sz w:val="14"/>
                <w:szCs w:val="16"/>
              </w:rPr>
              <w:t>1994</w:t>
            </w:r>
          </w:p>
        </w:tc>
        <w:tc>
          <w:tcPr>
            <w:tcW w:w="416"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1996</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1998</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2001</w:t>
            </w:r>
          </w:p>
        </w:tc>
        <w:tc>
          <w:tcPr>
            <w:tcW w:w="416"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2004</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2007</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2008</w:t>
            </w:r>
          </w:p>
        </w:tc>
        <w:tc>
          <w:tcPr>
            <w:tcW w:w="416"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2009</w:t>
            </w:r>
          </w:p>
        </w:tc>
        <w:tc>
          <w:tcPr>
            <w:tcW w:w="415" w:type="dxa"/>
            <w:tcBorders>
              <w:left w:val="nil"/>
              <w:bottom w:val="single" w:sz="4" w:space="0" w:color="auto"/>
              <w:right w:val="nil"/>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sidRPr="0020307C">
              <w:rPr>
                <w:rFonts w:cs="Arial"/>
                <w:b/>
                <w:sz w:val="14"/>
                <w:szCs w:val="16"/>
              </w:rPr>
              <w:t>2010</w:t>
            </w:r>
          </w:p>
        </w:tc>
        <w:tc>
          <w:tcPr>
            <w:tcW w:w="416" w:type="dxa"/>
            <w:tcBorders>
              <w:left w:val="nil"/>
              <w:bottom w:val="single" w:sz="4" w:space="0" w:color="auto"/>
            </w:tcBorders>
            <w:tcMar>
              <w:left w:w="29" w:type="dxa"/>
              <w:right w:w="29" w:type="dxa"/>
            </w:tcMar>
            <w:vAlign w:val="center"/>
          </w:tcPr>
          <w:p w:rsidR="00C96A4B" w:rsidRPr="0020307C" w:rsidRDefault="00C96A4B" w:rsidP="00614C04">
            <w:pPr>
              <w:spacing w:before="60" w:after="60"/>
              <w:ind w:left="-115" w:right="-108"/>
              <w:jc w:val="center"/>
              <w:rPr>
                <w:rFonts w:cs="Arial"/>
                <w:b/>
                <w:sz w:val="14"/>
                <w:szCs w:val="16"/>
              </w:rPr>
            </w:pPr>
            <w:r>
              <w:rPr>
                <w:rFonts w:cs="Arial"/>
                <w:b/>
                <w:sz w:val="14"/>
                <w:szCs w:val="16"/>
              </w:rPr>
              <w:t>2011</w:t>
            </w:r>
          </w:p>
        </w:tc>
      </w:tr>
      <w:tr w:rsidR="00C96A4B">
        <w:trPr>
          <w:jc w:val="center"/>
        </w:trPr>
        <w:tc>
          <w:tcPr>
            <w:tcW w:w="2654" w:type="dxa"/>
            <w:tcBorders>
              <w:bottom w:val="nil"/>
            </w:tcBorders>
            <w:vAlign w:val="center"/>
          </w:tcPr>
          <w:p w:rsidR="00C96A4B" w:rsidRPr="0020307C" w:rsidRDefault="00C96A4B" w:rsidP="00614C04">
            <w:pPr>
              <w:tabs>
                <w:tab w:val="left" w:pos="1161"/>
              </w:tabs>
              <w:spacing w:before="60" w:after="60"/>
              <w:ind w:left="-4"/>
              <w:rPr>
                <w:rFonts w:cs="Arial"/>
                <w:sz w:val="14"/>
                <w:szCs w:val="16"/>
              </w:rPr>
            </w:pPr>
            <w:r w:rsidRPr="0020307C">
              <w:rPr>
                <w:rFonts w:cs="Arial"/>
                <w:b/>
                <w:sz w:val="14"/>
                <w:szCs w:val="16"/>
              </w:rPr>
              <w:t>In workless HHs</w:t>
            </w:r>
            <w:r w:rsidRPr="0020307C">
              <w:rPr>
                <w:rFonts w:cs="Arial"/>
                <w:sz w:val="14"/>
                <w:szCs w:val="16"/>
              </w:rPr>
              <w:t xml:space="preserve">  </w:t>
            </w:r>
            <w:r w:rsidRPr="0020307C">
              <w:rPr>
                <w:rFonts w:cs="Arial"/>
                <w:sz w:val="14"/>
                <w:szCs w:val="16"/>
              </w:rPr>
              <w:tab/>
              <w:t>- SNZ wgts</w:t>
            </w:r>
          </w:p>
        </w:tc>
        <w:tc>
          <w:tcPr>
            <w:tcW w:w="415" w:type="dxa"/>
            <w:tcBorders>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12</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15</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21</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23</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22</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17</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14</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14</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15</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14</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13</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17</w:t>
            </w:r>
          </w:p>
        </w:tc>
        <w:tc>
          <w:tcPr>
            <w:tcW w:w="416" w:type="dxa"/>
            <w:tcBorders>
              <w:left w:val="nil"/>
              <w:bottom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Pr>
                <w:rFonts w:cs="Arial"/>
                <w:sz w:val="14"/>
                <w:szCs w:val="16"/>
              </w:rPr>
              <w:t>17</w:t>
            </w:r>
          </w:p>
        </w:tc>
      </w:tr>
      <w:tr w:rsidR="00C96A4B">
        <w:trPr>
          <w:jc w:val="center"/>
        </w:trPr>
        <w:tc>
          <w:tcPr>
            <w:tcW w:w="2654" w:type="dxa"/>
            <w:tcBorders>
              <w:top w:val="nil"/>
              <w:bottom w:val="single" w:sz="4" w:space="0" w:color="auto"/>
            </w:tcBorders>
            <w:vAlign w:val="center"/>
          </w:tcPr>
          <w:p w:rsidR="00C96A4B" w:rsidRPr="0020307C" w:rsidRDefault="00C96A4B" w:rsidP="00614C04">
            <w:pPr>
              <w:tabs>
                <w:tab w:val="left" w:pos="1161"/>
              </w:tabs>
              <w:spacing w:before="60" w:after="60"/>
              <w:ind w:left="-4"/>
              <w:rPr>
                <w:rFonts w:cs="Arial"/>
                <w:sz w:val="14"/>
                <w:szCs w:val="16"/>
              </w:rPr>
            </w:pPr>
            <w:r w:rsidRPr="0020307C">
              <w:rPr>
                <w:rFonts w:cs="Arial"/>
                <w:sz w:val="14"/>
                <w:szCs w:val="16"/>
              </w:rPr>
              <w:tab/>
              <w:t xml:space="preserve">- </w:t>
            </w:r>
            <w:smartTag w:uri="urn:schemas-microsoft-com:office:smarttags" w:element="stockticker">
              <w:r w:rsidRPr="0020307C">
                <w:rPr>
                  <w:rFonts w:cs="Arial"/>
                  <w:sz w:val="14"/>
                  <w:szCs w:val="16"/>
                </w:rPr>
                <w:t>TSY</w:t>
              </w:r>
            </w:smartTag>
            <w:r w:rsidRPr="0020307C">
              <w:rPr>
                <w:rFonts w:cs="Arial"/>
                <w:sz w:val="14"/>
                <w:szCs w:val="16"/>
              </w:rPr>
              <w:t xml:space="preserve"> wgts</w:t>
            </w:r>
          </w:p>
        </w:tc>
        <w:tc>
          <w:tcPr>
            <w:tcW w:w="415" w:type="dxa"/>
            <w:tcBorders>
              <w:top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18</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16</w:t>
            </w:r>
          </w:p>
        </w:tc>
        <w:tc>
          <w:tcPr>
            <w:tcW w:w="416"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16</w:t>
            </w:r>
          </w:p>
        </w:tc>
        <w:tc>
          <w:tcPr>
            <w:tcW w:w="415" w:type="dxa"/>
            <w:tcBorders>
              <w:top w:val="nil"/>
              <w:left w:val="nil"/>
              <w:bottom w:val="single" w:sz="4" w:space="0" w:color="auto"/>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20</w:t>
            </w:r>
          </w:p>
        </w:tc>
        <w:tc>
          <w:tcPr>
            <w:tcW w:w="416" w:type="dxa"/>
            <w:tcBorders>
              <w:top w:val="nil"/>
              <w:left w:val="nil"/>
              <w:bottom w:val="single" w:sz="4" w:space="0" w:color="auto"/>
            </w:tcBorders>
            <w:tcMar>
              <w:left w:w="29" w:type="dxa"/>
              <w:right w:w="29" w:type="dxa"/>
            </w:tcMar>
            <w:vAlign w:val="center"/>
          </w:tcPr>
          <w:p w:rsidR="00C96A4B" w:rsidRPr="0020307C" w:rsidRDefault="00C96A4B" w:rsidP="00614C04">
            <w:pPr>
              <w:spacing w:before="60" w:after="60"/>
              <w:jc w:val="center"/>
              <w:rPr>
                <w:rFonts w:cs="Arial"/>
                <w:sz w:val="14"/>
                <w:szCs w:val="16"/>
              </w:rPr>
            </w:pPr>
            <w:r>
              <w:rPr>
                <w:rFonts w:cs="Arial"/>
                <w:sz w:val="14"/>
                <w:szCs w:val="16"/>
              </w:rPr>
              <w:t>19</w:t>
            </w:r>
          </w:p>
        </w:tc>
      </w:tr>
      <w:tr w:rsidR="00C96A4B">
        <w:trPr>
          <w:jc w:val="center"/>
        </w:trPr>
        <w:tc>
          <w:tcPr>
            <w:tcW w:w="2654" w:type="dxa"/>
            <w:tcBorders>
              <w:bottom w:val="nil"/>
            </w:tcBorders>
            <w:vAlign w:val="center"/>
          </w:tcPr>
          <w:p w:rsidR="00C96A4B" w:rsidRPr="0020307C" w:rsidRDefault="00C96A4B" w:rsidP="00614C04">
            <w:pPr>
              <w:tabs>
                <w:tab w:val="left" w:pos="1701"/>
              </w:tabs>
              <w:spacing w:before="60" w:after="60"/>
              <w:ind w:left="-4"/>
              <w:rPr>
                <w:rFonts w:cs="Arial"/>
                <w:sz w:val="14"/>
                <w:szCs w:val="16"/>
              </w:rPr>
            </w:pPr>
            <w:r w:rsidRPr="0020307C">
              <w:rPr>
                <w:rFonts w:cs="Arial"/>
                <w:b/>
                <w:sz w:val="14"/>
                <w:szCs w:val="16"/>
              </w:rPr>
              <w:t>In HHs with no FT worker</w:t>
            </w:r>
            <w:r w:rsidRPr="0020307C">
              <w:rPr>
                <w:rFonts w:cs="Arial"/>
                <w:sz w:val="14"/>
                <w:szCs w:val="16"/>
              </w:rPr>
              <w:t xml:space="preserve"> - SNZ wgts</w:t>
            </w:r>
          </w:p>
        </w:tc>
        <w:tc>
          <w:tcPr>
            <w:tcW w:w="415" w:type="dxa"/>
            <w:tcBorders>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15</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18</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24</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28</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27</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24</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23</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21</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6"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18</w:t>
            </w:r>
          </w:p>
        </w:tc>
        <w:tc>
          <w:tcPr>
            <w:tcW w:w="415" w:type="dxa"/>
            <w:tcBorders>
              <w:left w:val="nil"/>
              <w:bottom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25</w:t>
            </w:r>
          </w:p>
        </w:tc>
        <w:tc>
          <w:tcPr>
            <w:tcW w:w="416" w:type="dxa"/>
            <w:tcBorders>
              <w:left w:val="nil"/>
              <w:bottom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Pr>
                <w:rFonts w:cs="Arial"/>
                <w:sz w:val="14"/>
                <w:szCs w:val="16"/>
              </w:rPr>
              <w:t>23</w:t>
            </w:r>
          </w:p>
        </w:tc>
      </w:tr>
      <w:tr w:rsidR="00C96A4B">
        <w:trPr>
          <w:jc w:val="center"/>
        </w:trPr>
        <w:tc>
          <w:tcPr>
            <w:tcW w:w="2654" w:type="dxa"/>
            <w:tcBorders>
              <w:top w:val="nil"/>
            </w:tcBorders>
            <w:vAlign w:val="center"/>
          </w:tcPr>
          <w:p w:rsidR="00C96A4B" w:rsidRPr="0020307C" w:rsidRDefault="00C96A4B" w:rsidP="00614C04">
            <w:pPr>
              <w:tabs>
                <w:tab w:val="left" w:pos="1701"/>
              </w:tabs>
              <w:spacing w:before="60" w:after="60"/>
              <w:ind w:left="-4"/>
              <w:rPr>
                <w:rFonts w:cs="Arial"/>
                <w:sz w:val="14"/>
                <w:szCs w:val="16"/>
              </w:rPr>
            </w:pPr>
            <w:r w:rsidRPr="0020307C">
              <w:rPr>
                <w:rFonts w:cs="Arial"/>
                <w:sz w:val="14"/>
                <w:szCs w:val="16"/>
              </w:rPr>
              <w:tab/>
              <w:t xml:space="preserve">- </w:t>
            </w:r>
            <w:smartTag w:uri="urn:schemas-microsoft-com:office:smarttags" w:element="stockticker">
              <w:r w:rsidRPr="0020307C">
                <w:rPr>
                  <w:rFonts w:cs="Arial"/>
                  <w:sz w:val="14"/>
                  <w:szCs w:val="16"/>
                </w:rPr>
                <w:t>TSY</w:t>
              </w:r>
            </w:smartTag>
            <w:r w:rsidRPr="0020307C">
              <w:rPr>
                <w:rFonts w:cs="Arial"/>
                <w:sz w:val="14"/>
                <w:szCs w:val="16"/>
              </w:rPr>
              <w:t xml:space="preserve"> wgts</w:t>
            </w:r>
          </w:p>
        </w:tc>
        <w:tc>
          <w:tcPr>
            <w:tcW w:w="415" w:type="dxa"/>
            <w:tcBorders>
              <w:top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25</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22</w:t>
            </w:r>
          </w:p>
        </w:tc>
        <w:tc>
          <w:tcPr>
            <w:tcW w:w="416"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21</w:t>
            </w:r>
          </w:p>
        </w:tc>
        <w:tc>
          <w:tcPr>
            <w:tcW w:w="415" w:type="dxa"/>
            <w:tcBorders>
              <w:top w:val="nil"/>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30</w:t>
            </w:r>
          </w:p>
        </w:tc>
        <w:tc>
          <w:tcPr>
            <w:tcW w:w="416" w:type="dxa"/>
            <w:tcBorders>
              <w:top w:val="nil"/>
              <w:lef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Pr>
                <w:rFonts w:cs="Arial"/>
                <w:sz w:val="14"/>
                <w:szCs w:val="16"/>
              </w:rPr>
              <w:t>25</w:t>
            </w:r>
          </w:p>
        </w:tc>
      </w:tr>
      <w:tr w:rsidR="00C96A4B">
        <w:trPr>
          <w:jc w:val="center"/>
        </w:trPr>
        <w:tc>
          <w:tcPr>
            <w:tcW w:w="2654" w:type="dxa"/>
            <w:vAlign w:val="center"/>
          </w:tcPr>
          <w:p w:rsidR="00C96A4B" w:rsidRPr="0020307C" w:rsidRDefault="00C96A4B" w:rsidP="00614C04">
            <w:pPr>
              <w:spacing w:before="60" w:after="60"/>
              <w:ind w:left="-4"/>
              <w:rPr>
                <w:rFonts w:cs="Arial"/>
                <w:b/>
                <w:sz w:val="14"/>
                <w:szCs w:val="16"/>
              </w:rPr>
            </w:pPr>
            <w:r w:rsidRPr="0020307C">
              <w:rPr>
                <w:rFonts w:cs="Arial"/>
                <w:b/>
                <w:sz w:val="14"/>
                <w:szCs w:val="16"/>
              </w:rPr>
              <w:t>In beneficiary families</w:t>
            </w:r>
          </w:p>
        </w:tc>
        <w:tc>
          <w:tcPr>
            <w:tcW w:w="415" w:type="dxa"/>
            <w:tcBorders>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6"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30</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26</w:t>
            </w:r>
          </w:p>
        </w:tc>
        <w:tc>
          <w:tcPr>
            <w:tcW w:w="416"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24</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19</w:t>
            </w:r>
          </w:p>
        </w:tc>
        <w:tc>
          <w:tcPr>
            <w:tcW w:w="416"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21</w:t>
            </w:r>
          </w:p>
        </w:tc>
        <w:tc>
          <w:tcPr>
            <w:tcW w:w="415" w:type="dxa"/>
            <w:tcBorders>
              <w:left w:val="nil"/>
              <w:righ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sidRPr="0020307C">
              <w:rPr>
                <w:rFonts w:cs="Arial"/>
                <w:sz w:val="14"/>
                <w:szCs w:val="16"/>
              </w:rPr>
              <w:t>22</w:t>
            </w:r>
          </w:p>
        </w:tc>
        <w:tc>
          <w:tcPr>
            <w:tcW w:w="416" w:type="dxa"/>
            <w:tcBorders>
              <w:left w:val="nil"/>
            </w:tcBorders>
            <w:tcMar>
              <w:left w:w="29" w:type="dxa"/>
              <w:right w:w="29" w:type="dxa"/>
            </w:tcMar>
            <w:vAlign w:val="center"/>
          </w:tcPr>
          <w:p w:rsidR="00C96A4B" w:rsidRPr="0020307C" w:rsidRDefault="00C96A4B" w:rsidP="00614C04">
            <w:pPr>
              <w:spacing w:before="60" w:after="60"/>
              <w:jc w:val="center"/>
              <w:rPr>
                <w:rFonts w:cs="Arial"/>
                <w:sz w:val="14"/>
                <w:szCs w:val="16"/>
              </w:rPr>
            </w:pPr>
            <w:r>
              <w:rPr>
                <w:rFonts w:cs="Arial"/>
                <w:sz w:val="14"/>
                <w:szCs w:val="16"/>
              </w:rPr>
              <w:t>22</w:t>
            </w:r>
          </w:p>
        </w:tc>
      </w:tr>
    </w:tbl>
    <w:p w:rsidR="00C96A4B" w:rsidRPr="00DE7436" w:rsidRDefault="00C96A4B" w:rsidP="00C96A4B">
      <w:pPr>
        <w:spacing w:before="120"/>
        <w:ind w:left="720" w:right="101" w:hanging="634"/>
        <w:jc w:val="both"/>
        <w:rPr>
          <w:sz w:val="18"/>
          <w:szCs w:val="18"/>
        </w:rPr>
      </w:pPr>
      <w:r>
        <w:rPr>
          <w:sz w:val="18"/>
          <w:szCs w:val="18"/>
        </w:rPr>
        <w:t>Note:  The</w:t>
      </w:r>
      <w:r w:rsidRPr="00DE7436">
        <w:rPr>
          <w:sz w:val="18"/>
          <w:szCs w:val="18"/>
        </w:rPr>
        <w:t xml:space="preserve"> 20</w:t>
      </w:r>
      <w:r>
        <w:rPr>
          <w:sz w:val="18"/>
          <w:szCs w:val="18"/>
        </w:rPr>
        <w:t>10 figures for workless househo</w:t>
      </w:r>
      <w:r w:rsidRPr="00DE7436">
        <w:rPr>
          <w:sz w:val="18"/>
          <w:szCs w:val="18"/>
        </w:rPr>
        <w:t xml:space="preserve">lds and for households with no FT worker </w:t>
      </w:r>
      <w:r>
        <w:rPr>
          <w:sz w:val="18"/>
          <w:szCs w:val="18"/>
        </w:rPr>
        <w:t xml:space="preserve">need to be treated </w:t>
      </w:r>
      <w:r w:rsidRPr="00DE7436">
        <w:rPr>
          <w:sz w:val="18"/>
          <w:szCs w:val="18"/>
        </w:rPr>
        <w:t>with caution</w:t>
      </w:r>
      <w:r>
        <w:rPr>
          <w:sz w:val="18"/>
          <w:szCs w:val="18"/>
        </w:rPr>
        <w:t xml:space="preserve"> </w:t>
      </w:r>
      <w:r w:rsidRPr="00DE7436">
        <w:rPr>
          <w:sz w:val="18"/>
          <w:szCs w:val="18"/>
        </w:rPr>
        <w:t>(see text above).</w:t>
      </w:r>
    </w:p>
    <w:p w:rsidR="00C96A4B" w:rsidRDefault="00C96A4B" w:rsidP="00C96A4B">
      <w:pPr>
        <w:jc w:val="both"/>
        <w:rPr>
          <w:b/>
          <w:sz w:val="20"/>
        </w:rPr>
      </w:pPr>
    </w:p>
    <w:p w:rsidR="00C96A4B" w:rsidRPr="00D06495" w:rsidRDefault="00C96A4B" w:rsidP="00C96A4B">
      <w:pPr>
        <w:jc w:val="both"/>
        <w:rPr>
          <w:b/>
          <w:sz w:val="20"/>
        </w:rPr>
      </w:pPr>
      <w:r>
        <w:rPr>
          <w:b/>
          <w:sz w:val="20"/>
        </w:rPr>
        <w:br w:type="page"/>
      </w:r>
      <w:r w:rsidRPr="00D06495">
        <w:rPr>
          <w:b/>
          <w:sz w:val="20"/>
        </w:rPr>
        <w:lastRenderedPageBreak/>
        <w:t>Comparing employment rates for adults in sole-parent and two-parent families</w:t>
      </w:r>
    </w:p>
    <w:p w:rsidR="00C96A4B" w:rsidRDefault="00C96A4B" w:rsidP="00C96A4B">
      <w:pPr>
        <w:jc w:val="both"/>
        <w:rPr>
          <w:sz w:val="20"/>
        </w:rPr>
      </w:pPr>
    </w:p>
    <w:p w:rsidR="00C96A4B" w:rsidRDefault="00C96A4B" w:rsidP="00C96A4B">
      <w:pPr>
        <w:jc w:val="both"/>
        <w:rPr>
          <w:sz w:val="20"/>
        </w:rPr>
      </w:pPr>
      <w:r w:rsidRPr="007A38D0">
        <w:rPr>
          <w:b/>
          <w:sz w:val="20"/>
        </w:rPr>
        <w:t>Figure H.</w:t>
      </w:r>
      <w:r>
        <w:rPr>
          <w:b/>
          <w:sz w:val="20"/>
        </w:rPr>
        <w:t>2</w:t>
      </w:r>
      <w:r>
        <w:rPr>
          <w:sz w:val="20"/>
        </w:rPr>
        <w:t xml:space="preserve"> uses Census data to show the proportion of parents of dependent children who were employed (either FT or PT) in the three decades from 1976 to 2006, for both sole and partnered parents.</w:t>
      </w:r>
    </w:p>
    <w:p w:rsidR="00C96A4B" w:rsidRDefault="00C96A4B" w:rsidP="00C96A4B">
      <w:pPr>
        <w:jc w:val="both"/>
        <w:rPr>
          <w:sz w:val="20"/>
        </w:rPr>
      </w:pPr>
    </w:p>
    <w:p w:rsidR="00C96A4B" w:rsidRDefault="00C96A4B" w:rsidP="00C96A4B">
      <w:pPr>
        <w:jc w:val="both"/>
        <w:rPr>
          <w:sz w:val="20"/>
        </w:rPr>
      </w:pPr>
      <w:r w:rsidRPr="00974E32">
        <w:rPr>
          <w:b/>
          <w:sz w:val="20"/>
        </w:rPr>
        <w:t>Table H.</w:t>
      </w:r>
      <w:r>
        <w:rPr>
          <w:b/>
          <w:sz w:val="20"/>
        </w:rPr>
        <w:t>5</w:t>
      </w:r>
      <w:r>
        <w:rPr>
          <w:sz w:val="20"/>
        </w:rPr>
        <w:t xml:space="preserve"> uses HLFS data to show the proportion of sole and partnered mothers employed, FT and PT, in 1999 and 2009.   (Around five in six sole-parent families are headed by sole mothers.)</w:t>
      </w:r>
    </w:p>
    <w:p w:rsidR="00C96A4B" w:rsidRDefault="00C96A4B" w:rsidP="00C96A4B">
      <w:pPr>
        <w:jc w:val="both"/>
        <w:rPr>
          <w:sz w:val="20"/>
        </w:rPr>
      </w:pPr>
    </w:p>
    <w:p w:rsidR="00C96A4B" w:rsidRDefault="00C96A4B" w:rsidP="00C96A4B">
      <w:pPr>
        <w:jc w:val="both"/>
        <w:rPr>
          <w:sz w:val="20"/>
        </w:rPr>
      </w:pPr>
      <w:r>
        <w:rPr>
          <w:sz w:val="20"/>
        </w:rPr>
        <w:t>The key features of the graph and the table for the purposes of this report are:</w:t>
      </w:r>
    </w:p>
    <w:p w:rsidR="00C96A4B" w:rsidRDefault="00C96A4B" w:rsidP="00C96A4B">
      <w:pPr>
        <w:numPr>
          <w:ilvl w:val="0"/>
          <w:numId w:val="66"/>
        </w:numPr>
        <w:spacing w:before="120"/>
        <w:jc w:val="both"/>
        <w:rPr>
          <w:sz w:val="20"/>
        </w:rPr>
      </w:pPr>
      <w:r>
        <w:rPr>
          <w:sz w:val="20"/>
        </w:rPr>
        <w:t>the steady rise in the proportion of partnered mothers in employment to around 70% (71% in the 2006 Census, 69% in the 2009 HLFS) – thus increasing the proportion of dual earner two parent families</w:t>
      </w:r>
    </w:p>
    <w:p w:rsidR="00C96A4B" w:rsidRDefault="00C96A4B" w:rsidP="00C96A4B">
      <w:pPr>
        <w:numPr>
          <w:ilvl w:val="0"/>
          <w:numId w:val="66"/>
        </w:numPr>
        <w:spacing w:before="120"/>
        <w:jc w:val="both"/>
        <w:rPr>
          <w:sz w:val="20"/>
        </w:rPr>
      </w:pPr>
      <w:r>
        <w:rPr>
          <w:sz w:val="20"/>
        </w:rPr>
        <w:t>the steady rise in the proportion of sole mothers in employment to around 50% (52% in the 2006 Census, 50% in the 2009 HLFS)</w:t>
      </w:r>
    </w:p>
    <w:p w:rsidR="00C96A4B" w:rsidRDefault="00C96A4B" w:rsidP="00C96A4B">
      <w:pPr>
        <w:numPr>
          <w:ilvl w:val="0"/>
          <w:numId w:val="66"/>
        </w:numPr>
        <w:spacing w:before="120"/>
        <w:jc w:val="both"/>
        <w:rPr>
          <w:sz w:val="20"/>
        </w:rPr>
      </w:pPr>
      <w:r>
        <w:rPr>
          <w:sz w:val="20"/>
        </w:rPr>
        <w:t xml:space="preserve">the steady rate of PT employment for both sole and partnered mothers from 1999 to 2009 (19% and 30% respectively) </w:t>
      </w:r>
    </w:p>
    <w:p w:rsidR="00C96A4B" w:rsidRDefault="00C96A4B" w:rsidP="00C96A4B">
      <w:pPr>
        <w:numPr>
          <w:ilvl w:val="0"/>
          <w:numId w:val="66"/>
        </w:numPr>
        <w:spacing w:before="120"/>
        <w:jc w:val="both"/>
        <w:rPr>
          <w:sz w:val="20"/>
        </w:rPr>
      </w:pPr>
      <w:r>
        <w:rPr>
          <w:sz w:val="20"/>
        </w:rPr>
        <w:t xml:space="preserve">the corollary of this, that the increase in mothers’ employment has been driven by their increased FT employment since the late 1990s – in 2009, almost one in three sole mothers were employed FT, a 50% increase from 1999. </w:t>
      </w:r>
    </w:p>
    <w:p w:rsidR="00C96A4B" w:rsidRDefault="00C96A4B" w:rsidP="00C96A4B">
      <w:pPr>
        <w:spacing w:before="120"/>
        <w:jc w:val="both"/>
        <w:rPr>
          <w:sz w:val="20"/>
          <w:u w:val="single"/>
        </w:rPr>
      </w:pPr>
    </w:p>
    <w:p w:rsidR="00C96A4B" w:rsidRPr="00AD1B35" w:rsidRDefault="00C96A4B" w:rsidP="00C96A4B">
      <w:pPr>
        <w:pStyle w:val="Heading6"/>
        <w:spacing w:before="0" w:after="0"/>
        <w:jc w:val="center"/>
        <w:rPr>
          <w:rFonts w:ascii="Arial" w:hAnsi="Arial" w:cs="Arial"/>
          <w:sz w:val="18"/>
          <w:szCs w:val="18"/>
        </w:rPr>
      </w:pPr>
      <w:r w:rsidRPr="00AD1B35">
        <w:rPr>
          <w:rFonts w:ascii="Arial" w:hAnsi="Arial" w:cs="Arial"/>
          <w:sz w:val="18"/>
          <w:szCs w:val="18"/>
        </w:rPr>
        <w:t>Figure H.</w:t>
      </w:r>
      <w:r>
        <w:rPr>
          <w:rFonts w:ascii="Arial" w:hAnsi="Arial" w:cs="Arial"/>
          <w:sz w:val="18"/>
          <w:szCs w:val="18"/>
        </w:rPr>
        <w:t>2</w:t>
      </w:r>
    </w:p>
    <w:p w:rsidR="00C96A4B" w:rsidRPr="00AD1B35" w:rsidRDefault="00C96A4B" w:rsidP="00C96A4B">
      <w:pPr>
        <w:pStyle w:val="Heading6"/>
        <w:spacing w:before="0" w:after="0"/>
        <w:jc w:val="center"/>
        <w:rPr>
          <w:rFonts w:ascii="Arial" w:hAnsi="Arial" w:cs="Arial"/>
          <w:sz w:val="18"/>
          <w:szCs w:val="18"/>
        </w:rPr>
      </w:pPr>
      <w:r w:rsidRPr="00AD1B35">
        <w:rPr>
          <w:rFonts w:ascii="Arial" w:hAnsi="Arial" w:cs="Arial"/>
          <w:sz w:val="18"/>
          <w:szCs w:val="18"/>
        </w:rPr>
        <w:t>Proportion (%) of parents of dependent children employed, 1976–2006</w:t>
      </w:r>
    </w:p>
    <w:p w:rsidR="00C96A4B" w:rsidRPr="00D379AC" w:rsidRDefault="00EC0BE0" w:rsidP="00C96A4B">
      <w:pPr>
        <w:jc w:val="center"/>
      </w:pPr>
      <w:r>
        <w:rPr>
          <w:noProof/>
          <w:lang w:val="en-US"/>
        </w:rPr>
        <w:drawing>
          <wp:inline distT="0" distB="0" distL="0" distR="0">
            <wp:extent cx="3895725" cy="2295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srcRect/>
                    <a:stretch>
                      <a:fillRect/>
                    </a:stretch>
                  </pic:blipFill>
                  <pic:spPr bwMode="auto">
                    <a:xfrm>
                      <a:off x="0" y="0"/>
                      <a:ext cx="3895725" cy="2295525"/>
                    </a:xfrm>
                    <a:prstGeom prst="rect">
                      <a:avLst/>
                    </a:prstGeom>
                    <a:noFill/>
                    <a:ln w="9525">
                      <a:noFill/>
                      <a:miter lim="800000"/>
                      <a:headEnd/>
                      <a:tailEnd/>
                    </a:ln>
                  </pic:spPr>
                </pic:pic>
              </a:graphicData>
            </a:graphic>
          </wp:inline>
        </w:drawing>
      </w:r>
    </w:p>
    <w:p w:rsidR="00C96A4B" w:rsidRPr="00E570AE" w:rsidRDefault="00C96A4B" w:rsidP="00C96A4B">
      <w:pPr>
        <w:pStyle w:val="csresource"/>
        <w:ind w:left="1350"/>
        <w:rPr>
          <w:sz w:val="16"/>
          <w:szCs w:val="16"/>
        </w:rPr>
      </w:pPr>
      <w:r w:rsidRPr="00E570AE">
        <w:rPr>
          <w:sz w:val="16"/>
          <w:szCs w:val="16"/>
          <w:u w:val="single"/>
        </w:rPr>
        <w:t>Source</w:t>
      </w:r>
      <w:r w:rsidRPr="00E570AE">
        <w:rPr>
          <w:sz w:val="16"/>
          <w:szCs w:val="16"/>
        </w:rPr>
        <w:t>:  Figure 3 in MSD (2010),  (drawing on the Census of Population and Dwellings)</w:t>
      </w:r>
    </w:p>
    <w:p w:rsidR="00C96A4B" w:rsidRDefault="00C96A4B" w:rsidP="00C96A4B"/>
    <w:p w:rsidR="00C96A4B" w:rsidRDefault="00C96A4B" w:rsidP="00C96A4B">
      <w:pPr>
        <w:spacing w:before="120"/>
        <w:jc w:val="both"/>
        <w:rPr>
          <w:sz w:val="20"/>
          <w:u w:val="single"/>
        </w:rPr>
      </w:pPr>
    </w:p>
    <w:p w:rsidR="00C96A4B" w:rsidRPr="009D129E" w:rsidRDefault="00C96A4B" w:rsidP="00C96A4B">
      <w:pPr>
        <w:jc w:val="center"/>
        <w:rPr>
          <w:rFonts w:cs="Arial"/>
          <w:b/>
          <w:sz w:val="18"/>
        </w:rPr>
      </w:pPr>
      <w:r w:rsidRPr="009D129E">
        <w:rPr>
          <w:rFonts w:cs="Arial"/>
          <w:b/>
          <w:sz w:val="18"/>
        </w:rPr>
        <w:t>Table H.</w:t>
      </w:r>
      <w:r>
        <w:rPr>
          <w:rFonts w:cs="Arial"/>
          <w:b/>
          <w:sz w:val="18"/>
        </w:rPr>
        <w:t>5</w:t>
      </w:r>
    </w:p>
    <w:p w:rsidR="00C96A4B" w:rsidRPr="009D129E" w:rsidRDefault="00C96A4B" w:rsidP="00C96A4B">
      <w:pPr>
        <w:spacing w:after="120"/>
        <w:ind w:left="360" w:hanging="270"/>
        <w:jc w:val="center"/>
        <w:rPr>
          <w:sz w:val="18"/>
        </w:rPr>
      </w:pPr>
      <w:r>
        <w:rPr>
          <w:b/>
          <w:sz w:val="18"/>
        </w:rPr>
        <w:t>Proportion of sole and partnered mothers employed, FT and PT</w:t>
      </w:r>
    </w:p>
    <w:tbl>
      <w:tblPr>
        <w:tblStyle w:val="TableGrid"/>
        <w:tblW w:w="5751" w:type="dxa"/>
        <w:jc w:val="center"/>
        <w:tblInd w:w="-214" w:type="dxa"/>
        <w:tblLayout w:type="fixed"/>
        <w:tblLook w:val="01E0"/>
      </w:tblPr>
      <w:tblGrid>
        <w:gridCol w:w="111"/>
        <w:gridCol w:w="2139"/>
        <w:gridCol w:w="111"/>
        <w:gridCol w:w="1481"/>
        <w:gridCol w:w="109"/>
        <w:gridCol w:w="791"/>
        <w:gridCol w:w="109"/>
        <w:gridCol w:w="791"/>
        <w:gridCol w:w="109"/>
      </w:tblGrid>
      <w:tr w:rsidR="00C96A4B" w:rsidRPr="00EA02CC">
        <w:trPr>
          <w:gridAfter w:val="1"/>
          <w:wAfter w:w="109" w:type="dxa"/>
          <w:jc w:val="center"/>
        </w:trPr>
        <w:tc>
          <w:tcPr>
            <w:tcW w:w="2250" w:type="dxa"/>
            <w:gridSpan w:val="2"/>
          </w:tcPr>
          <w:p w:rsidR="00C96A4B" w:rsidRPr="00EA02CC" w:rsidRDefault="00C96A4B" w:rsidP="00614C04">
            <w:pPr>
              <w:spacing w:before="60" w:after="60"/>
              <w:ind w:left="86"/>
              <w:rPr>
                <w:sz w:val="14"/>
                <w:szCs w:val="16"/>
              </w:rPr>
            </w:pPr>
          </w:p>
        </w:tc>
        <w:tc>
          <w:tcPr>
            <w:tcW w:w="1592" w:type="dxa"/>
            <w:gridSpan w:val="2"/>
            <w:vAlign w:val="center"/>
          </w:tcPr>
          <w:p w:rsidR="00C96A4B" w:rsidRPr="00EA02CC" w:rsidRDefault="00C96A4B" w:rsidP="00614C04">
            <w:pPr>
              <w:spacing w:before="60" w:after="60"/>
              <w:ind w:left="86"/>
              <w:rPr>
                <w:sz w:val="14"/>
                <w:szCs w:val="16"/>
              </w:rPr>
            </w:pPr>
          </w:p>
        </w:tc>
        <w:tc>
          <w:tcPr>
            <w:tcW w:w="900" w:type="dxa"/>
            <w:gridSpan w:val="2"/>
            <w:vAlign w:val="center"/>
          </w:tcPr>
          <w:p w:rsidR="00C96A4B" w:rsidRPr="00EA02CC" w:rsidRDefault="00C96A4B" w:rsidP="00614C04">
            <w:pPr>
              <w:spacing w:before="60" w:after="60"/>
              <w:ind w:left="-115" w:right="-108"/>
              <w:jc w:val="center"/>
              <w:rPr>
                <w:rFonts w:cs="Arial"/>
                <w:b/>
                <w:sz w:val="14"/>
                <w:szCs w:val="16"/>
              </w:rPr>
            </w:pPr>
            <w:r w:rsidRPr="00EA02CC">
              <w:rPr>
                <w:rFonts w:cs="Arial"/>
                <w:b/>
                <w:sz w:val="14"/>
                <w:szCs w:val="16"/>
              </w:rPr>
              <w:t>1999</w:t>
            </w:r>
          </w:p>
        </w:tc>
        <w:tc>
          <w:tcPr>
            <w:tcW w:w="900" w:type="dxa"/>
            <w:gridSpan w:val="2"/>
            <w:vAlign w:val="center"/>
          </w:tcPr>
          <w:p w:rsidR="00C96A4B" w:rsidRPr="00EA02CC" w:rsidRDefault="00C96A4B" w:rsidP="00614C04">
            <w:pPr>
              <w:spacing w:before="60" w:after="60"/>
              <w:ind w:left="-115" w:right="-108"/>
              <w:jc w:val="center"/>
              <w:rPr>
                <w:rFonts w:cs="Arial"/>
                <w:b/>
                <w:sz w:val="14"/>
                <w:szCs w:val="16"/>
              </w:rPr>
            </w:pPr>
            <w:r w:rsidRPr="00EA02CC">
              <w:rPr>
                <w:rFonts w:cs="Arial"/>
                <w:b/>
                <w:sz w:val="14"/>
                <w:szCs w:val="16"/>
              </w:rPr>
              <w:t>2009</w:t>
            </w:r>
          </w:p>
        </w:tc>
      </w:tr>
      <w:tr w:rsidR="00C96A4B" w:rsidRPr="00EA02CC">
        <w:trPr>
          <w:gridAfter w:val="1"/>
          <w:wAfter w:w="109" w:type="dxa"/>
          <w:jc w:val="center"/>
        </w:trPr>
        <w:tc>
          <w:tcPr>
            <w:tcW w:w="2250" w:type="dxa"/>
            <w:gridSpan w:val="2"/>
            <w:shd w:val="clear" w:color="auto" w:fill="auto"/>
            <w:vAlign w:val="center"/>
          </w:tcPr>
          <w:p w:rsidR="00C96A4B" w:rsidRPr="00EA02CC" w:rsidRDefault="00C96A4B" w:rsidP="00614C04">
            <w:pPr>
              <w:spacing w:before="60" w:after="60"/>
              <w:ind w:left="-4"/>
              <w:rPr>
                <w:sz w:val="14"/>
                <w:szCs w:val="16"/>
              </w:rPr>
            </w:pPr>
            <w:r w:rsidRPr="00EA02CC">
              <w:rPr>
                <w:sz w:val="14"/>
                <w:szCs w:val="16"/>
              </w:rPr>
              <w:t>Employed FT (30+ hrs pw)</w:t>
            </w:r>
          </w:p>
        </w:tc>
        <w:tc>
          <w:tcPr>
            <w:tcW w:w="1592" w:type="dxa"/>
            <w:gridSpan w:val="2"/>
            <w:vAlign w:val="center"/>
          </w:tcPr>
          <w:p w:rsidR="00C96A4B" w:rsidRPr="00EA02CC" w:rsidRDefault="00C96A4B" w:rsidP="00614C04">
            <w:pPr>
              <w:spacing w:before="60" w:after="60"/>
              <w:ind w:left="-4"/>
              <w:rPr>
                <w:sz w:val="14"/>
                <w:szCs w:val="16"/>
              </w:rPr>
            </w:pPr>
            <w:r w:rsidRPr="00EA02CC">
              <w:rPr>
                <w:sz w:val="14"/>
                <w:szCs w:val="16"/>
              </w:rPr>
              <w:t>Sole mothers</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20</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31</w:t>
            </w:r>
          </w:p>
        </w:tc>
      </w:tr>
      <w:tr w:rsidR="00C96A4B">
        <w:trPr>
          <w:gridBefore w:val="1"/>
          <w:wBefore w:w="111" w:type="dxa"/>
          <w:jc w:val="center"/>
        </w:trPr>
        <w:tc>
          <w:tcPr>
            <w:tcW w:w="2250" w:type="dxa"/>
            <w:gridSpan w:val="2"/>
            <w:shd w:val="clear" w:color="auto" w:fill="auto"/>
            <w:vAlign w:val="center"/>
          </w:tcPr>
          <w:p w:rsidR="00C96A4B" w:rsidRPr="00EA02CC" w:rsidRDefault="00C96A4B" w:rsidP="00614C04">
            <w:pPr>
              <w:spacing w:before="60" w:after="60"/>
              <w:ind w:left="-4"/>
              <w:rPr>
                <w:sz w:val="14"/>
                <w:szCs w:val="16"/>
              </w:rPr>
            </w:pPr>
          </w:p>
        </w:tc>
        <w:tc>
          <w:tcPr>
            <w:tcW w:w="1590" w:type="dxa"/>
            <w:gridSpan w:val="2"/>
            <w:vAlign w:val="center"/>
          </w:tcPr>
          <w:p w:rsidR="00C96A4B" w:rsidRPr="00EA02CC" w:rsidRDefault="00C96A4B" w:rsidP="00614C04">
            <w:pPr>
              <w:spacing w:before="60" w:after="60"/>
              <w:ind w:left="-4"/>
              <w:rPr>
                <w:sz w:val="14"/>
                <w:szCs w:val="16"/>
              </w:rPr>
            </w:pPr>
            <w:r w:rsidRPr="00EA02CC">
              <w:rPr>
                <w:sz w:val="14"/>
                <w:szCs w:val="16"/>
              </w:rPr>
              <w:t>Partnered mothers</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34</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38</w:t>
            </w:r>
          </w:p>
        </w:tc>
      </w:tr>
      <w:tr w:rsidR="00C96A4B" w:rsidRPr="00EA02CC">
        <w:trPr>
          <w:gridAfter w:val="1"/>
          <w:wAfter w:w="109" w:type="dxa"/>
          <w:jc w:val="center"/>
        </w:trPr>
        <w:tc>
          <w:tcPr>
            <w:tcW w:w="2250" w:type="dxa"/>
            <w:gridSpan w:val="2"/>
            <w:shd w:val="clear" w:color="auto" w:fill="auto"/>
            <w:vAlign w:val="center"/>
          </w:tcPr>
          <w:p w:rsidR="00C96A4B" w:rsidRPr="00EA02CC" w:rsidRDefault="00C96A4B" w:rsidP="00614C04">
            <w:pPr>
              <w:spacing w:before="60" w:after="60"/>
              <w:ind w:left="-4"/>
              <w:rPr>
                <w:sz w:val="14"/>
                <w:szCs w:val="16"/>
              </w:rPr>
            </w:pPr>
            <w:r w:rsidRPr="00EA02CC">
              <w:rPr>
                <w:sz w:val="14"/>
                <w:szCs w:val="16"/>
              </w:rPr>
              <w:t>Employed PT (&lt;30hrs pw)</w:t>
            </w:r>
          </w:p>
        </w:tc>
        <w:tc>
          <w:tcPr>
            <w:tcW w:w="1592" w:type="dxa"/>
            <w:gridSpan w:val="2"/>
            <w:vAlign w:val="center"/>
          </w:tcPr>
          <w:p w:rsidR="00C96A4B" w:rsidRPr="00EA02CC" w:rsidRDefault="00C96A4B" w:rsidP="00614C04">
            <w:pPr>
              <w:spacing w:before="60" w:after="60"/>
              <w:ind w:left="-4"/>
              <w:rPr>
                <w:sz w:val="14"/>
                <w:szCs w:val="16"/>
              </w:rPr>
            </w:pPr>
            <w:r w:rsidRPr="00EA02CC">
              <w:rPr>
                <w:sz w:val="14"/>
                <w:szCs w:val="16"/>
              </w:rPr>
              <w:t>Sole mothers</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19</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19</w:t>
            </w:r>
          </w:p>
        </w:tc>
      </w:tr>
      <w:tr w:rsidR="00C96A4B">
        <w:trPr>
          <w:gridBefore w:val="1"/>
          <w:wBefore w:w="111" w:type="dxa"/>
          <w:jc w:val="center"/>
        </w:trPr>
        <w:tc>
          <w:tcPr>
            <w:tcW w:w="2250" w:type="dxa"/>
            <w:gridSpan w:val="2"/>
            <w:shd w:val="clear" w:color="auto" w:fill="auto"/>
            <w:vAlign w:val="center"/>
          </w:tcPr>
          <w:p w:rsidR="00C96A4B" w:rsidRPr="00EA02CC" w:rsidRDefault="00C96A4B" w:rsidP="00614C04">
            <w:pPr>
              <w:spacing w:before="60" w:after="60"/>
              <w:ind w:left="-4"/>
              <w:rPr>
                <w:sz w:val="14"/>
                <w:szCs w:val="16"/>
              </w:rPr>
            </w:pPr>
          </w:p>
        </w:tc>
        <w:tc>
          <w:tcPr>
            <w:tcW w:w="1590" w:type="dxa"/>
            <w:gridSpan w:val="2"/>
            <w:vAlign w:val="center"/>
          </w:tcPr>
          <w:p w:rsidR="00C96A4B" w:rsidRPr="00EA02CC" w:rsidRDefault="00C96A4B" w:rsidP="00614C04">
            <w:pPr>
              <w:spacing w:before="60" w:after="60"/>
              <w:ind w:left="-4"/>
              <w:rPr>
                <w:sz w:val="14"/>
                <w:szCs w:val="16"/>
              </w:rPr>
            </w:pPr>
            <w:r w:rsidRPr="00EA02CC">
              <w:rPr>
                <w:sz w:val="14"/>
                <w:szCs w:val="16"/>
              </w:rPr>
              <w:t>Partnered mothers</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30</w:t>
            </w:r>
          </w:p>
        </w:tc>
        <w:tc>
          <w:tcPr>
            <w:tcW w:w="900" w:type="dxa"/>
            <w:gridSpan w:val="2"/>
            <w:vAlign w:val="center"/>
          </w:tcPr>
          <w:p w:rsidR="00C96A4B" w:rsidRPr="00EA02CC" w:rsidRDefault="00C96A4B" w:rsidP="00614C04">
            <w:pPr>
              <w:spacing w:before="60" w:after="60"/>
              <w:jc w:val="center"/>
              <w:rPr>
                <w:rFonts w:cs="Arial"/>
                <w:sz w:val="14"/>
                <w:szCs w:val="16"/>
              </w:rPr>
            </w:pPr>
            <w:r w:rsidRPr="00EA02CC">
              <w:rPr>
                <w:rFonts w:cs="Arial"/>
                <w:sz w:val="14"/>
                <w:szCs w:val="16"/>
              </w:rPr>
              <w:t>30</w:t>
            </w:r>
          </w:p>
        </w:tc>
      </w:tr>
    </w:tbl>
    <w:p w:rsidR="00C96A4B" w:rsidRDefault="00C96A4B" w:rsidP="00C96A4B">
      <w:pPr>
        <w:jc w:val="both"/>
        <w:rPr>
          <w:rFonts w:cs="Arial"/>
          <w:b/>
          <w:sz w:val="18"/>
        </w:rPr>
      </w:pPr>
    </w:p>
    <w:p w:rsidR="00C96A4B" w:rsidRPr="00E570AE" w:rsidRDefault="00C96A4B" w:rsidP="00C96A4B">
      <w:pPr>
        <w:ind w:left="1530"/>
        <w:jc w:val="both"/>
        <w:rPr>
          <w:sz w:val="16"/>
          <w:szCs w:val="16"/>
          <w:u w:val="single"/>
        </w:rPr>
      </w:pPr>
      <w:r w:rsidRPr="00E570AE">
        <w:rPr>
          <w:sz w:val="16"/>
          <w:szCs w:val="16"/>
          <w:u w:val="single"/>
        </w:rPr>
        <w:t>Source</w:t>
      </w:r>
      <w:r w:rsidRPr="00E570AE">
        <w:rPr>
          <w:sz w:val="16"/>
          <w:szCs w:val="16"/>
        </w:rPr>
        <w:t>: Derived from Table 3 in MSD (2010), (drawing on the HLFS)</w:t>
      </w:r>
    </w:p>
    <w:p w:rsidR="00C96A4B" w:rsidRDefault="00C96A4B" w:rsidP="00C96A4B">
      <w:pPr>
        <w:spacing w:before="120"/>
        <w:jc w:val="both"/>
        <w:rPr>
          <w:sz w:val="20"/>
          <w:u w:val="single"/>
        </w:rPr>
      </w:pPr>
    </w:p>
    <w:p w:rsidR="00C96A4B" w:rsidRPr="001A1A6A" w:rsidRDefault="00C96A4B" w:rsidP="00C96A4B">
      <w:pPr>
        <w:jc w:val="both"/>
        <w:rPr>
          <w:b/>
          <w:sz w:val="20"/>
        </w:rPr>
      </w:pPr>
      <w:r>
        <w:rPr>
          <w:b/>
          <w:sz w:val="20"/>
        </w:rPr>
        <w:br w:type="page"/>
      </w:r>
      <w:r>
        <w:rPr>
          <w:b/>
          <w:sz w:val="20"/>
        </w:rPr>
        <w:lastRenderedPageBreak/>
        <w:t>Proportions of children</w:t>
      </w:r>
      <w:r w:rsidRPr="001A1A6A">
        <w:rPr>
          <w:b/>
          <w:sz w:val="20"/>
        </w:rPr>
        <w:t xml:space="preserve"> in workless households</w:t>
      </w:r>
      <w:r>
        <w:rPr>
          <w:b/>
          <w:sz w:val="20"/>
        </w:rPr>
        <w:t>, by family type</w:t>
      </w:r>
    </w:p>
    <w:p w:rsidR="00C96A4B" w:rsidRDefault="00C96A4B" w:rsidP="00C96A4B">
      <w:pPr>
        <w:jc w:val="both"/>
        <w:rPr>
          <w:sz w:val="20"/>
        </w:rPr>
      </w:pPr>
    </w:p>
    <w:p w:rsidR="00C96A4B" w:rsidRPr="009D129E" w:rsidRDefault="00C96A4B" w:rsidP="00C96A4B">
      <w:pPr>
        <w:jc w:val="both"/>
        <w:rPr>
          <w:b/>
          <w:sz w:val="20"/>
        </w:rPr>
      </w:pPr>
      <w:r>
        <w:rPr>
          <w:sz w:val="20"/>
        </w:rPr>
        <w:t>In 2009, 80% of children in workless households were from sole-parent families, 20% from two-parent families.   The proportions were very similar in 2007 and 2008.</w:t>
      </w:r>
    </w:p>
    <w:p w:rsidR="00C96A4B" w:rsidRDefault="00C96A4B" w:rsidP="00C96A4B">
      <w:pPr>
        <w:jc w:val="both"/>
        <w:rPr>
          <w:sz w:val="20"/>
          <w:u w:val="single"/>
        </w:rPr>
      </w:pPr>
    </w:p>
    <w:p w:rsidR="00C96A4B" w:rsidRDefault="00C96A4B" w:rsidP="00C96A4B">
      <w:pPr>
        <w:jc w:val="both"/>
        <w:rPr>
          <w:sz w:val="20"/>
        </w:rPr>
      </w:pPr>
      <w:r w:rsidRPr="0000197E">
        <w:rPr>
          <w:sz w:val="20"/>
        </w:rPr>
        <w:t xml:space="preserve">The proportions here </w:t>
      </w:r>
      <w:r>
        <w:rPr>
          <w:sz w:val="20"/>
        </w:rPr>
        <w:t>are proportions of</w:t>
      </w:r>
      <w:r w:rsidRPr="0000197E">
        <w:rPr>
          <w:sz w:val="20"/>
        </w:rPr>
        <w:t xml:space="preserve"> all children, including those where the work status of the adults is ‘self-employed’.  Almost a</w:t>
      </w:r>
      <w:r>
        <w:rPr>
          <w:sz w:val="20"/>
        </w:rPr>
        <w:t>ll the self-employed are in two-</w:t>
      </w:r>
      <w:r w:rsidRPr="0000197E">
        <w:rPr>
          <w:sz w:val="20"/>
        </w:rPr>
        <w:t>parent households.  From HES 2009 there were 273,000 children in sole-parent families.  Assuming around half are from workless families (see Table H.</w:t>
      </w:r>
      <w:r>
        <w:rPr>
          <w:sz w:val="20"/>
        </w:rPr>
        <w:t>6 above, based on the HLFS</w:t>
      </w:r>
      <w:r w:rsidRPr="0000197E">
        <w:rPr>
          <w:sz w:val="20"/>
        </w:rPr>
        <w:t>), then around 80% of children in workless families are from sole-parent families</w:t>
      </w:r>
      <w:r>
        <w:rPr>
          <w:sz w:val="20"/>
        </w:rPr>
        <w:t xml:space="preserve"> (137,000 out of 171,000)</w:t>
      </w:r>
      <w:r w:rsidRPr="0000197E">
        <w:rPr>
          <w:sz w:val="20"/>
        </w:rPr>
        <w:t>.  This is close to the figure that can be derived directly from the HES.</w:t>
      </w:r>
    </w:p>
    <w:p w:rsidR="00C96A4B" w:rsidRDefault="00C96A4B" w:rsidP="00C96A4B">
      <w:pPr>
        <w:jc w:val="both"/>
        <w:rPr>
          <w:sz w:val="20"/>
        </w:rPr>
      </w:pPr>
    </w:p>
    <w:p w:rsidR="00C96A4B" w:rsidRDefault="00C96A4B" w:rsidP="00C96A4B">
      <w:pPr>
        <w:jc w:val="both"/>
        <w:rPr>
          <w:sz w:val="20"/>
        </w:rPr>
      </w:pPr>
      <w:r>
        <w:rPr>
          <w:sz w:val="20"/>
        </w:rPr>
        <w:t>In September 2009, 73% of sole parents received an income-tested benefit.  90% of these sole-parent beneficiaries received the Domestic Purposes Benefit.</w:t>
      </w:r>
    </w:p>
    <w:p w:rsidR="00C96A4B" w:rsidRDefault="00C96A4B" w:rsidP="00C96A4B">
      <w:pPr>
        <w:jc w:val="both"/>
        <w:rPr>
          <w:b/>
          <w:sz w:val="20"/>
        </w:rPr>
      </w:pPr>
    </w:p>
    <w:p w:rsidR="00C96A4B" w:rsidRDefault="00C96A4B" w:rsidP="00C96A4B">
      <w:pPr>
        <w:jc w:val="both"/>
        <w:rPr>
          <w:b/>
          <w:sz w:val="20"/>
        </w:rPr>
      </w:pPr>
    </w:p>
    <w:p w:rsidR="00C96A4B" w:rsidRPr="0000197E" w:rsidRDefault="00C96A4B" w:rsidP="00C96A4B">
      <w:pPr>
        <w:jc w:val="both"/>
        <w:rPr>
          <w:b/>
          <w:sz w:val="20"/>
        </w:rPr>
      </w:pPr>
      <w:r w:rsidRPr="0000197E">
        <w:rPr>
          <w:b/>
          <w:sz w:val="20"/>
        </w:rPr>
        <w:t>Increasing proportion of dual earner two-parent households</w:t>
      </w:r>
    </w:p>
    <w:p w:rsidR="00C96A4B" w:rsidRDefault="00C96A4B" w:rsidP="00C96A4B">
      <w:pPr>
        <w:jc w:val="both"/>
        <w:rPr>
          <w:sz w:val="20"/>
          <w:u w:val="single"/>
        </w:rPr>
      </w:pPr>
    </w:p>
    <w:p w:rsidR="00C96A4B" w:rsidRDefault="00C96A4B" w:rsidP="00C96A4B">
      <w:pPr>
        <w:jc w:val="both"/>
        <w:rPr>
          <w:sz w:val="20"/>
          <w:szCs w:val="22"/>
        </w:rPr>
      </w:pPr>
      <w:r w:rsidRPr="009D129E">
        <w:rPr>
          <w:b/>
          <w:sz w:val="20"/>
          <w:szCs w:val="22"/>
        </w:rPr>
        <w:t>Figure H.</w:t>
      </w:r>
      <w:r>
        <w:rPr>
          <w:b/>
          <w:sz w:val="20"/>
          <w:szCs w:val="22"/>
        </w:rPr>
        <w:t>3</w:t>
      </w:r>
      <w:r w:rsidRPr="009D129E">
        <w:rPr>
          <w:sz w:val="20"/>
          <w:szCs w:val="22"/>
        </w:rPr>
        <w:t xml:space="preserve"> and the associated </w:t>
      </w:r>
      <w:r w:rsidRPr="009D129E">
        <w:rPr>
          <w:b/>
          <w:sz w:val="20"/>
          <w:szCs w:val="22"/>
        </w:rPr>
        <w:t>Table H.</w:t>
      </w:r>
      <w:r>
        <w:rPr>
          <w:b/>
          <w:sz w:val="20"/>
          <w:szCs w:val="22"/>
        </w:rPr>
        <w:t>6A and H.6B</w:t>
      </w:r>
      <w:r w:rsidRPr="009D129E">
        <w:rPr>
          <w:sz w:val="20"/>
          <w:szCs w:val="22"/>
        </w:rPr>
        <w:t xml:space="preserve"> show the trend to incr</w:t>
      </w:r>
      <w:r>
        <w:rPr>
          <w:sz w:val="20"/>
          <w:szCs w:val="22"/>
        </w:rPr>
        <w:t>easing work intensity among two-</w:t>
      </w:r>
      <w:r w:rsidRPr="009D129E">
        <w:rPr>
          <w:sz w:val="20"/>
          <w:szCs w:val="22"/>
        </w:rPr>
        <w:t xml:space="preserve">parent households with </w:t>
      </w:r>
      <w:r>
        <w:rPr>
          <w:sz w:val="20"/>
          <w:szCs w:val="22"/>
        </w:rPr>
        <w:t>dependent children</w:t>
      </w:r>
      <w:r w:rsidRPr="009D129E">
        <w:rPr>
          <w:sz w:val="20"/>
          <w:szCs w:val="22"/>
        </w:rPr>
        <w:t xml:space="preserve">.  The option of one partner in </w:t>
      </w:r>
      <w:r>
        <w:rPr>
          <w:sz w:val="20"/>
          <w:szCs w:val="22"/>
        </w:rPr>
        <w:t>FT</w:t>
      </w:r>
      <w:r w:rsidRPr="009D129E">
        <w:rPr>
          <w:sz w:val="20"/>
          <w:szCs w:val="22"/>
        </w:rPr>
        <w:t xml:space="preserve"> paid employment and one not in paid employment (‘workless’) was the dominant pattern in the early 1980s.  In 20</w:t>
      </w:r>
      <w:r>
        <w:rPr>
          <w:sz w:val="20"/>
          <w:szCs w:val="22"/>
        </w:rPr>
        <w:t>11</w:t>
      </w:r>
      <w:r w:rsidRPr="009D129E">
        <w:rPr>
          <w:sz w:val="20"/>
          <w:szCs w:val="22"/>
        </w:rPr>
        <w:t xml:space="preserve">, the most common arrangement was for both parents to be employed </w:t>
      </w:r>
      <w:r>
        <w:rPr>
          <w:sz w:val="20"/>
          <w:szCs w:val="22"/>
        </w:rPr>
        <w:t>FT (41%)</w:t>
      </w:r>
      <w:r w:rsidRPr="009D129E">
        <w:rPr>
          <w:sz w:val="20"/>
          <w:szCs w:val="22"/>
        </w:rPr>
        <w:t xml:space="preserve">.  </w:t>
      </w:r>
    </w:p>
    <w:p w:rsidR="00C96A4B" w:rsidRDefault="00C96A4B" w:rsidP="00C96A4B">
      <w:pPr>
        <w:ind w:left="360" w:hanging="274"/>
        <w:jc w:val="center"/>
        <w:rPr>
          <w:b/>
          <w:sz w:val="18"/>
        </w:rPr>
      </w:pPr>
    </w:p>
    <w:p w:rsidR="00C96A4B" w:rsidRPr="009D129E" w:rsidRDefault="00C96A4B" w:rsidP="00C96A4B">
      <w:pPr>
        <w:ind w:left="360" w:hanging="274"/>
        <w:jc w:val="center"/>
        <w:rPr>
          <w:b/>
          <w:sz w:val="18"/>
        </w:rPr>
      </w:pPr>
    </w:p>
    <w:p w:rsidR="00C96A4B" w:rsidRPr="009D129E" w:rsidRDefault="00C96A4B" w:rsidP="00C96A4B">
      <w:pPr>
        <w:ind w:left="360" w:hanging="274"/>
        <w:jc w:val="center"/>
        <w:rPr>
          <w:b/>
          <w:sz w:val="18"/>
        </w:rPr>
      </w:pPr>
      <w:r w:rsidRPr="009D129E">
        <w:rPr>
          <w:b/>
          <w:sz w:val="18"/>
        </w:rPr>
        <w:t>Figure H.</w:t>
      </w:r>
      <w:r>
        <w:rPr>
          <w:b/>
          <w:sz w:val="18"/>
        </w:rPr>
        <w:t>3</w:t>
      </w:r>
    </w:p>
    <w:p w:rsidR="00C96A4B" w:rsidRPr="009D129E" w:rsidRDefault="00C96A4B" w:rsidP="00C96A4B">
      <w:pPr>
        <w:ind w:left="360" w:hanging="274"/>
        <w:jc w:val="center"/>
        <w:rPr>
          <w:b/>
          <w:sz w:val="18"/>
        </w:rPr>
      </w:pPr>
      <w:r>
        <w:rPr>
          <w:b/>
          <w:sz w:val="18"/>
        </w:rPr>
        <w:t>Increasing proportion of two earner two-parent households (with dependent children)</w:t>
      </w:r>
    </w:p>
    <w:p w:rsidR="00C96A4B" w:rsidRPr="00CC7A59" w:rsidRDefault="00EC0BE0" w:rsidP="00C96A4B">
      <w:pPr>
        <w:pStyle w:val="Heading3"/>
        <w:jc w:val="center"/>
      </w:pPr>
      <w:r>
        <w:rPr>
          <w:noProof/>
          <w:lang w:val="en-US"/>
        </w:rPr>
        <w:drawing>
          <wp:inline distT="0" distB="0" distL="0" distR="0">
            <wp:extent cx="3590925" cy="22098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srcRect/>
                    <a:stretch>
                      <a:fillRect/>
                    </a:stretch>
                  </pic:blipFill>
                  <pic:spPr bwMode="auto">
                    <a:xfrm>
                      <a:off x="0" y="0"/>
                      <a:ext cx="3590925" cy="2209800"/>
                    </a:xfrm>
                    <a:prstGeom prst="rect">
                      <a:avLst/>
                    </a:prstGeom>
                    <a:noFill/>
                    <a:ln w="9525">
                      <a:noFill/>
                      <a:miter lim="800000"/>
                      <a:headEnd/>
                      <a:tailEnd/>
                    </a:ln>
                  </pic:spPr>
                </pic:pic>
              </a:graphicData>
            </a:graphic>
          </wp:inline>
        </w:drawing>
      </w:r>
    </w:p>
    <w:p w:rsidR="00C96A4B" w:rsidRDefault="00C96A4B" w:rsidP="00C96A4B">
      <w:pPr>
        <w:ind w:left="360" w:hanging="274"/>
        <w:rPr>
          <w:b/>
          <w:sz w:val="20"/>
        </w:rPr>
      </w:pPr>
    </w:p>
    <w:p w:rsidR="00C96A4B" w:rsidRPr="009D129E" w:rsidRDefault="00C96A4B" w:rsidP="00C96A4B">
      <w:pPr>
        <w:ind w:left="360" w:hanging="274"/>
        <w:jc w:val="center"/>
        <w:rPr>
          <w:b/>
          <w:sz w:val="18"/>
        </w:rPr>
      </w:pPr>
      <w:r w:rsidRPr="009D129E">
        <w:rPr>
          <w:b/>
          <w:sz w:val="18"/>
        </w:rPr>
        <w:t>Table H.</w:t>
      </w:r>
      <w:r>
        <w:rPr>
          <w:b/>
          <w:sz w:val="18"/>
        </w:rPr>
        <w:t>6A</w:t>
      </w:r>
    </w:p>
    <w:p w:rsidR="00C96A4B" w:rsidRPr="009D129E" w:rsidRDefault="00C96A4B" w:rsidP="00C96A4B">
      <w:pPr>
        <w:spacing w:after="120"/>
        <w:ind w:left="360" w:hanging="274"/>
        <w:jc w:val="center"/>
        <w:rPr>
          <w:b/>
          <w:sz w:val="18"/>
        </w:rPr>
      </w:pPr>
      <w:r w:rsidRPr="009D129E">
        <w:rPr>
          <w:b/>
          <w:sz w:val="18"/>
        </w:rPr>
        <w:t>Proportion of 2P HHs where there is at least one FT adult worker</w:t>
      </w:r>
    </w:p>
    <w:tbl>
      <w:tblPr>
        <w:tblStyle w:val="TableGrid"/>
        <w:tblW w:w="0" w:type="auto"/>
        <w:jc w:val="center"/>
        <w:tblLayout w:type="fixed"/>
        <w:tblLook w:val="01E0"/>
      </w:tblPr>
      <w:tblGrid>
        <w:gridCol w:w="1191"/>
        <w:gridCol w:w="459"/>
        <w:gridCol w:w="459"/>
        <w:gridCol w:w="460"/>
        <w:gridCol w:w="459"/>
        <w:gridCol w:w="459"/>
        <w:gridCol w:w="460"/>
        <w:gridCol w:w="459"/>
        <w:gridCol w:w="459"/>
        <w:gridCol w:w="460"/>
        <w:gridCol w:w="459"/>
        <w:gridCol w:w="459"/>
        <w:gridCol w:w="460"/>
        <w:gridCol w:w="459"/>
        <w:gridCol w:w="459"/>
        <w:gridCol w:w="460"/>
      </w:tblGrid>
      <w:tr w:rsidR="00C96A4B">
        <w:trPr>
          <w:jc w:val="center"/>
        </w:trPr>
        <w:tc>
          <w:tcPr>
            <w:tcW w:w="1191" w:type="dxa"/>
            <w:tcBorders>
              <w:bottom w:val="single" w:sz="4" w:space="0" w:color="auto"/>
              <w:right w:val="single" w:sz="4" w:space="0" w:color="auto"/>
            </w:tcBorders>
            <w:tcMar>
              <w:left w:w="29" w:type="dxa"/>
              <w:right w:w="29" w:type="dxa"/>
            </w:tcMar>
            <w:vAlign w:val="center"/>
          </w:tcPr>
          <w:p w:rsidR="00C96A4B" w:rsidRPr="00DA7AE4" w:rsidRDefault="00C96A4B" w:rsidP="00614C04">
            <w:pPr>
              <w:spacing w:before="80" w:after="80"/>
              <w:ind w:left="86"/>
              <w:rPr>
                <w:sz w:val="14"/>
                <w:szCs w:val="16"/>
              </w:rPr>
            </w:pPr>
          </w:p>
        </w:tc>
        <w:tc>
          <w:tcPr>
            <w:tcW w:w="459" w:type="dxa"/>
            <w:tcBorders>
              <w:top w:val="single" w:sz="4" w:space="0" w:color="auto"/>
              <w:left w:val="single" w:sz="4" w:space="0" w:color="auto"/>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1982</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1984</w:t>
            </w:r>
          </w:p>
        </w:tc>
        <w:tc>
          <w:tcPr>
            <w:tcW w:w="460"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1986</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1988</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1990</w:t>
            </w:r>
          </w:p>
        </w:tc>
        <w:tc>
          <w:tcPr>
            <w:tcW w:w="460"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1992</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1994</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1996</w:t>
            </w:r>
          </w:p>
        </w:tc>
        <w:tc>
          <w:tcPr>
            <w:tcW w:w="460"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1998</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2001</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2004</w:t>
            </w:r>
          </w:p>
        </w:tc>
        <w:tc>
          <w:tcPr>
            <w:tcW w:w="460"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2007</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2009</w:t>
            </w:r>
          </w:p>
        </w:tc>
        <w:tc>
          <w:tcPr>
            <w:tcW w:w="459"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Pr>
                <w:rFonts w:cs="Arial"/>
                <w:b/>
                <w:sz w:val="14"/>
                <w:szCs w:val="16"/>
              </w:rPr>
              <w:t>2010</w:t>
            </w:r>
          </w:p>
        </w:tc>
        <w:tc>
          <w:tcPr>
            <w:tcW w:w="460" w:type="dxa"/>
            <w:tcBorders>
              <w:top w:val="single" w:sz="4" w:space="0" w:color="auto"/>
              <w:left w:val="nil"/>
              <w:bottom w:val="single" w:sz="4" w:space="0" w:color="auto"/>
              <w:right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1191" w:type="dxa"/>
            <w:tcBorders>
              <w:bottom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One FT, one WL</w:t>
            </w:r>
          </w:p>
        </w:tc>
        <w:tc>
          <w:tcPr>
            <w:tcW w:w="459" w:type="dxa"/>
            <w:tcBorders>
              <w:top w:val="single" w:sz="4" w:space="0" w:color="auto"/>
              <w:left w:val="single" w:sz="4" w:space="0" w:color="auto"/>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52</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47</w:t>
            </w:r>
          </w:p>
        </w:tc>
        <w:tc>
          <w:tcPr>
            <w:tcW w:w="460"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44</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42</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40</w:t>
            </w:r>
          </w:p>
        </w:tc>
        <w:tc>
          <w:tcPr>
            <w:tcW w:w="460"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44</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42</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41</w:t>
            </w:r>
          </w:p>
        </w:tc>
        <w:tc>
          <w:tcPr>
            <w:tcW w:w="460"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38</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34</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60"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32</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33</w:t>
            </w:r>
          </w:p>
        </w:tc>
        <w:tc>
          <w:tcPr>
            <w:tcW w:w="459"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31</w:t>
            </w:r>
          </w:p>
        </w:tc>
        <w:tc>
          <w:tcPr>
            <w:tcW w:w="460" w:type="dxa"/>
            <w:tcBorders>
              <w:top w:val="single" w:sz="4" w:space="0" w:color="auto"/>
              <w:left w:val="nil"/>
              <w:bottom w:val="nil"/>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33</w:t>
            </w:r>
          </w:p>
        </w:tc>
      </w:tr>
      <w:tr w:rsidR="00C96A4B">
        <w:trPr>
          <w:jc w:val="center"/>
        </w:trPr>
        <w:tc>
          <w:tcPr>
            <w:tcW w:w="1191" w:type="dxa"/>
            <w:tcBorders>
              <w:top w:val="nil"/>
              <w:bottom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One FT, one PT</w:t>
            </w:r>
          </w:p>
        </w:tc>
        <w:tc>
          <w:tcPr>
            <w:tcW w:w="459" w:type="dxa"/>
            <w:tcBorders>
              <w:top w:val="nil"/>
              <w:left w:val="single" w:sz="4" w:space="0" w:color="auto"/>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28</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60"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31</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60"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29</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26</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60"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29</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60"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31</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24</w:t>
            </w:r>
          </w:p>
        </w:tc>
        <w:tc>
          <w:tcPr>
            <w:tcW w:w="459"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26</w:t>
            </w:r>
          </w:p>
        </w:tc>
        <w:tc>
          <w:tcPr>
            <w:tcW w:w="460" w:type="dxa"/>
            <w:tcBorders>
              <w:top w:val="nil"/>
              <w:left w:val="nil"/>
              <w:bottom w:val="nil"/>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27</w:t>
            </w:r>
          </w:p>
        </w:tc>
      </w:tr>
      <w:tr w:rsidR="00C96A4B">
        <w:trPr>
          <w:jc w:val="center"/>
        </w:trPr>
        <w:tc>
          <w:tcPr>
            <w:tcW w:w="1191" w:type="dxa"/>
            <w:tcBorders>
              <w:top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Both  FT</w:t>
            </w:r>
          </w:p>
        </w:tc>
        <w:tc>
          <w:tcPr>
            <w:tcW w:w="459" w:type="dxa"/>
            <w:tcBorders>
              <w:top w:val="nil"/>
              <w:left w:val="single" w:sz="4" w:space="0" w:color="auto"/>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20</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23</w:t>
            </w:r>
          </w:p>
        </w:tc>
        <w:tc>
          <w:tcPr>
            <w:tcW w:w="460"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26</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28</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60"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32</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32</w:t>
            </w:r>
          </w:p>
        </w:tc>
        <w:tc>
          <w:tcPr>
            <w:tcW w:w="460"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35</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38</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43</w:t>
            </w:r>
          </w:p>
        </w:tc>
        <w:tc>
          <w:tcPr>
            <w:tcW w:w="460"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38</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44</w:t>
            </w:r>
          </w:p>
        </w:tc>
        <w:tc>
          <w:tcPr>
            <w:tcW w:w="459"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43</w:t>
            </w:r>
          </w:p>
        </w:tc>
        <w:tc>
          <w:tcPr>
            <w:tcW w:w="460" w:type="dxa"/>
            <w:tcBorders>
              <w:top w:val="nil"/>
              <w:left w:val="nil"/>
              <w:bottom w:val="single" w:sz="4" w:space="0" w:color="auto"/>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41</w:t>
            </w:r>
          </w:p>
        </w:tc>
      </w:tr>
    </w:tbl>
    <w:p w:rsidR="00C96A4B" w:rsidRDefault="00C96A4B" w:rsidP="00C96A4B">
      <w:pPr>
        <w:ind w:left="360" w:hanging="274"/>
        <w:jc w:val="center"/>
        <w:rPr>
          <w:b/>
          <w:sz w:val="18"/>
        </w:rPr>
      </w:pPr>
    </w:p>
    <w:p w:rsidR="00C96A4B" w:rsidRPr="009D129E" w:rsidRDefault="00C96A4B" w:rsidP="00C96A4B">
      <w:pPr>
        <w:ind w:left="360" w:hanging="274"/>
        <w:jc w:val="center"/>
        <w:rPr>
          <w:b/>
          <w:sz w:val="18"/>
        </w:rPr>
      </w:pPr>
      <w:r w:rsidRPr="009D129E">
        <w:rPr>
          <w:b/>
          <w:sz w:val="18"/>
        </w:rPr>
        <w:t>Table H.</w:t>
      </w:r>
      <w:r>
        <w:rPr>
          <w:b/>
          <w:sz w:val="18"/>
        </w:rPr>
        <w:t>6B</w:t>
      </w:r>
    </w:p>
    <w:p w:rsidR="00C96A4B" w:rsidRPr="009D129E" w:rsidRDefault="00C96A4B" w:rsidP="00C96A4B">
      <w:pPr>
        <w:spacing w:after="120"/>
        <w:ind w:left="360" w:hanging="274"/>
        <w:jc w:val="center"/>
        <w:rPr>
          <w:b/>
          <w:sz w:val="18"/>
        </w:rPr>
      </w:pPr>
      <w:r w:rsidRPr="009D129E">
        <w:rPr>
          <w:b/>
          <w:sz w:val="18"/>
        </w:rPr>
        <w:t xml:space="preserve">Proportion of </w:t>
      </w:r>
      <w:r>
        <w:rPr>
          <w:b/>
          <w:sz w:val="18"/>
        </w:rPr>
        <w:t xml:space="preserve">children in </w:t>
      </w:r>
      <w:r w:rsidRPr="009D129E">
        <w:rPr>
          <w:b/>
          <w:sz w:val="18"/>
        </w:rPr>
        <w:t>2P HHs where there is at least one FT adult worker</w:t>
      </w:r>
    </w:p>
    <w:tbl>
      <w:tblPr>
        <w:tblStyle w:val="TableGrid"/>
        <w:tblW w:w="0" w:type="auto"/>
        <w:jc w:val="center"/>
        <w:tblLayout w:type="fixed"/>
        <w:tblLook w:val="01E0"/>
      </w:tblPr>
      <w:tblGrid>
        <w:gridCol w:w="1191"/>
        <w:gridCol w:w="453"/>
        <w:gridCol w:w="453"/>
        <w:gridCol w:w="454"/>
        <w:gridCol w:w="453"/>
        <w:gridCol w:w="453"/>
        <w:gridCol w:w="454"/>
        <w:gridCol w:w="453"/>
        <w:gridCol w:w="453"/>
        <w:gridCol w:w="454"/>
        <w:gridCol w:w="453"/>
        <w:gridCol w:w="453"/>
        <w:gridCol w:w="454"/>
        <w:gridCol w:w="453"/>
        <w:gridCol w:w="453"/>
        <w:gridCol w:w="454"/>
      </w:tblGrid>
      <w:tr w:rsidR="00C96A4B">
        <w:trPr>
          <w:jc w:val="center"/>
        </w:trPr>
        <w:tc>
          <w:tcPr>
            <w:tcW w:w="1191" w:type="dxa"/>
            <w:tcBorders>
              <w:bottom w:val="single" w:sz="4" w:space="0" w:color="auto"/>
              <w:right w:val="single" w:sz="4" w:space="0" w:color="auto"/>
            </w:tcBorders>
            <w:tcMar>
              <w:left w:w="29" w:type="dxa"/>
              <w:right w:w="29" w:type="dxa"/>
            </w:tcMar>
            <w:vAlign w:val="center"/>
          </w:tcPr>
          <w:p w:rsidR="00C96A4B" w:rsidRPr="00DA7AE4" w:rsidRDefault="00C96A4B" w:rsidP="00614C04">
            <w:pPr>
              <w:spacing w:before="80" w:after="80"/>
              <w:ind w:left="86"/>
              <w:rPr>
                <w:sz w:val="14"/>
                <w:szCs w:val="16"/>
              </w:rPr>
            </w:pPr>
          </w:p>
        </w:tc>
        <w:tc>
          <w:tcPr>
            <w:tcW w:w="453" w:type="dxa"/>
            <w:tcBorders>
              <w:top w:val="single" w:sz="4" w:space="0" w:color="auto"/>
              <w:left w:val="single" w:sz="4" w:space="0" w:color="auto"/>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1982</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1984</w:t>
            </w:r>
          </w:p>
        </w:tc>
        <w:tc>
          <w:tcPr>
            <w:tcW w:w="454"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1986</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1988</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1990</w:t>
            </w:r>
          </w:p>
        </w:tc>
        <w:tc>
          <w:tcPr>
            <w:tcW w:w="454"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1992</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1994</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1996</w:t>
            </w:r>
          </w:p>
        </w:tc>
        <w:tc>
          <w:tcPr>
            <w:tcW w:w="454"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1998</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2001</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2004</w:t>
            </w:r>
          </w:p>
        </w:tc>
        <w:tc>
          <w:tcPr>
            <w:tcW w:w="454"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2007</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sidRPr="00DA7AE4">
              <w:rPr>
                <w:rFonts w:cs="Arial"/>
                <w:b/>
                <w:sz w:val="14"/>
                <w:szCs w:val="16"/>
              </w:rPr>
              <w:t>2009</w:t>
            </w:r>
          </w:p>
        </w:tc>
        <w:tc>
          <w:tcPr>
            <w:tcW w:w="453" w:type="dxa"/>
            <w:tcBorders>
              <w:top w:val="single" w:sz="4" w:space="0" w:color="auto"/>
              <w:left w:val="nil"/>
              <w:bottom w:val="single" w:sz="4" w:space="0" w:color="auto"/>
              <w:right w:val="nil"/>
            </w:tcBorders>
            <w:tcMar>
              <w:left w:w="29" w:type="dxa"/>
              <w:right w:w="29" w:type="dxa"/>
            </w:tcMar>
            <w:vAlign w:val="center"/>
          </w:tcPr>
          <w:p w:rsidR="00C96A4B" w:rsidRPr="00DA7AE4" w:rsidRDefault="00C96A4B" w:rsidP="00614C04">
            <w:pPr>
              <w:spacing w:before="40" w:after="40"/>
              <w:jc w:val="center"/>
              <w:rPr>
                <w:rFonts w:cs="Arial"/>
                <w:b/>
                <w:sz w:val="14"/>
                <w:szCs w:val="16"/>
              </w:rPr>
            </w:pPr>
            <w:r>
              <w:rPr>
                <w:rFonts w:cs="Arial"/>
                <w:b/>
                <w:sz w:val="14"/>
                <w:szCs w:val="16"/>
              </w:rPr>
              <w:t>2010</w:t>
            </w:r>
          </w:p>
        </w:tc>
        <w:tc>
          <w:tcPr>
            <w:tcW w:w="454" w:type="dxa"/>
            <w:tcBorders>
              <w:top w:val="single" w:sz="4" w:space="0" w:color="auto"/>
              <w:left w:val="nil"/>
              <w:bottom w:val="single" w:sz="4" w:space="0" w:color="auto"/>
              <w:right w:val="single" w:sz="4" w:space="0" w:color="auto"/>
            </w:tcBorders>
            <w:tcMar>
              <w:left w:w="29" w:type="dxa"/>
              <w:right w:w="29" w:type="dxa"/>
            </w:tcMar>
            <w:vAlign w:val="center"/>
          </w:tcPr>
          <w:p w:rsidR="00C96A4B" w:rsidRDefault="00C96A4B" w:rsidP="00614C04">
            <w:pPr>
              <w:spacing w:before="40" w:after="40"/>
              <w:jc w:val="center"/>
              <w:rPr>
                <w:rFonts w:cs="Arial"/>
                <w:b/>
                <w:sz w:val="14"/>
                <w:szCs w:val="16"/>
              </w:rPr>
            </w:pPr>
            <w:r>
              <w:rPr>
                <w:rFonts w:cs="Arial"/>
                <w:b/>
                <w:sz w:val="14"/>
                <w:szCs w:val="16"/>
              </w:rPr>
              <w:t>2011</w:t>
            </w:r>
          </w:p>
        </w:tc>
      </w:tr>
      <w:tr w:rsidR="00C96A4B">
        <w:trPr>
          <w:jc w:val="center"/>
        </w:trPr>
        <w:tc>
          <w:tcPr>
            <w:tcW w:w="1191" w:type="dxa"/>
            <w:tcBorders>
              <w:bottom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One FT, one WL</w:t>
            </w:r>
          </w:p>
        </w:tc>
        <w:tc>
          <w:tcPr>
            <w:tcW w:w="453" w:type="dxa"/>
            <w:tcBorders>
              <w:top w:val="single" w:sz="4" w:space="0" w:color="auto"/>
              <w:left w:val="single" w:sz="4" w:space="0" w:color="auto"/>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54</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47</w:t>
            </w:r>
          </w:p>
        </w:tc>
        <w:tc>
          <w:tcPr>
            <w:tcW w:w="454"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43</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42</w:t>
            </w:r>
          </w:p>
        </w:tc>
        <w:tc>
          <w:tcPr>
            <w:tcW w:w="454"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42</w:t>
            </w:r>
          </w:p>
        </w:tc>
        <w:tc>
          <w:tcPr>
            <w:tcW w:w="454"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41</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4"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36</w:t>
            </w:r>
          </w:p>
        </w:tc>
        <w:tc>
          <w:tcPr>
            <w:tcW w:w="453" w:type="dxa"/>
            <w:tcBorders>
              <w:top w:val="single" w:sz="4" w:space="0" w:color="auto"/>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34</w:t>
            </w:r>
          </w:p>
        </w:tc>
        <w:tc>
          <w:tcPr>
            <w:tcW w:w="454" w:type="dxa"/>
            <w:tcBorders>
              <w:top w:val="single" w:sz="4" w:space="0" w:color="auto"/>
              <w:left w:val="nil"/>
              <w:bottom w:val="nil"/>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36</w:t>
            </w:r>
          </w:p>
        </w:tc>
      </w:tr>
      <w:tr w:rsidR="00C96A4B">
        <w:trPr>
          <w:jc w:val="center"/>
        </w:trPr>
        <w:tc>
          <w:tcPr>
            <w:tcW w:w="1191" w:type="dxa"/>
            <w:tcBorders>
              <w:top w:val="nil"/>
              <w:bottom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One FT, one PT</w:t>
            </w:r>
          </w:p>
        </w:tc>
        <w:tc>
          <w:tcPr>
            <w:tcW w:w="453" w:type="dxa"/>
            <w:tcBorders>
              <w:top w:val="nil"/>
              <w:left w:val="single" w:sz="4" w:space="0" w:color="auto"/>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28</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4"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32</w:t>
            </w:r>
          </w:p>
        </w:tc>
        <w:tc>
          <w:tcPr>
            <w:tcW w:w="454"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29</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26</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54"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29</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31</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33</w:t>
            </w:r>
          </w:p>
        </w:tc>
        <w:tc>
          <w:tcPr>
            <w:tcW w:w="454"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24</w:t>
            </w:r>
          </w:p>
        </w:tc>
        <w:tc>
          <w:tcPr>
            <w:tcW w:w="453" w:type="dxa"/>
            <w:tcBorders>
              <w:top w:val="nil"/>
              <w:left w:val="nil"/>
              <w:bottom w:val="nil"/>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27</w:t>
            </w:r>
          </w:p>
        </w:tc>
        <w:tc>
          <w:tcPr>
            <w:tcW w:w="454" w:type="dxa"/>
            <w:tcBorders>
              <w:top w:val="nil"/>
              <w:left w:val="nil"/>
              <w:bottom w:val="nil"/>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26</w:t>
            </w:r>
          </w:p>
        </w:tc>
      </w:tr>
      <w:tr w:rsidR="00C96A4B">
        <w:trPr>
          <w:jc w:val="center"/>
        </w:trPr>
        <w:tc>
          <w:tcPr>
            <w:tcW w:w="1191" w:type="dxa"/>
            <w:tcBorders>
              <w:top w:val="nil"/>
              <w:right w:val="single" w:sz="4" w:space="0" w:color="auto"/>
            </w:tcBorders>
            <w:tcMar>
              <w:left w:w="14" w:type="dxa"/>
              <w:right w:w="29" w:type="dxa"/>
            </w:tcMar>
            <w:vAlign w:val="center"/>
          </w:tcPr>
          <w:p w:rsidR="00C96A4B" w:rsidRPr="00DA7AE4" w:rsidRDefault="00C96A4B" w:rsidP="00614C04">
            <w:pPr>
              <w:spacing w:before="60" w:after="60"/>
              <w:ind w:left="86"/>
              <w:rPr>
                <w:sz w:val="14"/>
                <w:szCs w:val="16"/>
              </w:rPr>
            </w:pPr>
            <w:r w:rsidRPr="00DA7AE4">
              <w:rPr>
                <w:sz w:val="14"/>
                <w:szCs w:val="16"/>
              </w:rPr>
              <w:t>Both  FT</w:t>
            </w:r>
          </w:p>
        </w:tc>
        <w:tc>
          <w:tcPr>
            <w:tcW w:w="453" w:type="dxa"/>
            <w:tcBorders>
              <w:top w:val="nil"/>
              <w:left w:val="single" w:sz="4" w:space="0" w:color="auto"/>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19</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23</w:t>
            </w:r>
          </w:p>
        </w:tc>
        <w:tc>
          <w:tcPr>
            <w:tcW w:w="454"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25</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27</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26</w:t>
            </w:r>
          </w:p>
        </w:tc>
        <w:tc>
          <w:tcPr>
            <w:tcW w:w="454"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25</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29</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4"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30</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33</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38</w:t>
            </w:r>
          </w:p>
        </w:tc>
        <w:tc>
          <w:tcPr>
            <w:tcW w:w="454"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34</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sidRPr="00DA7AE4">
              <w:rPr>
                <w:rFonts w:cs="Arial"/>
                <w:sz w:val="14"/>
                <w:szCs w:val="16"/>
              </w:rPr>
              <w:t>40</w:t>
            </w:r>
          </w:p>
        </w:tc>
        <w:tc>
          <w:tcPr>
            <w:tcW w:w="453" w:type="dxa"/>
            <w:tcBorders>
              <w:top w:val="nil"/>
              <w:left w:val="nil"/>
              <w:bottom w:val="single" w:sz="4" w:space="0" w:color="auto"/>
              <w:right w:val="nil"/>
            </w:tcBorders>
            <w:tcMar>
              <w:left w:w="29" w:type="dxa"/>
              <w:right w:w="29" w:type="dxa"/>
            </w:tcMar>
            <w:vAlign w:val="center"/>
          </w:tcPr>
          <w:p w:rsidR="00C96A4B" w:rsidRPr="00DA7AE4" w:rsidRDefault="00C96A4B" w:rsidP="00614C04">
            <w:pPr>
              <w:spacing w:before="60" w:after="60"/>
              <w:jc w:val="center"/>
              <w:rPr>
                <w:rFonts w:cs="Arial"/>
                <w:sz w:val="14"/>
                <w:szCs w:val="16"/>
              </w:rPr>
            </w:pPr>
            <w:r>
              <w:rPr>
                <w:rFonts w:cs="Arial"/>
                <w:sz w:val="14"/>
                <w:szCs w:val="16"/>
              </w:rPr>
              <w:t>39</w:t>
            </w:r>
          </w:p>
        </w:tc>
        <w:tc>
          <w:tcPr>
            <w:tcW w:w="454" w:type="dxa"/>
            <w:tcBorders>
              <w:top w:val="nil"/>
              <w:left w:val="nil"/>
              <w:bottom w:val="single" w:sz="4" w:space="0" w:color="auto"/>
              <w:right w:val="single" w:sz="4" w:space="0" w:color="auto"/>
            </w:tcBorders>
            <w:tcMar>
              <w:left w:w="29" w:type="dxa"/>
              <w:right w:w="29" w:type="dxa"/>
            </w:tcMar>
            <w:vAlign w:val="center"/>
          </w:tcPr>
          <w:p w:rsidR="00C96A4B" w:rsidRDefault="00C96A4B" w:rsidP="00614C04">
            <w:pPr>
              <w:spacing w:before="60" w:after="60"/>
              <w:jc w:val="center"/>
              <w:rPr>
                <w:rFonts w:cs="Arial"/>
                <w:sz w:val="14"/>
                <w:szCs w:val="16"/>
              </w:rPr>
            </w:pPr>
            <w:r>
              <w:rPr>
                <w:rFonts w:cs="Arial"/>
                <w:sz w:val="14"/>
                <w:szCs w:val="16"/>
              </w:rPr>
              <w:t>37</w:t>
            </w:r>
          </w:p>
        </w:tc>
      </w:tr>
    </w:tbl>
    <w:p w:rsidR="00C96A4B" w:rsidRDefault="00C96A4B" w:rsidP="00C96A4B">
      <w:pPr>
        <w:ind w:left="360" w:hanging="274"/>
        <w:jc w:val="center"/>
        <w:rPr>
          <w:b/>
          <w:sz w:val="18"/>
        </w:rPr>
      </w:pPr>
    </w:p>
    <w:p w:rsidR="00C96A4B" w:rsidRPr="0000197E" w:rsidRDefault="00C96A4B" w:rsidP="00C96A4B">
      <w:pPr>
        <w:jc w:val="both"/>
        <w:rPr>
          <w:b/>
          <w:sz w:val="20"/>
        </w:rPr>
      </w:pPr>
      <w:r>
        <w:rPr>
          <w:b/>
          <w:sz w:val="20"/>
        </w:rPr>
        <w:br w:type="page"/>
      </w:r>
      <w:r w:rsidRPr="0000197E">
        <w:rPr>
          <w:b/>
          <w:sz w:val="20"/>
        </w:rPr>
        <w:lastRenderedPageBreak/>
        <w:t>Poverty rates and composition for children in working and workless households</w:t>
      </w:r>
    </w:p>
    <w:p w:rsidR="00C96A4B" w:rsidRDefault="00C96A4B" w:rsidP="00C96A4B">
      <w:pPr>
        <w:jc w:val="both"/>
        <w:rPr>
          <w:sz w:val="20"/>
        </w:rPr>
      </w:pPr>
    </w:p>
    <w:p w:rsidR="00C96A4B" w:rsidRDefault="00C96A4B" w:rsidP="00C96A4B">
      <w:pPr>
        <w:jc w:val="both"/>
        <w:rPr>
          <w:sz w:val="20"/>
        </w:rPr>
      </w:pPr>
      <w:r>
        <w:rPr>
          <w:sz w:val="20"/>
        </w:rPr>
        <w:t xml:space="preserve">Three factors impact on child poverty rates and on the proportion of poor children who come from various subgroups (ie  </w:t>
      </w:r>
      <w:r w:rsidR="00187A13">
        <w:rPr>
          <w:sz w:val="20"/>
        </w:rPr>
        <w:t xml:space="preserve">on </w:t>
      </w:r>
      <w:r>
        <w:rPr>
          <w:sz w:val="20"/>
        </w:rPr>
        <w:t>the composition of the poor):</w:t>
      </w:r>
    </w:p>
    <w:p w:rsidR="00C96A4B" w:rsidRDefault="00C96A4B" w:rsidP="00C96A4B">
      <w:pPr>
        <w:numPr>
          <w:ilvl w:val="0"/>
          <w:numId w:val="77"/>
        </w:numPr>
        <w:spacing w:before="60"/>
        <w:jc w:val="both"/>
        <w:rPr>
          <w:sz w:val="20"/>
        </w:rPr>
      </w:pPr>
      <w:r>
        <w:rPr>
          <w:sz w:val="20"/>
        </w:rPr>
        <w:t>the economy and the labour market (impacting on employment and unemployment rates, wage rates and on benefit numbers (including numbers of sole parent families))</w:t>
      </w:r>
    </w:p>
    <w:p w:rsidR="00C96A4B" w:rsidRDefault="00C96A4B" w:rsidP="00C96A4B">
      <w:pPr>
        <w:numPr>
          <w:ilvl w:val="0"/>
          <w:numId w:val="77"/>
        </w:numPr>
        <w:spacing w:before="60"/>
        <w:jc w:val="both"/>
        <w:rPr>
          <w:sz w:val="20"/>
        </w:rPr>
      </w:pPr>
      <w:r>
        <w:rPr>
          <w:sz w:val="20"/>
        </w:rPr>
        <w:t>demographic shifts and changing cultural norms (eg the number of sole parent families, whether sole parent families live in households on their own or with other adults, the proportion of dual-earner two-parent households)</w:t>
      </w:r>
    </w:p>
    <w:p w:rsidR="00C96A4B" w:rsidRDefault="00C96A4B" w:rsidP="00C96A4B">
      <w:pPr>
        <w:numPr>
          <w:ilvl w:val="0"/>
          <w:numId w:val="77"/>
        </w:numPr>
        <w:spacing w:before="60"/>
        <w:jc w:val="both"/>
        <w:rPr>
          <w:sz w:val="20"/>
        </w:rPr>
      </w:pPr>
      <w:r>
        <w:rPr>
          <w:sz w:val="20"/>
        </w:rPr>
        <w:t>policy changes (eg policy changes around benefit rates, income-related rents and WFF all had clear impacts on the child poverty rates for children from working and workless households, and on the relativities between the two groups).</w:t>
      </w:r>
    </w:p>
    <w:p w:rsidR="00C96A4B" w:rsidRDefault="00C96A4B" w:rsidP="00C96A4B">
      <w:pPr>
        <w:jc w:val="both"/>
        <w:rPr>
          <w:sz w:val="20"/>
        </w:rPr>
      </w:pPr>
    </w:p>
    <w:p w:rsidR="00C96A4B" w:rsidRDefault="00C96A4B" w:rsidP="00C96A4B">
      <w:pPr>
        <w:jc w:val="both"/>
        <w:rPr>
          <w:sz w:val="20"/>
        </w:rPr>
      </w:pPr>
      <w:r>
        <w:rPr>
          <w:sz w:val="20"/>
        </w:rPr>
        <w:t xml:space="preserve">The information in </w:t>
      </w:r>
      <w:r w:rsidRPr="000A0653">
        <w:rPr>
          <w:b/>
          <w:sz w:val="20"/>
        </w:rPr>
        <w:t>Figures H.</w:t>
      </w:r>
      <w:r>
        <w:rPr>
          <w:b/>
          <w:sz w:val="20"/>
        </w:rPr>
        <w:t>4</w:t>
      </w:r>
      <w:r w:rsidRPr="000A0653">
        <w:rPr>
          <w:b/>
          <w:sz w:val="20"/>
        </w:rPr>
        <w:t>, H.</w:t>
      </w:r>
      <w:r>
        <w:rPr>
          <w:b/>
          <w:sz w:val="20"/>
        </w:rPr>
        <w:t>5</w:t>
      </w:r>
      <w:r w:rsidRPr="000A0653">
        <w:rPr>
          <w:b/>
          <w:sz w:val="20"/>
        </w:rPr>
        <w:t xml:space="preserve"> and H.</w:t>
      </w:r>
      <w:r>
        <w:rPr>
          <w:b/>
          <w:sz w:val="20"/>
        </w:rPr>
        <w:t>6</w:t>
      </w:r>
      <w:r>
        <w:rPr>
          <w:sz w:val="20"/>
        </w:rPr>
        <w:t xml:space="preserve"> below illustrate these factors at work and support the following findings: </w:t>
      </w:r>
    </w:p>
    <w:p w:rsidR="00C96A4B" w:rsidRDefault="00C96A4B" w:rsidP="00C96A4B">
      <w:pPr>
        <w:numPr>
          <w:ilvl w:val="0"/>
          <w:numId w:val="70"/>
        </w:numPr>
        <w:spacing w:before="60"/>
        <w:jc w:val="both"/>
        <w:rPr>
          <w:sz w:val="20"/>
        </w:rPr>
      </w:pPr>
      <w:r>
        <w:rPr>
          <w:sz w:val="20"/>
        </w:rPr>
        <w:t>child poverty rates in workless households are consistently several times higher than those for children in working households (three to four times higher in 1992 to 2004, six to seven times higher from 2007 to 2011 after WFF)</w:t>
      </w:r>
    </w:p>
    <w:p w:rsidR="00C96A4B" w:rsidRDefault="00C96A4B" w:rsidP="00C96A4B">
      <w:pPr>
        <w:numPr>
          <w:ilvl w:val="0"/>
          <w:numId w:val="70"/>
        </w:numPr>
        <w:spacing w:before="60"/>
        <w:jc w:val="both"/>
        <w:rPr>
          <w:sz w:val="20"/>
        </w:rPr>
      </w:pPr>
      <w:r>
        <w:rPr>
          <w:sz w:val="20"/>
        </w:rPr>
        <w:t xml:space="preserve">child poverty rates in workless households were very high from 1992 to 2001 (after the benefit cuts), typically just under 80% using the </w:t>
      </w:r>
      <w:smartTag w:uri="urn:schemas-microsoft-com:office:smarttags" w:element="stockticker">
        <w:r>
          <w:rPr>
            <w:sz w:val="20"/>
          </w:rPr>
          <w:t>AHC</w:t>
        </w:r>
      </w:smartTag>
      <w:r>
        <w:rPr>
          <w:sz w:val="20"/>
        </w:rPr>
        <w:t xml:space="preserve"> 60% fixed line measure (CV-98)</w:t>
      </w:r>
    </w:p>
    <w:p w:rsidR="00C96A4B" w:rsidRDefault="00C96A4B" w:rsidP="00C96A4B">
      <w:pPr>
        <w:numPr>
          <w:ilvl w:val="0"/>
          <w:numId w:val="70"/>
        </w:numPr>
        <w:spacing w:before="60"/>
        <w:jc w:val="both"/>
        <w:rPr>
          <w:sz w:val="20"/>
        </w:rPr>
      </w:pPr>
      <w:r>
        <w:rPr>
          <w:sz w:val="20"/>
        </w:rPr>
        <w:t>the introduction of income-related rents contributed to the reduction in the child poverty rate from 2001 (78%) to 2004 (60%) for children in workless households</w:t>
      </w:r>
    </w:p>
    <w:p w:rsidR="00C96A4B" w:rsidRDefault="00C96A4B" w:rsidP="00C96A4B">
      <w:pPr>
        <w:numPr>
          <w:ilvl w:val="0"/>
          <w:numId w:val="70"/>
        </w:numPr>
        <w:spacing w:before="60"/>
        <w:jc w:val="both"/>
        <w:rPr>
          <w:sz w:val="20"/>
        </w:rPr>
      </w:pPr>
      <w:r>
        <w:rPr>
          <w:sz w:val="20"/>
        </w:rPr>
        <w:t xml:space="preserve">WFF had little impact on the poverty rates for children in workless households </w:t>
      </w:r>
    </w:p>
    <w:p w:rsidR="00C96A4B" w:rsidRDefault="00C96A4B" w:rsidP="00C96A4B">
      <w:pPr>
        <w:numPr>
          <w:ilvl w:val="0"/>
          <w:numId w:val="70"/>
        </w:numPr>
        <w:spacing w:before="60"/>
        <w:jc w:val="both"/>
        <w:rPr>
          <w:sz w:val="20"/>
        </w:rPr>
      </w:pPr>
      <w:r>
        <w:rPr>
          <w:sz w:val="20"/>
        </w:rPr>
        <w:t>the significant drop in poverty rate for children in workless households from the 2009 to the 2010 HES is likely to reflect the fact that many of the ‘new’ beneficiaries came from employment, and although identified as ‘workless’ at the time of interview still had sufficient income in the 12 months prior to interview to keep the household above the poverty line</w:t>
      </w:r>
    </w:p>
    <w:p w:rsidR="00C96A4B" w:rsidRDefault="00C96A4B" w:rsidP="00C96A4B">
      <w:pPr>
        <w:numPr>
          <w:ilvl w:val="0"/>
          <w:numId w:val="70"/>
        </w:numPr>
        <w:spacing w:before="60"/>
        <w:jc w:val="both"/>
        <w:rPr>
          <w:sz w:val="20"/>
        </w:rPr>
      </w:pPr>
      <w:r>
        <w:rPr>
          <w:sz w:val="20"/>
        </w:rPr>
        <w:t>for children in ‘working’ households (self-employed or at least one FT worker) the child poverty rate from 1992 to 2004 was reasonably steady at around 18-20%</w:t>
      </w:r>
    </w:p>
    <w:p w:rsidR="00C96A4B" w:rsidRDefault="00C96A4B" w:rsidP="00C96A4B">
      <w:pPr>
        <w:numPr>
          <w:ilvl w:val="0"/>
          <w:numId w:val="70"/>
        </w:numPr>
        <w:spacing w:before="60"/>
        <w:jc w:val="both"/>
        <w:rPr>
          <w:sz w:val="20"/>
        </w:rPr>
      </w:pPr>
      <w:r>
        <w:rPr>
          <w:sz w:val="20"/>
        </w:rPr>
        <w:t xml:space="preserve">the WFF impact was significant for this group, with the rate in 2007 (11%) half what it was in 2004 (22%) </w:t>
      </w:r>
    </w:p>
    <w:p w:rsidR="00C96A4B" w:rsidRDefault="00C96A4B" w:rsidP="00C96A4B">
      <w:pPr>
        <w:numPr>
          <w:ilvl w:val="0"/>
          <w:numId w:val="70"/>
        </w:numPr>
        <w:spacing w:before="60"/>
        <w:jc w:val="both"/>
        <w:rPr>
          <w:sz w:val="20"/>
        </w:rPr>
      </w:pPr>
      <w:r>
        <w:rPr>
          <w:sz w:val="20"/>
        </w:rPr>
        <w:t>nevertheless, on average from 2007 to 2011, around two in five</w:t>
      </w:r>
      <w:r w:rsidR="00187A13">
        <w:rPr>
          <w:sz w:val="20"/>
        </w:rPr>
        <w:t xml:space="preserve"> (40%)</w:t>
      </w:r>
      <w:r>
        <w:rPr>
          <w:sz w:val="20"/>
        </w:rPr>
        <w:t xml:space="preserve"> poor children still came from working families – down from just over one in two</w:t>
      </w:r>
      <w:r w:rsidR="00187A13">
        <w:rPr>
          <w:sz w:val="20"/>
        </w:rPr>
        <w:t xml:space="preserve"> (52%)</w:t>
      </w:r>
      <w:r>
        <w:rPr>
          <w:sz w:val="20"/>
        </w:rPr>
        <w:t xml:space="preserve"> in 2004 before WFF.</w:t>
      </w:r>
    </w:p>
    <w:p w:rsidR="00C96A4B" w:rsidRDefault="00C96A4B" w:rsidP="00C96A4B">
      <w:pPr>
        <w:jc w:val="both"/>
        <w:rPr>
          <w:b/>
          <w:sz w:val="20"/>
        </w:rPr>
      </w:pPr>
    </w:p>
    <w:p w:rsidR="00C96A4B" w:rsidRDefault="00C96A4B" w:rsidP="00C96A4B">
      <w:pPr>
        <w:jc w:val="both"/>
        <w:rPr>
          <w:sz w:val="20"/>
        </w:rPr>
      </w:pPr>
      <w:r>
        <w:rPr>
          <w:b/>
          <w:sz w:val="20"/>
        </w:rPr>
        <w:t xml:space="preserve">Figure H.4 </w:t>
      </w:r>
      <w:r w:rsidRPr="00E50CBF">
        <w:rPr>
          <w:sz w:val="20"/>
        </w:rPr>
        <w:t xml:space="preserve">shows </w:t>
      </w:r>
      <w:r>
        <w:rPr>
          <w:sz w:val="20"/>
        </w:rPr>
        <w:t xml:space="preserve">the </w:t>
      </w:r>
      <w:r w:rsidRPr="005C0075">
        <w:rPr>
          <w:sz w:val="20"/>
        </w:rPr>
        <w:t>poverty rates for children in workless</w:t>
      </w:r>
      <w:r>
        <w:rPr>
          <w:sz w:val="20"/>
        </w:rPr>
        <w:t xml:space="preserve"> and working</w:t>
      </w:r>
      <w:r w:rsidRPr="005C0075">
        <w:rPr>
          <w:sz w:val="20"/>
        </w:rPr>
        <w:t xml:space="preserve"> households</w:t>
      </w:r>
      <w:r>
        <w:rPr>
          <w:sz w:val="20"/>
        </w:rPr>
        <w:t xml:space="preserve">.  A working household is one where at </w:t>
      </w:r>
      <w:r w:rsidRPr="005C0075">
        <w:rPr>
          <w:sz w:val="20"/>
        </w:rPr>
        <w:t xml:space="preserve">least one adult </w:t>
      </w:r>
      <w:r>
        <w:rPr>
          <w:sz w:val="20"/>
        </w:rPr>
        <w:t xml:space="preserve">is </w:t>
      </w:r>
      <w:r w:rsidRPr="005C0075">
        <w:rPr>
          <w:sz w:val="20"/>
        </w:rPr>
        <w:t>in FT employment</w:t>
      </w:r>
      <w:r>
        <w:rPr>
          <w:sz w:val="20"/>
        </w:rPr>
        <w:t>, or where the main source of income for the previous 12 months is from self-employment (cf Table H.3 above).</w:t>
      </w:r>
    </w:p>
    <w:p w:rsidR="00C96A4B" w:rsidRDefault="00C96A4B" w:rsidP="00C96A4B">
      <w:pPr>
        <w:rPr>
          <w:sz w:val="20"/>
        </w:rPr>
      </w:pPr>
    </w:p>
    <w:p w:rsidR="00C96A4B" w:rsidRPr="009D129E" w:rsidRDefault="00C96A4B" w:rsidP="00C96A4B">
      <w:pPr>
        <w:pStyle w:val="Heading3"/>
        <w:jc w:val="center"/>
        <w:rPr>
          <w:sz w:val="18"/>
          <w:szCs w:val="20"/>
        </w:rPr>
      </w:pPr>
      <w:r w:rsidRPr="009D129E">
        <w:rPr>
          <w:sz w:val="18"/>
          <w:szCs w:val="20"/>
        </w:rPr>
        <w:t>Figure H.</w:t>
      </w:r>
      <w:r>
        <w:rPr>
          <w:sz w:val="18"/>
          <w:szCs w:val="20"/>
        </w:rPr>
        <w:t>4</w:t>
      </w:r>
    </w:p>
    <w:p w:rsidR="00C96A4B" w:rsidRPr="009D129E" w:rsidRDefault="00C96A4B" w:rsidP="00C96A4B">
      <w:pPr>
        <w:jc w:val="center"/>
        <w:rPr>
          <w:b/>
          <w:sz w:val="18"/>
        </w:rPr>
      </w:pPr>
      <w:r>
        <w:rPr>
          <w:b/>
          <w:sz w:val="18"/>
        </w:rPr>
        <w:t>Poverty rates for children in ‘workless’ and ‘working’ households (</w:t>
      </w:r>
      <w:smartTag w:uri="urn:schemas-microsoft-com:office:smarttags" w:element="stockticker">
        <w:r>
          <w:rPr>
            <w:b/>
            <w:sz w:val="18"/>
          </w:rPr>
          <w:t>AHC</w:t>
        </w:r>
      </w:smartTag>
      <w:r>
        <w:rPr>
          <w:b/>
          <w:sz w:val="18"/>
        </w:rPr>
        <w:t xml:space="preserve"> 60%, fixed line)</w:t>
      </w:r>
    </w:p>
    <w:p w:rsidR="00C96A4B" w:rsidRPr="00CC7A59" w:rsidRDefault="00EC0BE0" w:rsidP="00C96A4B">
      <w:pPr>
        <w:jc w:val="center"/>
      </w:pPr>
      <w:r>
        <w:rPr>
          <w:noProof/>
          <w:lang w:val="en-US"/>
        </w:rPr>
        <w:drawing>
          <wp:inline distT="0" distB="0" distL="0" distR="0">
            <wp:extent cx="3267075" cy="2009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srcRect/>
                    <a:stretch>
                      <a:fillRect/>
                    </a:stretch>
                  </pic:blipFill>
                  <pic:spPr bwMode="auto">
                    <a:xfrm>
                      <a:off x="0" y="0"/>
                      <a:ext cx="3267075" cy="2009775"/>
                    </a:xfrm>
                    <a:prstGeom prst="rect">
                      <a:avLst/>
                    </a:prstGeom>
                    <a:noFill/>
                    <a:ln w="9525">
                      <a:noFill/>
                      <a:miter lim="800000"/>
                      <a:headEnd/>
                      <a:tailEnd/>
                    </a:ln>
                  </pic:spPr>
                </pic:pic>
              </a:graphicData>
            </a:graphic>
          </wp:inline>
        </w:drawing>
      </w:r>
    </w:p>
    <w:p w:rsidR="00C96A4B" w:rsidRPr="003060E9" w:rsidRDefault="00C96A4B" w:rsidP="00C96A4B">
      <w:pPr>
        <w:ind w:left="1530"/>
        <w:rPr>
          <w:sz w:val="16"/>
          <w:szCs w:val="16"/>
        </w:rPr>
      </w:pPr>
      <w:r w:rsidRPr="003060E9">
        <w:rPr>
          <w:sz w:val="16"/>
          <w:szCs w:val="16"/>
        </w:rPr>
        <w:t xml:space="preserve">Note:  </w:t>
      </w:r>
      <w:r>
        <w:rPr>
          <w:sz w:val="16"/>
          <w:szCs w:val="16"/>
        </w:rPr>
        <w:t>The discontinuity at 2007 arises because of the change of reference year from 1998 to 2007.  The 2004 to 2007 changes are shown using both reference years.</w:t>
      </w:r>
    </w:p>
    <w:p w:rsidR="00C96A4B" w:rsidRDefault="00C96A4B" w:rsidP="00C96A4B">
      <w:pPr>
        <w:jc w:val="both"/>
        <w:rPr>
          <w:sz w:val="20"/>
        </w:rPr>
      </w:pPr>
      <w:r w:rsidRPr="00E50CBF">
        <w:rPr>
          <w:b/>
          <w:sz w:val="20"/>
        </w:rPr>
        <w:lastRenderedPageBreak/>
        <w:t>Figure H.</w:t>
      </w:r>
      <w:r>
        <w:rPr>
          <w:b/>
          <w:sz w:val="20"/>
        </w:rPr>
        <w:t>5</w:t>
      </w:r>
      <w:r>
        <w:rPr>
          <w:sz w:val="20"/>
        </w:rPr>
        <w:t xml:space="preserve"> shows </w:t>
      </w:r>
      <w:r w:rsidRPr="00CC1D9B">
        <w:rPr>
          <w:sz w:val="20"/>
          <w:u w:val="single"/>
        </w:rPr>
        <w:t>the proportion of poor children who live in workless households</w:t>
      </w:r>
      <w:r>
        <w:rPr>
          <w:sz w:val="20"/>
        </w:rPr>
        <w:t>.  As there are fewer children in workless households than in working households the proportion of all poor children who come from workless households is much lower than their poverty rate in any given year.  In addition, this proportion is also affected by policy changes and changes in the economy and labour market, as indicated in the text boxes in Figure H.5.</w:t>
      </w:r>
    </w:p>
    <w:p w:rsidR="00C96A4B" w:rsidRDefault="00C96A4B" w:rsidP="00C96A4B">
      <w:pPr>
        <w:jc w:val="both"/>
        <w:rPr>
          <w:sz w:val="20"/>
        </w:rPr>
      </w:pPr>
    </w:p>
    <w:p w:rsidR="00C96A4B" w:rsidRDefault="00C96A4B" w:rsidP="00C96A4B">
      <w:pPr>
        <w:jc w:val="both"/>
        <w:rPr>
          <w:b/>
          <w:sz w:val="20"/>
        </w:rPr>
      </w:pPr>
      <w:r>
        <w:rPr>
          <w:sz w:val="20"/>
        </w:rPr>
        <w:t>In 1992, after the benefit cuts in 1991, the proportion of poor children who came from workless households peaked at 56%.  The improving labour market and growing economy then helped to reduce that proportion to 37% by 2004.  The WFF package gave greater financial assistance to working families than to (those who remained as) beneficiary families.  This was reflected in the decrease in child poverty rates for those in working families.  The consequence was a rise to 52% in 2007 in the proportion of poor children who come from workless families.  Using the updated reference year (2007), that proportion was 45% in 2010.</w:t>
      </w:r>
    </w:p>
    <w:p w:rsidR="00C96A4B" w:rsidRDefault="00C96A4B" w:rsidP="00C96A4B">
      <w:pPr>
        <w:rPr>
          <w:b/>
          <w:sz w:val="20"/>
        </w:rPr>
      </w:pPr>
    </w:p>
    <w:p w:rsidR="00C96A4B" w:rsidRPr="009D129E" w:rsidRDefault="00C96A4B" w:rsidP="00C96A4B">
      <w:pPr>
        <w:pStyle w:val="Heading3"/>
        <w:jc w:val="center"/>
        <w:rPr>
          <w:sz w:val="18"/>
          <w:szCs w:val="20"/>
        </w:rPr>
      </w:pPr>
      <w:r w:rsidRPr="009D129E">
        <w:rPr>
          <w:sz w:val="18"/>
          <w:szCs w:val="20"/>
        </w:rPr>
        <w:t>Figure H.</w:t>
      </w:r>
      <w:r>
        <w:rPr>
          <w:sz w:val="18"/>
          <w:szCs w:val="20"/>
        </w:rPr>
        <w:t>5</w:t>
      </w:r>
    </w:p>
    <w:p w:rsidR="00C96A4B" w:rsidRDefault="00C96A4B" w:rsidP="00C96A4B">
      <w:pPr>
        <w:jc w:val="center"/>
        <w:rPr>
          <w:b/>
          <w:sz w:val="20"/>
        </w:rPr>
      </w:pPr>
      <w:r w:rsidRPr="009D129E">
        <w:rPr>
          <w:b/>
          <w:sz w:val="18"/>
        </w:rPr>
        <w:t xml:space="preserve">Proportion of </w:t>
      </w:r>
      <w:r>
        <w:rPr>
          <w:b/>
          <w:sz w:val="18"/>
        </w:rPr>
        <w:t xml:space="preserve">poor </w:t>
      </w:r>
      <w:r w:rsidRPr="009D129E">
        <w:rPr>
          <w:b/>
          <w:sz w:val="18"/>
        </w:rPr>
        <w:t>children</w:t>
      </w:r>
      <w:r>
        <w:rPr>
          <w:b/>
          <w:sz w:val="18"/>
        </w:rPr>
        <w:t xml:space="preserve"> who live in ‘workless’ households</w:t>
      </w:r>
      <w:r w:rsidRPr="009D129E">
        <w:rPr>
          <w:b/>
          <w:sz w:val="18"/>
        </w:rPr>
        <w:t xml:space="preserve"> (</w:t>
      </w:r>
      <w:smartTag w:uri="urn:schemas-microsoft-com:office:smarttags" w:element="stockticker">
        <w:r w:rsidRPr="009D129E">
          <w:rPr>
            <w:b/>
            <w:sz w:val="18"/>
          </w:rPr>
          <w:t>AHC</w:t>
        </w:r>
      </w:smartTag>
      <w:r>
        <w:rPr>
          <w:b/>
          <w:sz w:val="18"/>
        </w:rPr>
        <w:t xml:space="preserve"> 60%, fixed line</w:t>
      </w:r>
      <w:r w:rsidRPr="009D129E">
        <w:rPr>
          <w:b/>
          <w:sz w:val="18"/>
        </w:rPr>
        <w:t>)</w:t>
      </w:r>
    </w:p>
    <w:p w:rsidR="00C96A4B" w:rsidRPr="00CC7A59" w:rsidRDefault="00EC0BE0" w:rsidP="00C96A4B">
      <w:pPr>
        <w:jc w:val="center"/>
        <w:rPr>
          <w:b/>
          <w:sz w:val="20"/>
        </w:rPr>
      </w:pPr>
      <w:r>
        <w:rPr>
          <w:noProof/>
          <w:lang w:val="en-US"/>
        </w:rPr>
        <w:drawing>
          <wp:inline distT="0" distB="0" distL="0" distR="0">
            <wp:extent cx="3848100" cy="23717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srcRect/>
                    <a:stretch>
                      <a:fillRect/>
                    </a:stretch>
                  </pic:blipFill>
                  <pic:spPr bwMode="auto">
                    <a:xfrm>
                      <a:off x="0" y="0"/>
                      <a:ext cx="3848100" cy="2371725"/>
                    </a:xfrm>
                    <a:prstGeom prst="rect">
                      <a:avLst/>
                    </a:prstGeom>
                    <a:noFill/>
                    <a:ln w="9525">
                      <a:noFill/>
                      <a:miter lim="800000"/>
                      <a:headEnd/>
                      <a:tailEnd/>
                    </a:ln>
                  </pic:spPr>
                </pic:pic>
              </a:graphicData>
            </a:graphic>
          </wp:inline>
        </w:drawing>
      </w:r>
    </w:p>
    <w:p w:rsidR="00C96A4B" w:rsidRDefault="00C96A4B" w:rsidP="00C96A4B">
      <w:pPr>
        <w:rPr>
          <w:b/>
          <w:sz w:val="20"/>
        </w:rPr>
      </w:pPr>
    </w:p>
    <w:p w:rsidR="00C96A4B" w:rsidRDefault="00C96A4B" w:rsidP="00C96A4B">
      <w:pPr>
        <w:jc w:val="both"/>
        <w:rPr>
          <w:sz w:val="20"/>
        </w:rPr>
      </w:pPr>
      <w:r>
        <w:rPr>
          <w:b/>
          <w:sz w:val="20"/>
        </w:rPr>
        <w:t xml:space="preserve">Figure H.6 </w:t>
      </w:r>
      <w:r w:rsidRPr="00ED13A8">
        <w:rPr>
          <w:sz w:val="20"/>
        </w:rPr>
        <w:t>looks at the composition of children identified as poor from the other perspective – what proportion of poor children come from working households?</w:t>
      </w:r>
      <w:r>
        <w:rPr>
          <w:sz w:val="20"/>
        </w:rPr>
        <w:t xml:space="preserve">  The trend is overall a mirror image of the one on Figure H.5.  The secondary (broken) line omits self-employed households.</w:t>
      </w:r>
    </w:p>
    <w:p w:rsidR="00C96A4B" w:rsidRDefault="00C96A4B" w:rsidP="00C96A4B">
      <w:pPr>
        <w:jc w:val="both"/>
        <w:rPr>
          <w:sz w:val="20"/>
        </w:rPr>
      </w:pPr>
    </w:p>
    <w:p w:rsidR="00C96A4B" w:rsidRDefault="00C96A4B" w:rsidP="00C96A4B">
      <w:pPr>
        <w:jc w:val="both"/>
        <w:rPr>
          <w:sz w:val="20"/>
        </w:rPr>
      </w:pPr>
      <w:r>
        <w:rPr>
          <w:sz w:val="20"/>
        </w:rPr>
        <w:t>The WFF package reduced the proportion of poor children coming from working families from just over one in two</w:t>
      </w:r>
      <w:r w:rsidR="00187A13">
        <w:rPr>
          <w:sz w:val="20"/>
        </w:rPr>
        <w:t xml:space="preserve"> (52%)</w:t>
      </w:r>
      <w:r>
        <w:rPr>
          <w:sz w:val="20"/>
        </w:rPr>
        <w:t xml:space="preserve"> in 2004 to around two in five</w:t>
      </w:r>
      <w:r w:rsidR="00187A13">
        <w:rPr>
          <w:sz w:val="20"/>
        </w:rPr>
        <w:t xml:space="preserve"> (40%)</w:t>
      </w:r>
      <w:r>
        <w:rPr>
          <w:sz w:val="20"/>
        </w:rPr>
        <w:t xml:space="preserve"> on average from 2007 to 2011.</w:t>
      </w:r>
    </w:p>
    <w:p w:rsidR="00C96A4B" w:rsidRDefault="00C96A4B" w:rsidP="00C96A4B">
      <w:pPr>
        <w:pStyle w:val="Heading3"/>
        <w:jc w:val="center"/>
        <w:rPr>
          <w:sz w:val="18"/>
          <w:szCs w:val="20"/>
        </w:rPr>
      </w:pPr>
    </w:p>
    <w:p w:rsidR="00C96A4B" w:rsidRPr="009D129E" w:rsidRDefault="00C96A4B" w:rsidP="00C96A4B">
      <w:pPr>
        <w:pStyle w:val="Heading3"/>
        <w:jc w:val="center"/>
        <w:rPr>
          <w:sz w:val="18"/>
          <w:szCs w:val="20"/>
        </w:rPr>
      </w:pPr>
      <w:r w:rsidRPr="009D129E">
        <w:rPr>
          <w:sz w:val="18"/>
          <w:szCs w:val="20"/>
        </w:rPr>
        <w:t>Figure H.</w:t>
      </w:r>
      <w:r>
        <w:rPr>
          <w:sz w:val="18"/>
          <w:szCs w:val="20"/>
        </w:rPr>
        <w:t>6</w:t>
      </w:r>
    </w:p>
    <w:p w:rsidR="00C96A4B" w:rsidRDefault="00C96A4B" w:rsidP="00C96A4B">
      <w:pPr>
        <w:jc w:val="center"/>
        <w:rPr>
          <w:b/>
          <w:sz w:val="20"/>
        </w:rPr>
      </w:pPr>
      <w:r w:rsidRPr="009D129E">
        <w:rPr>
          <w:b/>
          <w:sz w:val="18"/>
        </w:rPr>
        <w:t xml:space="preserve">Proportion of </w:t>
      </w:r>
      <w:r>
        <w:rPr>
          <w:b/>
          <w:sz w:val="18"/>
        </w:rPr>
        <w:t xml:space="preserve">poor </w:t>
      </w:r>
      <w:r w:rsidRPr="009D129E">
        <w:rPr>
          <w:b/>
          <w:sz w:val="18"/>
        </w:rPr>
        <w:t>children</w:t>
      </w:r>
      <w:r>
        <w:rPr>
          <w:b/>
          <w:sz w:val="18"/>
        </w:rPr>
        <w:t xml:space="preserve"> who live in ‘working’ households</w:t>
      </w:r>
      <w:r w:rsidRPr="009D129E">
        <w:rPr>
          <w:b/>
          <w:sz w:val="18"/>
        </w:rPr>
        <w:t xml:space="preserve"> (</w:t>
      </w:r>
      <w:smartTag w:uri="urn:schemas-microsoft-com:office:smarttags" w:element="stockticker">
        <w:r w:rsidRPr="009D129E">
          <w:rPr>
            <w:b/>
            <w:sz w:val="18"/>
          </w:rPr>
          <w:t>AHC</w:t>
        </w:r>
      </w:smartTag>
      <w:r>
        <w:rPr>
          <w:b/>
          <w:sz w:val="18"/>
        </w:rPr>
        <w:t xml:space="preserve"> 60%, fixed line</w:t>
      </w:r>
      <w:r w:rsidRPr="009D129E">
        <w:rPr>
          <w:b/>
          <w:sz w:val="18"/>
        </w:rPr>
        <w:t>)</w:t>
      </w:r>
    </w:p>
    <w:p w:rsidR="00C96A4B" w:rsidRPr="00CC7A59" w:rsidRDefault="00EC0BE0" w:rsidP="00C96A4B">
      <w:pPr>
        <w:jc w:val="center"/>
        <w:rPr>
          <w:b/>
          <w:sz w:val="20"/>
        </w:rPr>
      </w:pPr>
      <w:r>
        <w:rPr>
          <w:noProof/>
          <w:lang w:val="en-US"/>
        </w:rPr>
        <w:drawing>
          <wp:inline distT="0" distB="0" distL="0" distR="0">
            <wp:extent cx="3933825" cy="2428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srcRect/>
                    <a:stretch>
                      <a:fillRect/>
                    </a:stretch>
                  </pic:blipFill>
                  <pic:spPr bwMode="auto">
                    <a:xfrm>
                      <a:off x="0" y="0"/>
                      <a:ext cx="3933825" cy="2428875"/>
                    </a:xfrm>
                    <a:prstGeom prst="rect">
                      <a:avLst/>
                    </a:prstGeom>
                    <a:noFill/>
                    <a:ln w="9525">
                      <a:noFill/>
                      <a:miter lim="800000"/>
                      <a:headEnd/>
                      <a:tailEnd/>
                    </a:ln>
                  </pic:spPr>
                </pic:pic>
              </a:graphicData>
            </a:graphic>
          </wp:inline>
        </w:drawing>
      </w:r>
    </w:p>
    <w:p w:rsidR="00C96A4B" w:rsidRDefault="00C96A4B" w:rsidP="00C96A4B">
      <w:pPr>
        <w:spacing w:after="120"/>
        <w:ind w:left="274"/>
        <w:jc w:val="both"/>
        <w:rPr>
          <w:b/>
          <w:sz w:val="20"/>
        </w:rPr>
        <w:sectPr w:rsidR="00C96A4B" w:rsidSect="00672442">
          <w:headerReference w:type="default" r:id="rId96"/>
          <w:pgSz w:w="11909" w:h="16834" w:code="9"/>
          <w:pgMar w:top="1440" w:right="1584" w:bottom="1440" w:left="1584" w:header="706" w:footer="706" w:gutter="0"/>
          <w:cols w:space="720"/>
        </w:sectPr>
      </w:pPr>
    </w:p>
    <w:p w:rsidR="00C96A4B" w:rsidRPr="00434850" w:rsidRDefault="00C96A4B" w:rsidP="00C96A4B">
      <w:pPr>
        <w:ind w:left="274"/>
        <w:jc w:val="center"/>
        <w:rPr>
          <w:b/>
          <w:sz w:val="32"/>
          <w:szCs w:val="32"/>
        </w:rPr>
      </w:pPr>
      <w:r w:rsidRPr="00434850">
        <w:rPr>
          <w:b/>
          <w:sz w:val="32"/>
          <w:szCs w:val="32"/>
        </w:rPr>
        <w:lastRenderedPageBreak/>
        <w:t>Section I</w:t>
      </w:r>
    </w:p>
    <w:p w:rsidR="00C96A4B" w:rsidRPr="001F6116" w:rsidRDefault="00C96A4B" w:rsidP="00C96A4B">
      <w:pPr>
        <w:jc w:val="center"/>
        <w:rPr>
          <w:b/>
          <w:sz w:val="32"/>
          <w:szCs w:val="32"/>
        </w:rPr>
      </w:pPr>
      <w:r>
        <w:rPr>
          <w:b/>
          <w:sz w:val="32"/>
          <w:szCs w:val="32"/>
        </w:rPr>
        <w:t>Income trends for older New Zealanders, 1982 to 2011</w:t>
      </w:r>
    </w:p>
    <w:p w:rsidR="00C96A4B" w:rsidRDefault="00C96A4B" w:rsidP="00C96A4B">
      <w:pPr>
        <w:pStyle w:val="Heading3"/>
        <w:jc w:val="both"/>
        <w:rPr>
          <w:szCs w:val="22"/>
        </w:rPr>
      </w:pPr>
    </w:p>
    <w:p w:rsidR="00C96A4B" w:rsidRDefault="00C96A4B" w:rsidP="00C96A4B">
      <w:pPr>
        <w:pStyle w:val="Heading1"/>
        <w:jc w:val="both"/>
        <w:rPr>
          <w:b w:val="0"/>
          <w:sz w:val="20"/>
          <w:szCs w:val="22"/>
        </w:rPr>
      </w:pPr>
    </w:p>
    <w:p w:rsidR="00C96A4B" w:rsidRPr="00E020C2" w:rsidRDefault="00C96A4B" w:rsidP="00C96A4B">
      <w:pPr>
        <w:jc w:val="both"/>
        <w:rPr>
          <w:rFonts w:cs="Arial"/>
          <w:sz w:val="20"/>
          <w:szCs w:val="22"/>
          <w:lang w:val="en-NZ"/>
        </w:rPr>
      </w:pPr>
      <w:r w:rsidRPr="00E020C2">
        <w:rPr>
          <w:rFonts w:cs="Arial"/>
          <w:sz w:val="20"/>
          <w:szCs w:val="22"/>
          <w:lang w:val="en-NZ"/>
        </w:rPr>
        <w:t>This section:</w:t>
      </w:r>
    </w:p>
    <w:p w:rsidR="00C96A4B" w:rsidRDefault="00C96A4B" w:rsidP="00C96A4B">
      <w:pPr>
        <w:numPr>
          <w:ilvl w:val="0"/>
          <w:numId w:val="50"/>
        </w:numPr>
        <w:spacing w:before="120"/>
        <w:jc w:val="both"/>
        <w:rPr>
          <w:sz w:val="20"/>
          <w:lang w:val="en-NZ"/>
        </w:rPr>
      </w:pPr>
      <w:r>
        <w:rPr>
          <w:sz w:val="20"/>
          <w:lang w:val="en-NZ"/>
        </w:rPr>
        <w:t xml:space="preserve">describes the distribution of incomes for older New Zealanders relative to the rest of the population, noting the ‘pensioner spike’ in the </w:t>
      </w:r>
      <w:smartTag w:uri="urn:schemas-microsoft-com:office:smarttags" w:element="stockticker">
        <w:r>
          <w:rPr>
            <w:sz w:val="20"/>
            <w:lang w:val="en-NZ"/>
          </w:rPr>
          <w:t>BHC</w:t>
        </w:r>
      </w:smartTag>
      <w:r>
        <w:rPr>
          <w:sz w:val="20"/>
          <w:lang w:val="en-NZ"/>
        </w:rPr>
        <w:t xml:space="preserve"> income distribution</w:t>
      </w:r>
    </w:p>
    <w:p w:rsidR="00C96A4B" w:rsidRPr="00E020C2" w:rsidRDefault="00C96A4B" w:rsidP="00C96A4B">
      <w:pPr>
        <w:numPr>
          <w:ilvl w:val="0"/>
          <w:numId w:val="50"/>
        </w:numPr>
        <w:spacing w:before="120"/>
        <w:jc w:val="both"/>
        <w:rPr>
          <w:sz w:val="20"/>
          <w:lang w:val="en-NZ"/>
        </w:rPr>
      </w:pPr>
      <w:r>
        <w:rPr>
          <w:sz w:val="20"/>
          <w:lang w:val="en-NZ"/>
        </w:rPr>
        <w:t xml:space="preserve">notes </w:t>
      </w:r>
      <w:r w:rsidRPr="00E020C2">
        <w:rPr>
          <w:sz w:val="20"/>
          <w:lang w:val="en-NZ"/>
        </w:rPr>
        <w:t xml:space="preserve">the </w:t>
      </w:r>
      <w:r>
        <w:rPr>
          <w:sz w:val="20"/>
          <w:lang w:val="en-NZ"/>
        </w:rPr>
        <w:t>significant</w:t>
      </w:r>
      <w:r w:rsidRPr="00E020C2">
        <w:rPr>
          <w:sz w:val="20"/>
          <w:lang w:val="en-NZ"/>
        </w:rPr>
        <w:t xml:space="preserve"> sensitivity of reported poverty rates to the choice of </w:t>
      </w:r>
      <w:smartTag w:uri="urn:schemas-microsoft-com:office:smarttags" w:element="stockticker">
        <w:r w:rsidRPr="00E020C2">
          <w:rPr>
            <w:sz w:val="20"/>
            <w:lang w:val="en-NZ"/>
          </w:rPr>
          <w:t>BHC</w:t>
        </w:r>
      </w:smartTag>
      <w:r w:rsidRPr="00E020C2">
        <w:rPr>
          <w:sz w:val="20"/>
          <w:lang w:val="en-NZ"/>
        </w:rPr>
        <w:t xml:space="preserve"> poverty line for older New Zealanders</w:t>
      </w:r>
      <w:r>
        <w:rPr>
          <w:sz w:val="20"/>
          <w:lang w:val="en-NZ"/>
        </w:rPr>
        <w:t xml:space="preserve"> (because of the ‘pensioner spike’)</w:t>
      </w:r>
      <w:r w:rsidRPr="00E020C2">
        <w:rPr>
          <w:sz w:val="20"/>
          <w:lang w:val="en-NZ"/>
        </w:rPr>
        <w:t xml:space="preserve">, and </w:t>
      </w:r>
      <w:r>
        <w:rPr>
          <w:sz w:val="20"/>
          <w:lang w:val="en-NZ"/>
        </w:rPr>
        <w:t xml:space="preserve">outlines </w:t>
      </w:r>
      <w:r w:rsidRPr="00E020C2">
        <w:rPr>
          <w:sz w:val="20"/>
          <w:lang w:val="en-NZ"/>
        </w:rPr>
        <w:t xml:space="preserve">what can be done about this to ensure that trends </w:t>
      </w:r>
      <w:r>
        <w:rPr>
          <w:sz w:val="20"/>
          <w:lang w:val="en-NZ"/>
        </w:rPr>
        <w:t xml:space="preserve">in </w:t>
      </w:r>
      <w:r w:rsidRPr="00E020C2">
        <w:rPr>
          <w:sz w:val="20"/>
          <w:lang w:val="en-NZ"/>
        </w:rPr>
        <w:t>reported poverty rates more realistically reflect changes in the relative material wellbeing of older New Zealanders</w:t>
      </w:r>
    </w:p>
    <w:p w:rsidR="00C96A4B" w:rsidRPr="00E020C2" w:rsidRDefault="00C96A4B" w:rsidP="00C96A4B">
      <w:pPr>
        <w:numPr>
          <w:ilvl w:val="0"/>
          <w:numId w:val="50"/>
        </w:numPr>
        <w:spacing w:before="120"/>
        <w:jc w:val="both"/>
        <w:rPr>
          <w:sz w:val="20"/>
          <w:lang w:val="en-NZ"/>
        </w:rPr>
      </w:pPr>
      <w:r>
        <w:rPr>
          <w:sz w:val="20"/>
          <w:lang w:val="en-NZ"/>
        </w:rPr>
        <w:t xml:space="preserve">compares </w:t>
      </w:r>
      <w:r w:rsidRPr="00E020C2">
        <w:rPr>
          <w:sz w:val="20"/>
          <w:lang w:val="en-NZ"/>
        </w:rPr>
        <w:t>the value of NZS to average wages and median household incomes</w:t>
      </w:r>
    </w:p>
    <w:p w:rsidR="00C96A4B" w:rsidRPr="00E020C2" w:rsidRDefault="00C96A4B" w:rsidP="00C96A4B">
      <w:pPr>
        <w:numPr>
          <w:ilvl w:val="0"/>
          <w:numId w:val="50"/>
        </w:numPr>
        <w:spacing w:before="120"/>
        <w:jc w:val="both"/>
        <w:rPr>
          <w:sz w:val="20"/>
          <w:lang w:val="en-NZ"/>
        </w:rPr>
      </w:pPr>
      <w:r>
        <w:rPr>
          <w:sz w:val="20"/>
          <w:lang w:val="en-NZ"/>
        </w:rPr>
        <w:t>reports on</w:t>
      </w:r>
      <w:r w:rsidRPr="00E020C2">
        <w:rPr>
          <w:sz w:val="20"/>
          <w:lang w:val="en-NZ"/>
        </w:rPr>
        <w:t xml:space="preserve"> trends in the relative contributions of state income support</w:t>
      </w:r>
      <w:r>
        <w:rPr>
          <w:sz w:val="20"/>
          <w:lang w:val="en-NZ"/>
        </w:rPr>
        <w:t xml:space="preserve"> (government transfers)</w:t>
      </w:r>
      <w:r w:rsidRPr="00E020C2">
        <w:rPr>
          <w:sz w:val="20"/>
          <w:lang w:val="en-NZ"/>
        </w:rPr>
        <w:t>, employment income, and other private income</w:t>
      </w:r>
      <w:r>
        <w:rPr>
          <w:sz w:val="20"/>
          <w:lang w:val="en-NZ"/>
        </w:rPr>
        <w:t xml:space="preserve"> to the incomes of older New Zealanders.</w:t>
      </w:r>
      <w:r>
        <w:rPr>
          <w:rStyle w:val="FootnoteReference"/>
          <w:sz w:val="20"/>
          <w:lang w:val="en-NZ"/>
        </w:rPr>
        <w:footnoteReference w:id="75"/>
      </w:r>
    </w:p>
    <w:p w:rsidR="00C96A4B" w:rsidRDefault="00C96A4B" w:rsidP="00C96A4B">
      <w:pPr>
        <w:pStyle w:val="Heading1"/>
        <w:jc w:val="both"/>
        <w:rPr>
          <w:b w:val="0"/>
          <w:sz w:val="20"/>
          <w:szCs w:val="22"/>
        </w:rPr>
      </w:pPr>
    </w:p>
    <w:p w:rsidR="00C96A4B" w:rsidRPr="00E020C2" w:rsidRDefault="00C96A4B" w:rsidP="00C96A4B">
      <w:pPr>
        <w:jc w:val="both"/>
        <w:rPr>
          <w:rFonts w:cs="Arial"/>
          <w:sz w:val="20"/>
          <w:szCs w:val="22"/>
          <w:lang w:val="en-NZ"/>
        </w:rPr>
      </w:pPr>
    </w:p>
    <w:p w:rsidR="00C96A4B" w:rsidRPr="00E020C2" w:rsidRDefault="00C96A4B" w:rsidP="00C96A4B">
      <w:pPr>
        <w:rPr>
          <w:rFonts w:cs="Arial"/>
          <w:b/>
          <w:sz w:val="20"/>
          <w:szCs w:val="22"/>
          <w:lang w:val="en-NZ"/>
        </w:rPr>
      </w:pPr>
      <w:r>
        <w:rPr>
          <w:rFonts w:cs="Arial"/>
          <w:b/>
          <w:sz w:val="20"/>
          <w:szCs w:val="22"/>
          <w:lang w:val="en-NZ"/>
        </w:rPr>
        <w:t xml:space="preserve">The </w:t>
      </w:r>
      <w:smartTag w:uri="urn:schemas-microsoft-com:office:smarttags" w:element="stockticker">
        <w:r>
          <w:rPr>
            <w:rFonts w:cs="Arial"/>
            <w:b/>
            <w:sz w:val="20"/>
            <w:szCs w:val="22"/>
            <w:lang w:val="en-NZ"/>
          </w:rPr>
          <w:t>BHC</w:t>
        </w:r>
      </w:smartTag>
      <w:r>
        <w:rPr>
          <w:rFonts w:cs="Arial"/>
          <w:b/>
          <w:sz w:val="20"/>
          <w:szCs w:val="22"/>
          <w:lang w:val="en-NZ"/>
        </w:rPr>
        <w:t xml:space="preserve"> incomes of older New Zealanders</w:t>
      </w:r>
    </w:p>
    <w:p w:rsidR="00C96A4B" w:rsidRPr="00E020C2" w:rsidRDefault="00C96A4B" w:rsidP="00C96A4B">
      <w:pPr>
        <w:jc w:val="both"/>
        <w:rPr>
          <w:rFonts w:cs="Arial"/>
          <w:sz w:val="20"/>
          <w:szCs w:val="22"/>
          <w:lang w:val="en-NZ"/>
        </w:rPr>
      </w:pPr>
    </w:p>
    <w:p w:rsidR="00C96A4B" w:rsidRDefault="00C96A4B" w:rsidP="00C96A4B">
      <w:pPr>
        <w:pStyle w:val="Heading1"/>
        <w:jc w:val="both"/>
        <w:rPr>
          <w:b w:val="0"/>
          <w:sz w:val="20"/>
          <w:szCs w:val="22"/>
        </w:rPr>
      </w:pPr>
      <w:r w:rsidRPr="00CF3D2D">
        <w:rPr>
          <w:sz w:val="20"/>
          <w:szCs w:val="22"/>
        </w:rPr>
        <w:t>Figure I.1</w:t>
      </w:r>
      <w:r>
        <w:rPr>
          <w:b w:val="0"/>
          <w:sz w:val="20"/>
          <w:szCs w:val="22"/>
        </w:rPr>
        <w:t xml:space="preserve"> shows the distribution of equivalised household disposable income for individuals.  Individuals are grouped by their household incomes in multiples of $1500 pa ($30 pw).  The graph clearly shows the ‘pensioner spike’ at close to the 50% of median poverty line, and also the high proportion with incomes between 50% and 60% of the median. </w:t>
      </w:r>
    </w:p>
    <w:p w:rsidR="00C96A4B" w:rsidRDefault="00C96A4B" w:rsidP="00C96A4B">
      <w:pPr>
        <w:pStyle w:val="Heading1"/>
        <w:jc w:val="both"/>
        <w:rPr>
          <w:b w:val="0"/>
          <w:sz w:val="20"/>
          <w:szCs w:val="22"/>
        </w:rPr>
      </w:pPr>
    </w:p>
    <w:p w:rsidR="00C96A4B" w:rsidRPr="002D784F" w:rsidRDefault="00C96A4B" w:rsidP="00C96A4B">
      <w:pPr>
        <w:pStyle w:val="Heading1"/>
        <w:jc w:val="both"/>
        <w:rPr>
          <w:b w:val="0"/>
          <w:sz w:val="22"/>
          <w:szCs w:val="22"/>
        </w:rPr>
      </w:pPr>
      <w:r w:rsidRPr="00E020C2">
        <w:rPr>
          <w:b w:val="0"/>
          <w:sz w:val="20"/>
          <w:szCs w:val="22"/>
        </w:rPr>
        <w:t xml:space="preserve">The spike is a direct consequence of (a) </w:t>
      </w:r>
      <w:smartTag w:uri="urn:schemas-microsoft-com:office:smarttags" w:element="place">
        <w:smartTag w:uri="urn:schemas-microsoft-com:office:smarttags" w:element="country-region">
          <w:r w:rsidRPr="00E020C2">
            <w:rPr>
              <w:b w:val="0"/>
              <w:sz w:val="20"/>
              <w:szCs w:val="22"/>
            </w:rPr>
            <w:t>New Zealand</w:t>
          </w:r>
        </w:smartTag>
      </w:smartTag>
      <w:r w:rsidRPr="00E020C2">
        <w:rPr>
          <w:b w:val="0"/>
          <w:sz w:val="20"/>
          <w:szCs w:val="22"/>
        </w:rPr>
        <w:t xml:space="preserve"> having a universal New Zealand Superannuation (NZS) that is neither income nor asset tested, and (b) there being a </w:t>
      </w:r>
      <w:r>
        <w:rPr>
          <w:b w:val="0"/>
          <w:sz w:val="20"/>
          <w:szCs w:val="22"/>
        </w:rPr>
        <w:t>large</w:t>
      </w:r>
      <w:r w:rsidRPr="00E020C2">
        <w:rPr>
          <w:b w:val="0"/>
          <w:sz w:val="20"/>
          <w:szCs w:val="22"/>
        </w:rPr>
        <w:t xml:space="preserve"> proportion of </w:t>
      </w:r>
      <w:r>
        <w:rPr>
          <w:b w:val="0"/>
          <w:sz w:val="20"/>
          <w:szCs w:val="22"/>
        </w:rPr>
        <w:t>older New Zealanders</w:t>
      </w:r>
      <w:r w:rsidRPr="00E020C2">
        <w:rPr>
          <w:b w:val="0"/>
          <w:sz w:val="20"/>
          <w:szCs w:val="22"/>
        </w:rPr>
        <w:t xml:space="preserve"> with very little other income over and above NZS.  </w:t>
      </w:r>
    </w:p>
    <w:p w:rsidR="00C96A4B" w:rsidRDefault="00C96A4B" w:rsidP="00C96A4B">
      <w:pPr>
        <w:jc w:val="both"/>
        <w:rPr>
          <w:rFonts w:cs="Arial"/>
          <w:szCs w:val="22"/>
          <w:lang w:val="en-NZ"/>
        </w:rPr>
      </w:pPr>
    </w:p>
    <w:p w:rsidR="00C96A4B" w:rsidRPr="00E020C2" w:rsidRDefault="00C96A4B" w:rsidP="00C96A4B">
      <w:pPr>
        <w:jc w:val="center"/>
        <w:rPr>
          <w:rFonts w:cs="Arial"/>
          <w:b/>
          <w:sz w:val="18"/>
          <w:lang w:val="en-NZ"/>
        </w:rPr>
      </w:pPr>
      <w:r w:rsidRPr="00E020C2">
        <w:rPr>
          <w:rFonts w:cs="Arial"/>
          <w:b/>
          <w:sz w:val="18"/>
          <w:lang w:val="en-NZ"/>
        </w:rPr>
        <w:t>Figure I.1</w:t>
      </w:r>
    </w:p>
    <w:p w:rsidR="00C96A4B" w:rsidRDefault="00C96A4B" w:rsidP="00C96A4B">
      <w:pPr>
        <w:jc w:val="center"/>
        <w:rPr>
          <w:rFonts w:cs="Arial"/>
          <w:b/>
          <w:sz w:val="18"/>
          <w:lang w:val="en-NZ"/>
        </w:rPr>
      </w:pPr>
      <w:smartTag w:uri="urn:schemas-microsoft-com:office:smarttags" w:element="stockticker">
        <w:r>
          <w:rPr>
            <w:rFonts w:cs="Arial"/>
            <w:b/>
            <w:sz w:val="18"/>
            <w:lang w:val="en-NZ"/>
          </w:rPr>
          <w:t>BHC</w:t>
        </w:r>
      </w:smartTag>
      <w:r>
        <w:rPr>
          <w:rFonts w:cs="Arial"/>
          <w:b/>
          <w:sz w:val="18"/>
          <w:lang w:val="en-NZ"/>
        </w:rPr>
        <w:t xml:space="preserve"> household income distribution for older New Zealanders relative the rest of population, </w:t>
      </w:r>
    </w:p>
    <w:p w:rsidR="00C96A4B" w:rsidRPr="00E020C2" w:rsidRDefault="00C96A4B" w:rsidP="00C96A4B">
      <w:pPr>
        <w:jc w:val="center"/>
        <w:rPr>
          <w:rFonts w:cs="Arial"/>
          <w:b/>
          <w:sz w:val="18"/>
          <w:lang w:val="en-NZ"/>
        </w:rPr>
      </w:pPr>
      <w:r>
        <w:rPr>
          <w:rFonts w:cs="Arial"/>
          <w:b/>
          <w:sz w:val="18"/>
          <w:lang w:val="en-NZ"/>
        </w:rPr>
        <w:t>HES 2010</w:t>
      </w:r>
    </w:p>
    <w:p w:rsidR="00C96A4B" w:rsidRPr="00813D87" w:rsidRDefault="00EC0BE0" w:rsidP="00C96A4B">
      <w:pPr>
        <w:jc w:val="center"/>
      </w:pPr>
      <w:r>
        <w:rPr>
          <w:noProof/>
          <w:lang w:val="en-US"/>
        </w:rPr>
        <w:drawing>
          <wp:inline distT="0" distB="0" distL="0" distR="0">
            <wp:extent cx="4029075" cy="26574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srcRect/>
                    <a:stretch>
                      <a:fillRect/>
                    </a:stretch>
                  </pic:blipFill>
                  <pic:spPr bwMode="auto">
                    <a:xfrm>
                      <a:off x="0" y="0"/>
                      <a:ext cx="4029075" cy="2657475"/>
                    </a:xfrm>
                    <a:prstGeom prst="rect">
                      <a:avLst/>
                    </a:prstGeom>
                    <a:noFill/>
                    <a:ln w="9525">
                      <a:noFill/>
                      <a:miter lim="800000"/>
                      <a:headEnd/>
                      <a:tailEnd/>
                    </a:ln>
                  </pic:spPr>
                </pic:pic>
              </a:graphicData>
            </a:graphic>
          </wp:inline>
        </w:drawing>
      </w:r>
    </w:p>
    <w:p w:rsidR="00C96A4B" w:rsidRPr="00896827" w:rsidRDefault="00C96A4B" w:rsidP="00C96A4B">
      <w:pPr>
        <w:jc w:val="both"/>
        <w:rPr>
          <w:rFonts w:cs="Arial"/>
          <w:b/>
          <w:sz w:val="20"/>
          <w:szCs w:val="22"/>
          <w:lang w:val="en-NZ"/>
        </w:rPr>
      </w:pPr>
      <w:r>
        <w:rPr>
          <w:rFonts w:cs="Arial"/>
          <w:b/>
          <w:sz w:val="20"/>
          <w:szCs w:val="22"/>
          <w:lang w:val="en-NZ"/>
        </w:rPr>
        <w:br w:type="page"/>
      </w:r>
      <w:r>
        <w:rPr>
          <w:rFonts w:cs="Arial"/>
          <w:b/>
          <w:sz w:val="20"/>
          <w:szCs w:val="22"/>
          <w:lang w:val="en-NZ"/>
        </w:rPr>
        <w:lastRenderedPageBreak/>
        <w:t>The incomes of older New Zealanders relative to the whole population (OECD comparisons)</w:t>
      </w:r>
    </w:p>
    <w:p w:rsidR="00C96A4B" w:rsidRDefault="00C96A4B" w:rsidP="00C96A4B">
      <w:pPr>
        <w:jc w:val="both"/>
        <w:rPr>
          <w:rFonts w:cs="Arial"/>
          <w:sz w:val="20"/>
          <w:szCs w:val="22"/>
          <w:lang w:val="en-NZ"/>
        </w:rPr>
      </w:pPr>
    </w:p>
    <w:p w:rsidR="00C96A4B" w:rsidRDefault="00C96A4B" w:rsidP="00C96A4B">
      <w:pPr>
        <w:jc w:val="both"/>
        <w:rPr>
          <w:rFonts w:cs="Arial"/>
          <w:sz w:val="20"/>
          <w:szCs w:val="22"/>
          <w:lang w:val="en-NZ"/>
        </w:rPr>
      </w:pPr>
      <w:r>
        <w:rPr>
          <w:rFonts w:cs="Arial"/>
          <w:sz w:val="20"/>
          <w:szCs w:val="22"/>
          <w:lang w:val="en-NZ"/>
        </w:rPr>
        <w:t>In 2009, the mean household income for older New Zealanders (65+) was 77% of the population mean (71% of the population median).</w:t>
      </w:r>
      <w:r>
        <w:rPr>
          <w:rStyle w:val="FootnoteReference"/>
          <w:rFonts w:cs="Arial"/>
          <w:sz w:val="20"/>
          <w:szCs w:val="22"/>
          <w:lang w:val="en-NZ"/>
        </w:rPr>
        <w:footnoteReference w:id="76"/>
      </w:r>
      <w:r>
        <w:rPr>
          <w:rFonts w:cs="Arial"/>
          <w:sz w:val="20"/>
          <w:szCs w:val="22"/>
          <w:lang w:val="en-NZ"/>
        </w:rPr>
        <w:t xml:space="preserve">  The mean income for one person 65+ households was 69% of that for couples.  The latest OECD comparisons for these statistics are from 2004.  At that time the respective </w:t>
      </w:r>
      <w:smartTag w:uri="urn:schemas-microsoft-com:office:smarttags" w:element="place">
        <w:smartTag w:uri="urn:schemas-microsoft-com:office:smarttags" w:element="country-region">
          <w:r>
            <w:rPr>
              <w:rFonts w:cs="Arial"/>
              <w:sz w:val="20"/>
              <w:szCs w:val="22"/>
              <w:lang w:val="en-NZ"/>
            </w:rPr>
            <w:t>New Zealand</w:t>
          </w:r>
        </w:smartTag>
      </w:smartTag>
      <w:r>
        <w:rPr>
          <w:rFonts w:cs="Arial"/>
          <w:sz w:val="20"/>
          <w:szCs w:val="22"/>
          <w:lang w:val="en-NZ"/>
        </w:rPr>
        <w:t xml:space="preserve"> figures were 68% (OECD average, 82%) and 76% (OECD average, 73%).   The figures move around quite a lot from year to year as the means are strongly influenced by the particular group of higher-income older households happen to be surveyed.  The medians are much more stable.  Nevertheless, what is clear is that the ratio of the average incomes of older New Zealanders to those of the population as a whole is in the ‘low to middle range’ on an OECD league table.</w:t>
      </w:r>
    </w:p>
    <w:p w:rsidR="00C96A4B" w:rsidRDefault="00C96A4B" w:rsidP="00C96A4B">
      <w:pPr>
        <w:pStyle w:val="Heading1"/>
        <w:jc w:val="both"/>
        <w:rPr>
          <w:sz w:val="20"/>
          <w:szCs w:val="22"/>
          <w:lang w:val="en-GB"/>
        </w:rPr>
      </w:pPr>
    </w:p>
    <w:p w:rsidR="00C96A4B" w:rsidRPr="00E020C2" w:rsidRDefault="00C96A4B" w:rsidP="00C96A4B">
      <w:pPr>
        <w:pStyle w:val="Heading1"/>
        <w:jc w:val="both"/>
        <w:rPr>
          <w:sz w:val="20"/>
          <w:szCs w:val="22"/>
          <w:lang w:val="en-GB"/>
        </w:rPr>
      </w:pPr>
      <w:r w:rsidRPr="00E020C2">
        <w:rPr>
          <w:sz w:val="20"/>
          <w:szCs w:val="22"/>
          <w:lang w:val="en-GB"/>
        </w:rPr>
        <w:t>NZS relative to average earning</w:t>
      </w:r>
      <w:r>
        <w:rPr>
          <w:sz w:val="20"/>
          <w:szCs w:val="22"/>
          <w:lang w:val="en-GB"/>
        </w:rPr>
        <w:t>s</w:t>
      </w:r>
      <w:r w:rsidRPr="00E020C2">
        <w:rPr>
          <w:sz w:val="20"/>
          <w:szCs w:val="22"/>
          <w:lang w:val="en-GB"/>
        </w:rPr>
        <w:t xml:space="preserve"> and median household income</w:t>
      </w:r>
    </w:p>
    <w:p w:rsidR="00C96A4B" w:rsidRPr="00E020C2" w:rsidRDefault="00C96A4B" w:rsidP="00C96A4B">
      <w:pPr>
        <w:pStyle w:val="Heading1"/>
        <w:jc w:val="both"/>
        <w:rPr>
          <w:b w:val="0"/>
          <w:sz w:val="20"/>
          <w:szCs w:val="22"/>
          <w:lang w:val="en-GB"/>
        </w:rPr>
      </w:pPr>
    </w:p>
    <w:p w:rsidR="00C96A4B" w:rsidRDefault="00C96A4B" w:rsidP="00C96A4B">
      <w:pPr>
        <w:pStyle w:val="Heading1"/>
        <w:jc w:val="both"/>
        <w:rPr>
          <w:b w:val="0"/>
          <w:sz w:val="20"/>
          <w:szCs w:val="22"/>
        </w:rPr>
      </w:pPr>
      <w:r w:rsidRPr="00E020C2">
        <w:rPr>
          <w:b w:val="0"/>
          <w:sz w:val="20"/>
          <w:szCs w:val="22"/>
          <w:lang w:val="en-GB"/>
        </w:rPr>
        <w:t xml:space="preserve">For a very large proportion of </w:t>
      </w:r>
      <w:r>
        <w:rPr>
          <w:b w:val="0"/>
          <w:sz w:val="20"/>
          <w:szCs w:val="22"/>
          <w:lang w:val="en-GB"/>
        </w:rPr>
        <w:t xml:space="preserve">older </w:t>
      </w:r>
      <w:r w:rsidRPr="00E020C2">
        <w:rPr>
          <w:b w:val="0"/>
          <w:sz w:val="20"/>
          <w:szCs w:val="22"/>
          <w:lang w:val="en-GB"/>
        </w:rPr>
        <w:t xml:space="preserve">New Zealanders </w:t>
      </w:r>
      <w:r>
        <w:rPr>
          <w:b w:val="0"/>
          <w:sz w:val="20"/>
          <w:szCs w:val="22"/>
          <w:lang w:val="en-GB"/>
        </w:rPr>
        <w:t>(aged 65+)</w:t>
      </w:r>
      <w:r w:rsidRPr="00E020C2">
        <w:rPr>
          <w:b w:val="0"/>
          <w:sz w:val="20"/>
          <w:szCs w:val="22"/>
          <w:lang w:val="en-GB"/>
        </w:rPr>
        <w:t xml:space="preserve">, NZS provides the bulk of their income.  </w:t>
      </w:r>
      <w:r w:rsidRPr="00E020C2">
        <w:rPr>
          <w:b w:val="0"/>
          <w:sz w:val="20"/>
          <w:szCs w:val="22"/>
        </w:rPr>
        <w:t>In assessing the relative material wellbeing of older New Zealanders it is therefor</w:t>
      </w:r>
      <w:r>
        <w:rPr>
          <w:b w:val="0"/>
          <w:sz w:val="20"/>
          <w:szCs w:val="22"/>
        </w:rPr>
        <w:t>e useful to know how NZS tracks:</w:t>
      </w:r>
    </w:p>
    <w:p w:rsidR="00C96A4B" w:rsidRDefault="00C96A4B" w:rsidP="00614C04">
      <w:pPr>
        <w:pStyle w:val="Heading1"/>
        <w:numPr>
          <w:ilvl w:val="0"/>
          <w:numId w:val="76"/>
        </w:numPr>
        <w:spacing w:before="60"/>
        <w:ind w:hanging="270"/>
        <w:jc w:val="both"/>
        <w:rPr>
          <w:b w:val="0"/>
          <w:sz w:val="20"/>
          <w:szCs w:val="22"/>
        </w:rPr>
      </w:pPr>
      <w:r>
        <w:rPr>
          <w:b w:val="0"/>
          <w:sz w:val="20"/>
          <w:szCs w:val="22"/>
        </w:rPr>
        <w:t>in real terms</w:t>
      </w:r>
    </w:p>
    <w:p w:rsidR="00C96A4B" w:rsidRDefault="00C96A4B" w:rsidP="00614C04">
      <w:pPr>
        <w:pStyle w:val="Heading1"/>
        <w:numPr>
          <w:ilvl w:val="0"/>
          <w:numId w:val="76"/>
        </w:numPr>
        <w:spacing w:before="60"/>
        <w:ind w:hanging="270"/>
        <w:jc w:val="both"/>
        <w:rPr>
          <w:b w:val="0"/>
          <w:sz w:val="20"/>
          <w:szCs w:val="22"/>
        </w:rPr>
      </w:pPr>
      <w:r w:rsidRPr="00E020C2">
        <w:rPr>
          <w:b w:val="0"/>
          <w:sz w:val="20"/>
          <w:szCs w:val="22"/>
        </w:rPr>
        <w:t xml:space="preserve">relative to average wages </w:t>
      </w:r>
    </w:p>
    <w:p w:rsidR="00C96A4B" w:rsidRPr="00E020C2" w:rsidRDefault="00C96A4B" w:rsidP="00614C04">
      <w:pPr>
        <w:pStyle w:val="Heading1"/>
        <w:numPr>
          <w:ilvl w:val="0"/>
          <w:numId w:val="76"/>
        </w:numPr>
        <w:spacing w:before="60"/>
        <w:ind w:hanging="270"/>
        <w:jc w:val="both"/>
        <w:rPr>
          <w:b w:val="0"/>
          <w:sz w:val="20"/>
          <w:szCs w:val="22"/>
        </w:rPr>
      </w:pPr>
      <w:r>
        <w:rPr>
          <w:b w:val="0"/>
          <w:sz w:val="20"/>
          <w:szCs w:val="22"/>
        </w:rPr>
        <w:t xml:space="preserve">relative to </w:t>
      </w:r>
      <w:r w:rsidRPr="00E020C2">
        <w:rPr>
          <w:b w:val="0"/>
          <w:sz w:val="20"/>
          <w:szCs w:val="22"/>
        </w:rPr>
        <w:t>median household incomes.</w:t>
      </w:r>
    </w:p>
    <w:p w:rsidR="00C96A4B" w:rsidRPr="00E020C2" w:rsidRDefault="00C96A4B" w:rsidP="00C96A4B">
      <w:pPr>
        <w:rPr>
          <w:sz w:val="20"/>
          <w:lang w:val="en-NZ"/>
        </w:rPr>
      </w:pPr>
    </w:p>
    <w:p w:rsidR="00C96A4B" w:rsidRDefault="00C96A4B" w:rsidP="00C96A4B">
      <w:pPr>
        <w:jc w:val="both"/>
        <w:rPr>
          <w:sz w:val="20"/>
          <w:lang w:val="en-NZ"/>
        </w:rPr>
      </w:pPr>
      <w:r>
        <w:rPr>
          <w:sz w:val="20"/>
          <w:lang w:val="en-NZ"/>
        </w:rPr>
        <w:t>In these comparisons, NZS is the equivalised NZS which puts couple and single living alone rates at the same equivalised dollar value.</w:t>
      </w:r>
      <w:r>
        <w:rPr>
          <w:rStyle w:val="FootnoteReference"/>
          <w:b/>
          <w:sz w:val="20"/>
          <w:szCs w:val="22"/>
        </w:rPr>
        <w:footnoteReference w:id="77"/>
      </w:r>
      <w:r>
        <w:rPr>
          <w:b/>
          <w:sz w:val="20"/>
          <w:szCs w:val="22"/>
        </w:rPr>
        <w:t xml:space="preserve"> </w:t>
      </w:r>
      <w:r>
        <w:rPr>
          <w:sz w:val="20"/>
          <w:lang w:val="en-NZ"/>
        </w:rPr>
        <w:t xml:space="preserve"> A</w:t>
      </w:r>
      <w:r w:rsidRPr="00E020C2">
        <w:rPr>
          <w:sz w:val="20"/>
          <w:lang w:val="en-NZ"/>
        </w:rPr>
        <w:t xml:space="preserve">verage earnings are net average ordinary time weekly earnings (NAOTWE), and median incomes are median equivalised </w:t>
      </w:r>
      <w:r>
        <w:rPr>
          <w:sz w:val="20"/>
          <w:lang w:val="en-NZ"/>
        </w:rPr>
        <w:t>household</w:t>
      </w:r>
      <w:r w:rsidRPr="00E020C2">
        <w:rPr>
          <w:sz w:val="20"/>
          <w:lang w:val="en-NZ"/>
        </w:rPr>
        <w:t xml:space="preserve"> disposable incomes.</w:t>
      </w:r>
      <w:r>
        <w:rPr>
          <w:sz w:val="20"/>
          <w:lang w:val="en-NZ"/>
        </w:rPr>
        <w:t xml:space="preserve">  Average earnings are just one factor impacting on household incomes.  Another major factor is the total number of hours of paid employment being worked by households.  These hours have been increasing, so household incomes have risen more rapidly than average wages (since c1994).  The October 2008 tax cuts also increased net average wages and after tax household incomes.</w:t>
      </w:r>
    </w:p>
    <w:p w:rsidR="00C96A4B" w:rsidRDefault="00C96A4B" w:rsidP="00C96A4B">
      <w:pPr>
        <w:jc w:val="both"/>
        <w:rPr>
          <w:b/>
          <w:sz w:val="20"/>
          <w:lang w:val="en-NZ"/>
        </w:rPr>
      </w:pPr>
    </w:p>
    <w:p w:rsidR="00C96A4B" w:rsidRDefault="00C96A4B" w:rsidP="00C96A4B">
      <w:pPr>
        <w:jc w:val="both"/>
        <w:rPr>
          <w:sz w:val="20"/>
          <w:lang w:val="en-NZ"/>
        </w:rPr>
      </w:pPr>
      <w:r w:rsidRPr="005D2AFF">
        <w:rPr>
          <w:b/>
          <w:sz w:val="20"/>
          <w:lang w:val="en-NZ"/>
        </w:rPr>
        <w:t>Figure I.2</w:t>
      </w:r>
      <w:r w:rsidRPr="00E020C2">
        <w:rPr>
          <w:sz w:val="20"/>
          <w:lang w:val="en-NZ"/>
        </w:rPr>
        <w:t xml:space="preserve"> shows that the value of NZS (and its predecessors) has remained reasonably steady in real terms from the </w:t>
      </w:r>
      <w:r>
        <w:rPr>
          <w:sz w:val="20"/>
          <w:lang w:val="en-NZ"/>
        </w:rPr>
        <w:t xml:space="preserve">mid </w:t>
      </w:r>
      <w:r w:rsidRPr="00E020C2">
        <w:rPr>
          <w:sz w:val="20"/>
          <w:lang w:val="en-NZ"/>
        </w:rPr>
        <w:t>1980s through to 20</w:t>
      </w:r>
      <w:r>
        <w:rPr>
          <w:sz w:val="20"/>
          <w:lang w:val="en-NZ"/>
        </w:rPr>
        <w:t>10</w:t>
      </w:r>
      <w:r w:rsidRPr="00E020C2">
        <w:rPr>
          <w:sz w:val="20"/>
          <w:lang w:val="en-NZ"/>
        </w:rPr>
        <w:t xml:space="preserve">, whereas there have been considerable movements in average earnings and median household incomes in the period.  </w:t>
      </w:r>
      <w:r>
        <w:rPr>
          <w:sz w:val="20"/>
          <w:lang w:val="en-NZ"/>
        </w:rPr>
        <w:t>The final point on both the NZS and NAOTWE lines incorporates the October 2010 tax changes which raised NZS in real terms.  These changes had no impact on the 2010 HES figures, but will impact on the HES 2011 figures for the next report.</w:t>
      </w:r>
    </w:p>
    <w:p w:rsidR="00C96A4B" w:rsidRPr="00E020C2" w:rsidRDefault="00C96A4B" w:rsidP="00C96A4B">
      <w:pPr>
        <w:rPr>
          <w:sz w:val="20"/>
          <w:lang w:val="en-NZ"/>
        </w:rPr>
      </w:pPr>
    </w:p>
    <w:p w:rsidR="00C96A4B" w:rsidRPr="00E020C2" w:rsidRDefault="00C96A4B" w:rsidP="00C96A4B">
      <w:pPr>
        <w:jc w:val="center"/>
        <w:rPr>
          <w:b/>
          <w:sz w:val="18"/>
          <w:lang w:val="en-NZ"/>
        </w:rPr>
      </w:pPr>
      <w:r w:rsidRPr="00E020C2">
        <w:rPr>
          <w:b/>
          <w:sz w:val="18"/>
          <w:lang w:val="en-NZ"/>
        </w:rPr>
        <w:t>Figure I.</w:t>
      </w:r>
      <w:r>
        <w:rPr>
          <w:b/>
          <w:sz w:val="18"/>
          <w:lang w:val="en-NZ"/>
        </w:rPr>
        <w:t>2</w:t>
      </w:r>
    </w:p>
    <w:p w:rsidR="00C96A4B" w:rsidRPr="00E020C2" w:rsidRDefault="00C96A4B" w:rsidP="00C96A4B">
      <w:pPr>
        <w:jc w:val="center"/>
        <w:rPr>
          <w:b/>
          <w:sz w:val="18"/>
          <w:lang w:val="en-NZ"/>
        </w:rPr>
      </w:pPr>
      <w:r w:rsidRPr="00E020C2">
        <w:rPr>
          <w:b/>
          <w:sz w:val="18"/>
          <w:lang w:val="en-NZ"/>
        </w:rPr>
        <w:t xml:space="preserve">Trends in average earnings, median household incomes and NZS (in </w:t>
      </w:r>
      <w:r>
        <w:rPr>
          <w:b/>
          <w:sz w:val="18"/>
          <w:lang w:val="en-NZ"/>
        </w:rPr>
        <w:t>$</w:t>
      </w:r>
      <w:r w:rsidRPr="00E020C2">
        <w:rPr>
          <w:b/>
          <w:sz w:val="18"/>
          <w:lang w:val="en-NZ"/>
        </w:rPr>
        <w:t>20</w:t>
      </w:r>
      <w:r>
        <w:rPr>
          <w:b/>
          <w:sz w:val="18"/>
          <w:lang w:val="en-NZ"/>
        </w:rPr>
        <w:t>11</w:t>
      </w:r>
      <w:r w:rsidRPr="00E020C2">
        <w:rPr>
          <w:b/>
          <w:sz w:val="18"/>
          <w:lang w:val="en-NZ"/>
        </w:rPr>
        <w:t>)</w:t>
      </w:r>
    </w:p>
    <w:p w:rsidR="00C96A4B" w:rsidRPr="009E4045" w:rsidRDefault="00EC0BE0" w:rsidP="00C96A4B">
      <w:pPr>
        <w:jc w:val="center"/>
      </w:pPr>
      <w:r>
        <w:rPr>
          <w:noProof/>
          <w:lang w:val="en-US"/>
        </w:rPr>
        <w:drawing>
          <wp:inline distT="0" distB="0" distL="0" distR="0">
            <wp:extent cx="3438525" cy="2114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srcRect/>
                    <a:stretch>
                      <a:fillRect/>
                    </a:stretch>
                  </pic:blipFill>
                  <pic:spPr bwMode="auto">
                    <a:xfrm>
                      <a:off x="0" y="0"/>
                      <a:ext cx="3438525" cy="2114550"/>
                    </a:xfrm>
                    <a:prstGeom prst="rect">
                      <a:avLst/>
                    </a:prstGeom>
                    <a:noFill/>
                    <a:ln w="9525">
                      <a:noFill/>
                      <a:miter lim="800000"/>
                      <a:headEnd/>
                      <a:tailEnd/>
                    </a:ln>
                  </pic:spPr>
                </pic:pic>
              </a:graphicData>
            </a:graphic>
          </wp:inline>
        </w:drawing>
      </w:r>
    </w:p>
    <w:p w:rsidR="00C96A4B" w:rsidRDefault="00C96A4B" w:rsidP="00C96A4B">
      <w:pPr>
        <w:jc w:val="both"/>
        <w:rPr>
          <w:sz w:val="20"/>
          <w:lang w:val="en-NZ"/>
        </w:rPr>
      </w:pPr>
      <w:r>
        <w:rPr>
          <w:b/>
          <w:sz w:val="20"/>
          <w:lang w:val="en-NZ"/>
        </w:rPr>
        <w:br w:type="page"/>
      </w:r>
      <w:r w:rsidRPr="00E020C2">
        <w:rPr>
          <w:b/>
          <w:sz w:val="20"/>
          <w:lang w:val="en-NZ"/>
        </w:rPr>
        <w:lastRenderedPageBreak/>
        <w:t>Figure I.</w:t>
      </w:r>
      <w:r>
        <w:rPr>
          <w:b/>
          <w:sz w:val="20"/>
          <w:lang w:val="en-NZ"/>
        </w:rPr>
        <w:t xml:space="preserve">3 </w:t>
      </w:r>
      <w:r>
        <w:rPr>
          <w:sz w:val="20"/>
          <w:lang w:val="en-NZ"/>
        </w:rPr>
        <w:t xml:space="preserve">reformats the </w:t>
      </w:r>
      <w:r w:rsidRPr="006F1DAB">
        <w:rPr>
          <w:sz w:val="20"/>
          <w:lang w:val="en-NZ"/>
        </w:rPr>
        <w:t>information</w:t>
      </w:r>
      <w:r>
        <w:rPr>
          <w:b/>
          <w:sz w:val="20"/>
          <w:lang w:val="en-NZ"/>
        </w:rPr>
        <w:t xml:space="preserve"> </w:t>
      </w:r>
      <w:r>
        <w:rPr>
          <w:sz w:val="20"/>
          <w:lang w:val="en-NZ"/>
        </w:rPr>
        <w:t xml:space="preserve">in Figure I.2 to </w:t>
      </w:r>
      <w:r w:rsidRPr="00E020C2">
        <w:rPr>
          <w:sz w:val="20"/>
          <w:lang w:val="en-NZ"/>
        </w:rPr>
        <w:t xml:space="preserve">show the trends in NZS relative to average earnings and median household income. </w:t>
      </w:r>
    </w:p>
    <w:p w:rsidR="00C96A4B" w:rsidRDefault="00C96A4B" w:rsidP="00C96A4B">
      <w:pPr>
        <w:jc w:val="both"/>
        <w:rPr>
          <w:sz w:val="20"/>
          <w:lang w:val="en-NZ"/>
        </w:rPr>
      </w:pPr>
    </w:p>
    <w:p w:rsidR="00C96A4B" w:rsidRDefault="00C96A4B" w:rsidP="00C96A4B">
      <w:pPr>
        <w:jc w:val="both"/>
        <w:rPr>
          <w:sz w:val="20"/>
          <w:lang w:val="en-NZ"/>
        </w:rPr>
      </w:pPr>
      <w:r>
        <w:rPr>
          <w:sz w:val="20"/>
          <w:lang w:val="en-NZ"/>
        </w:rPr>
        <w:t>In 2010,</w:t>
      </w:r>
      <w:r w:rsidRPr="00E020C2">
        <w:rPr>
          <w:sz w:val="20"/>
          <w:lang w:val="en-NZ"/>
        </w:rPr>
        <w:t xml:space="preserve"> the NZS married couple rate was close to the 66% flo</w:t>
      </w:r>
      <w:r>
        <w:rPr>
          <w:sz w:val="20"/>
          <w:lang w:val="en-NZ"/>
        </w:rPr>
        <w:t>or relative to average earnings, as shown in the upper trend line in Figure I.3.</w:t>
      </w:r>
      <w:r>
        <w:rPr>
          <w:rStyle w:val="FootnoteReference"/>
          <w:sz w:val="20"/>
          <w:lang w:val="en-NZ"/>
        </w:rPr>
        <w:footnoteReference w:id="78"/>
      </w:r>
      <w:r>
        <w:rPr>
          <w:sz w:val="20"/>
          <w:lang w:val="en-NZ"/>
        </w:rPr>
        <w:t xml:space="preserve">  </w:t>
      </w:r>
    </w:p>
    <w:p w:rsidR="00C96A4B" w:rsidRDefault="00C96A4B" w:rsidP="00C96A4B">
      <w:pPr>
        <w:jc w:val="both"/>
        <w:rPr>
          <w:sz w:val="20"/>
          <w:lang w:val="en-NZ"/>
        </w:rPr>
      </w:pPr>
    </w:p>
    <w:p w:rsidR="00C96A4B" w:rsidRPr="00E020C2" w:rsidRDefault="00C96A4B" w:rsidP="00C96A4B">
      <w:pPr>
        <w:jc w:val="both"/>
        <w:rPr>
          <w:sz w:val="20"/>
          <w:lang w:val="en-NZ"/>
        </w:rPr>
      </w:pPr>
      <w:r w:rsidRPr="00E020C2">
        <w:rPr>
          <w:sz w:val="20"/>
          <w:lang w:val="en-NZ"/>
        </w:rPr>
        <w:t xml:space="preserve">NZS has declined in value relative to median </w:t>
      </w:r>
      <w:r>
        <w:rPr>
          <w:sz w:val="20"/>
          <w:lang w:val="en-NZ"/>
        </w:rPr>
        <w:t>household</w:t>
      </w:r>
      <w:r w:rsidRPr="00E020C2">
        <w:rPr>
          <w:sz w:val="20"/>
          <w:lang w:val="en-NZ"/>
        </w:rPr>
        <w:t xml:space="preserve"> incomes since the mid 1990s</w:t>
      </w:r>
      <w:r>
        <w:rPr>
          <w:sz w:val="20"/>
          <w:lang w:val="en-NZ"/>
        </w:rPr>
        <w:t>.  This is because</w:t>
      </w:r>
      <w:r w:rsidRPr="00E020C2">
        <w:rPr>
          <w:sz w:val="20"/>
          <w:lang w:val="en-NZ"/>
        </w:rPr>
        <w:t xml:space="preserve"> median </w:t>
      </w:r>
      <w:r>
        <w:rPr>
          <w:sz w:val="20"/>
          <w:lang w:val="en-NZ"/>
        </w:rPr>
        <w:t>household</w:t>
      </w:r>
      <w:r w:rsidRPr="00E020C2">
        <w:rPr>
          <w:sz w:val="20"/>
          <w:lang w:val="en-NZ"/>
        </w:rPr>
        <w:t xml:space="preserve"> income h</w:t>
      </w:r>
      <w:r>
        <w:rPr>
          <w:sz w:val="20"/>
          <w:lang w:val="en-NZ"/>
        </w:rPr>
        <w:t xml:space="preserve">as risen steadily in real terms, while the real value of NZS did not change greatly from the mid 1980s through to 2010.  </w:t>
      </w:r>
      <w:r w:rsidRPr="006B2305">
        <w:rPr>
          <w:b/>
          <w:sz w:val="20"/>
          <w:lang w:val="en-NZ"/>
        </w:rPr>
        <w:t>Table I.1</w:t>
      </w:r>
      <w:r>
        <w:rPr>
          <w:sz w:val="20"/>
          <w:lang w:val="en-NZ"/>
        </w:rPr>
        <w:t xml:space="preserve"> gives the figures behind the lower trend line in Figure I.3.</w:t>
      </w:r>
    </w:p>
    <w:p w:rsidR="00C96A4B" w:rsidRPr="00E020C2" w:rsidRDefault="00C96A4B" w:rsidP="00C96A4B">
      <w:pPr>
        <w:jc w:val="both"/>
        <w:rPr>
          <w:b/>
          <w:sz w:val="18"/>
          <w:lang w:val="en-NZ"/>
        </w:rPr>
      </w:pPr>
    </w:p>
    <w:p w:rsidR="00C96A4B" w:rsidRPr="00E020C2" w:rsidRDefault="00C96A4B" w:rsidP="00C96A4B">
      <w:pPr>
        <w:jc w:val="center"/>
        <w:rPr>
          <w:b/>
          <w:sz w:val="18"/>
          <w:lang w:val="en-NZ"/>
        </w:rPr>
      </w:pPr>
      <w:r w:rsidRPr="00E020C2">
        <w:rPr>
          <w:b/>
          <w:sz w:val="18"/>
          <w:lang w:val="en-NZ"/>
        </w:rPr>
        <w:t>Figure I.</w:t>
      </w:r>
      <w:r>
        <w:rPr>
          <w:b/>
          <w:sz w:val="18"/>
          <w:lang w:val="en-NZ"/>
        </w:rPr>
        <w:t>3</w:t>
      </w:r>
    </w:p>
    <w:p w:rsidR="00C96A4B" w:rsidRPr="00E020C2" w:rsidRDefault="00C96A4B" w:rsidP="00C96A4B">
      <w:pPr>
        <w:jc w:val="center"/>
        <w:rPr>
          <w:b/>
          <w:sz w:val="18"/>
        </w:rPr>
      </w:pPr>
      <w:r w:rsidRPr="00E020C2">
        <w:rPr>
          <w:b/>
          <w:sz w:val="18"/>
        </w:rPr>
        <w:t>NZS relative to average earnings and median household incomes</w:t>
      </w:r>
    </w:p>
    <w:p w:rsidR="00C96A4B" w:rsidRPr="009E4045" w:rsidRDefault="00EC0BE0" w:rsidP="00C96A4B">
      <w:pPr>
        <w:pStyle w:val="Heading1"/>
        <w:jc w:val="center"/>
      </w:pPr>
      <w:r>
        <w:rPr>
          <w:noProof/>
          <w:lang w:val="en-US"/>
        </w:rPr>
        <w:drawing>
          <wp:inline distT="0" distB="0" distL="0" distR="0">
            <wp:extent cx="3971925" cy="2457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srcRect/>
                    <a:stretch>
                      <a:fillRect/>
                    </a:stretch>
                  </pic:blipFill>
                  <pic:spPr bwMode="auto">
                    <a:xfrm>
                      <a:off x="0" y="0"/>
                      <a:ext cx="3971925" cy="2457450"/>
                    </a:xfrm>
                    <a:prstGeom prst="rect">
                      <a:avLst/>
                    </a:prstGeom>
                    <a:noFill/>
                    <a:ln w="9525">
                      <a:noFill/>
                      <a:miter lim="800000"/>
                      <a:headEnd/>
                      <a:tailEnd/>
                    </a:ln>
                  </pic:spPr>
                </pic:pic>
              </a:graphicData>
            </a:graphic>
          </wp:inline>
        </w:drawing>
      </w:r>
    </w:p>
    <w:p w:rsidR="00C96A4B" w:rsidRDefault="00C96A4B" w:rsidP="00C96A4B">
      <w:pPr>
        <w:jc w:val="both"/>
        <w:rPr>
          <w:rFonts w:cs="Arial"/>
          <w:b/>
          <w:sz w:val="20"/>
          <w:szCs w:val="22"/>
          <w:lang w:val="en-NZ"/>
        </w:rPr>
      </w:pPr>
    </w:p>
    <w:p w:rsidR="00C96A4B" w:rsidRDefault="00C96A4B" w:rsidP="00C96A4B">
      <w:pPr>
        <w:jc w:val="both"/>
        <w:rPr>
          <w:rFonts w:cs="Arial"/>
          <w:sz w:val="20"/>
          <w:szCs w:val="22"/>
          <w:lang w:val="en-NZ"/>
        </w:rPr>
      </w:pPr>
    </w:p>
    <w:p w:rsidR="00C96A4B" w:rsidRPr="00E020C2" w:rsidRDefault="00C96A4B" w:rsidP="00C96A4B">
      <w:pPr>
        <w:jc w:val="center"/>
        <w:rPr>
          <w:rFonts w:cs="Arial"/>
          <w:b/>
          <w:sz w:val="18"/>
        </w:rPr>
      </w:pPr>
      <w:r w:rsidRPr="00E020C2">
        <w:rPr>
          <w:rFonts w:cs="Arial"/>
          <w:b/>
          <w:sz w:val="18"/>
        </w:rPr>
        <w:t>Table I.1</w:t>
      </w:r>
    </w:p>
    <w:p w:rsidR="00C96A4B" w:rsidRPr="00E020C2" w:rsidRDefault="00C96A4B" w:rsidP="00C96A4B">
      <w:pPr>
        <w:spacing w:after="120"/>
        <w:jc w:val="center"/>
        <w:rPr>
          <w:b/>
          <w:sz w:val="18"/>
        </w:rPr>
      </w:pPr>
      <w:r w:rsidRPr="00E020C2">
        <w:rPr>
          <w:b/>
          <w:sz w:val="18"/>
        </w:rPr>
        <w:t xml:space="preserve">NZS relative to the median equivalised </w:t>
      </w:r>
      <w:smartTag w:uri="urn:schemas-microsoft-com:office:smarttags" w:element="stockticker">
        <w:r w:rsidRPr="00E020C2">
          <w:rPr>
            <w:b/>
            <w:sz w:val="18"/>
          </w:rPr>
          <w:t>BHC</w:t>
        </w:r>
      </w:smartTag>
      <w:r w:rsidRPr="00E020C2">
        <w:rPr>
          <w:b/>
          <w:sz w:val="18"/>
        </w:rPr>
        <w:t xml:space="preserve"> household income median (%)</w:t>
      </w:r>
    </w:p>
    <w:tbl>
      <w:tblPr>
        <w:tblStyle w:val="TableGrid"/>
        <w:tblW w:w="7537" w:type="dxa"/>
        <w:jc w:val="center"/>
        <w:tblInd w:w="649" w:type="dxa"/>
        <w:tblLayout w:type="fixed"/>
        <w:tblLook w:val="01E0"/>
      </w:tblPr>
      <w:tblGrid>
        <w:gridCol w:w="492"/>
        <w:gridCol w:w="443"/>
        <w:gridCol w:w="444"/>
        <w:gridCol w:w="444"/>
        <w:gridCol w:w="444"/>
        <w:gridCol w:w="444"/>
        <w:gridCol w:w="444"/>
        <w:gridCol w:w="443"/>
        <w:gridCol w:w="444"/>
        <w:gridCol w:w="444"/>
        <w:gridCol w:w="444"/>
        <w:gridCol w:w="444"/>
        <w:gridCol w:w="444"/>
        <w:gridCol w:w="444"/>
        <w:gridCol w:w="625"/>
        <w:gridCol w:w="650"/>
      </w:tblGrid>
      <w:tr w:rsidR="00C96A4B">
        <w:trPr>
          <w:trHeight w:hRule="exact" w:val="317"/>
          <w:jc w:val="center"/>
        </w:trPr>
        <w:tc>
          <w:tcPr>
            <w:tcW w:w="492"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1984</w:t>
            </w:r>
          </w:p>
        </w:tc>
        <w:tc>
          <w:tcPr>
            <w:tcW w:w="443"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86</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88</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90</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92</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94</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96</w:t>
            </w:r>
          </w:p>
        </w:tc>
        <w:tc>
          <w:tcPr>
            <w:tcW w:w="443"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98</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01</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04</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07</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08</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09</w:t>
            </w:r>
          </w:p>
        </w:tc>
        <w:tc>
          <w:tcPr>
            <w:tcW w:w="444"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10</w:t>
            </w:r>
          </w:p>
        </w:tc>
        <w:tc>
          <w:tcPr>
            <w:tcW w:w="625" w:type="dxa"/>
            <w:tcMar>
              <w:left w:w="57" w:type="dxa"/>
              <w:right w:w="57" w:type="dxa"/>
            </w:tcMar>
            <w:vAlign w:val="center"/>
          </w:tcPr>
          <w:p w:rsidR="00C96A4B" w:rsidRPr="00AA759D" w:rsidRDefault="00C96A4B" w:rsidP="00614C04">
            <w:pPr>
              <w:jc w:val="center"/>
              <w:rPr>
                <w:rFonts w:cs="Arial"/>
                <w:b/>
                <w:sz w:val="14"/>
                <w:szCs w:val="16"/>
              </w:rPr>
            </w:pPr>
            <w:r w:rsidRPr="00AA759D">
              <w:rPr>
                <w:rFonts w:cs="Arial"/>
                <w:b/>
                <w:sz w:val="14"/>
                <w:szCs w:val="16"/>
              </w:rPr>
              <w:t>Apr 11</w:t>
            </w:r>
          </w:p>
        </w:tc>
        <w:tc>
          <w:tcPr>
            <w:tcW w:w="650" w:type="dxa"/>
            <w:tcMar>
              <w:left w:w="57" w:type="dxa"/>
              <w:right w:w="57" w:type="dxa"/>
            </w:tcMar>
            <w:vAlign w:val="center"/>
          </w:tcPr>
          <w:p w:rsidR="00C96A4B" w:rsidRPr="00AA759D" w:rsidRDefault="00C96A4B" w:rsidP="00614C04">
            <w:pPr>
              <w:jc w:val="center"/>
              <w:rPr>
                <w:rFonts w:cs="Arial"/>
                <w:b/>
                <w:sz w:val="14"/>
                <w:szCs w:val="16"/>
              </w:rPr>
            </w:pPr>
            <w:r w:rsidRPr="00AA759D">
              <w:rPr>
                <w:rFonts w:cs="Arial"/>
                <w:b/>
                <w:sz w:val="14"/>
                <w:szCs w:val="16"/>
              </w:rPr>
              <w:t>Oct 11</w:t>
            </w:r>
          </w:p>
        </w:tc>
      </w:tr>
      <w:tr w:rsidR="00C96A4B">
        <w:trPr>
          <w:jc w:val="center"/>
        </w:trPr>
        <w:tc>
          <w:tcPr>
            <w:tcW w:w="492"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63</w:t>
            </w:r>
          </w:p>
        </w:tc>
        <w:tc>
          <w:tcPr>
            <w:tcW w:w="443"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57</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57</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60</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65</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67</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62</w:t>
            </w:r>
          </w:p>
        </w:tc>
        <w:tc>
          <w:tcPr>
            <w:tcW w:w="443"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58</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58</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56</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52</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51</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48</w:t>
            </w:r>
          </w:p>
        </w:tc>
        <w:tc>
          <w:tcPr>
            <w:tcW w:w="444"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51</w:t>
            </w:r>
          </w:p>
        </w:tc>
        <w:tc>
          <w:tcPr>
            <w:tcW w:w="625" w:type="dxa"/>
            <w:tcMar>
              <w:left w:w="57" w:type="dxa"/>
              <w:right w:w="57"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52</w:t>
            </w:r>
          </w:p>
        </w:tc>
        <w:tc>
          <w:tcPr>
            <w:tcW w:w="650" w:type="dxa"/>
            <w:tcMar>
              <w:left w:w="57" w:type="dxa"/>
              <w:right w:w="57"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53</w:t>
            </w:r>
          </w:p>
        </w:tc>
      </w:tr>
    </w:tbl>
    <w:p w:rsidR="00C96A4B" w:rsidRPr="00A050A4" w:rsidRDefault="00C96A4B" w:rsidP="00C96A4B">
      <w:pPr>
        <w:spacing w:before="240"/>
        <w:ind w:left="1080" w:right="547" w:hanging="634"/>
        <w:jc w:val="both"/>
        <w:rPr>
          <w:rFonts w:cs="Arial"/>
          <w:sz w:val="18"/>
          <w:szCs w:val="18"/>
        </w:rPr>
      </w:pPr>
      <w:r w:rsidRPr="00A050A4">
        <w:rPr>
          <w:rFonts w:cs="Arial"/>
          <w:sz w:val="18"/>
          <w:szCs w:val="18"/>
        </w:rPr>
        <w:t>Note:</w:t>
      </w:r>
      <w:r w:rsidRPr="00A050A4">
        <w:rPr>
          <w:rFonts w:cs="Arial"/>
          <w:sz w:val="18"/>
          <w:szCs w:val="18"/>
        </w:rPr>
        <w:tab/>
      </w:r>
      <w:r>
        <w:rPr>
          <w:rFonts w:cs="Arial"/>
          <w:sz w:val="18"/>
          <w:szCs w:val="18"/>
        </w:rPr>
        <w:t>NZS is updated on 1 April each year, and sometimes on 1 October also if there have been tax changes.  The HES interviews are carried out from 1 July to 30 June.  For Figure I.3 and Table I.1, the NZS in year ‘n’ is compared with the HES median for year ‘n/n+1’.  For example, the 1 April 2009 NZS is compared with the median for the 2008-09 HES.  This is a reasonable approximation, but note that the actual NZS amount received over the 12 months prior to interview depends on the actual interview date for each household.  The trend of NZS relative to the household median income in Figure I.3 and Table I.1 is robust for a ‘stylised fact’, but not for the precise micro detail for all older households.</w:t>
      </w:r>
      <w:r w:rsidRPr="00A050A4">
        <w:rPr>
          <w:rFonts w:cs="Arial"/>
          <w:sz w:val="18"/>
          <w:szCs w:val="18"/>
        </w:rPr>
        <w:t xml:space="preserve"> </w:t>
      </w:r>
    </w:p>
    <w:p w:rsidR="00C96A4B" w:rsidRDefault="00C96A4B" w:rsidP="00C96A4B">
      <w:pPr>
        <w:jc w:val="both"/>
        <w:rPr>
          <w:rFonts w:cs="Arial"/>
          <w:sz w:val="20"/>
          <w:szCs w:val="22"/>
          <w:lang w:val="en-NZ"/>
        </w:rPr>
      </w:pPr>
    </w:p>
    <w:p w:rsidR="00C96A4B" w:rsidRPr="00E020C2" w:rsidRDefault="00C96A4B" w:rsidP="00C96A4B">
      <w:pPr>
        <w:rPr>
          <w:rFonts w:cs="Arial"/>
          <w:b/>
          <w:sz w:val="20"/>
          <w:szCs w:val="22"/>
          <w:lang w:val="en-NZ"/>
        </w:rPr>
      </w:pPr>
      <w:r>
        <w:rPr>
          <w:rFonts w:cs="Arial"/>
          <w:b/>
          <w:sz w:val="20"/>
          <w:szCs w:val="22"/>
          <w:lang w:val="en-NZ"/>
        </w:rPr>
        <w:br w:type="page"/>
      </w:r>
      <w:r w:rsidRPr="00E020C2">
        <w:rPr>
          <w:rFonts w:cs="Arial"/>
          <w:b/>
          <w:sz w:val="20"/>
          <w:szCs w:val="22"/>
          <w:lang w:val="en-NZ"/>
        </w:rPr>
        <w:lastRenderedPageBreak/>
        <w:t xml:space="preserve">Sensitivity of reported </w:t>
      </w:r>
      <w:smartTag w:uri="urn:schemas-microsoft-com:office:smarttags" w:element="stockticker">
        <w:r>
          <w:rPr>
            <w:rFonts w:cs="Arial"/>
            <w:b/>
            <w:sz w:val="20"/>
            <w:szCs w:val="22"/>
            <w:lang w:val="en-NZ"/>
          </w:rPr>
          <w:t>BHC</w:t>
        </w:r>
      </w:smartTag>
      <w:r>
        <w:rPr>
          <w:rFonts w:cs="Arial"/>
          <w:b/>
          <w:sz w:val="20"/>
          <w:szCs w:val="22"/>
          <w:lang w:val="en-NZ"/>
        </w:rPr>
        <w:t xml:space="preserve"> </w:t>
      </w:r>
      <w:r w:rsidRPr="00E020C2">
        <w:rPr>
          <w:rFonts w:cs="Arial"/>
          <w:b/>
          <w:sz w:val="20"/>
          <w:szCs w:val="22"/>
          <w:lang w:val="en-NZ"/>
        </w:rPr>
        <w:t>poverty rates to the choice of poverty line</w:t>
      </w:r>
    </w:p>
    <w:p w:rsidR="00C96A4B" w:rsidRPr="00E020C2" w:rsidRDefault="00C96A4B" w:rsidP="00C96A4B">
      <w:pPr>
        <w:jc w:val="both"/>
        <w:rPr>
          <w:rFonts w:cs="Arial"/>
          <w:sz w:val="20"/>
          <w:szCs w:val="22"/>
          <w:lang w:val="en-NZ"/>
        </w:rPr>
      </w:pPr>
    </w:p>
    <w:p w:rsidR="00C96A4B" w:rsidRDefault="00C96A4B" w:rsidP="00C96A4B">
      <w:pPr>
        <w:jc w:val="both"/>
        <w:rPr>
          <w:rFonts w:cs="Arial"/>
          <w:sz w:val="20"/>
          <w:szCs w:val="22"/>
          <w:lang w:val="en-NZ"/>
        </w:rPr>
      </w:pPr>
      <w:r w:rsidRPr="00E020C2">
        <w:rPr>
          <w:rFonts w:cs="Arial"/>
          <w:b/>
          <w:sz w:val="20"/>
          <w:szCs w:val="22"/>
          <w:lang w:val="en-NZ"/>
        </w:rPr>
        <w:t>Table I.</w:t>
      </w:r>
      <w:r>
        <w:rPr>
          <w:rFonts w:cs="Arial"/>
          <w:b/>
          <w:sz w:val="20"/>
          <w:szCs w:val="22"/>
          <w:lang w:val="en-NZ"/>
        </w:rPr>
        <w:t>2</w:t>
      </w:r>
      <w:r w:rsidRPr="00E020C2">
        <w:rPr>
          <w:rFonts w:cs="Arial"/>
          <w:b/>
          <w:sz w:val="20"/>
          <w:szCs w:val="22"/>
          <w:lang w:val="en-NZ"/>
        </w:rPr>
        <w:t xml:space="preserve"> </w:t>
      </w:r>
      <w:r w:rsidRPr="00E020C2">
        <w:rPr>
          <w:rFonts w:cs="Arial"/>
          <w:sz w:val="20"/>
          <w:szCs w:val="22"/>
          <w:lang w:val="en-NZ"/>
        </w:rPr>
        <w:t>shows</w:t>
      </w:r>
      <w:r>
        <w:rPr>
          <w:rFonts w:cs="Arial"/>
          <w:sz w:val="20"/>
          <w:szCs w:val="22"/>
          <w:lang w:val="en-NZ"/>
        </w:rPr>
        <w:t xml:space="preserve"> the proportion of older New Zealanders (65+) in households with incomes under two commonly used ‘poverty lines’.  The top line uses the OECD equivalence scale to ensure consistency with OECD publications.  The second line uses the same 50% of median threshold but the Revised Jensen scale as in the rest of the report. </w:t>
      </w:r>
    </w:p>
    <w:p w:rsidR="00C96A4B" w:rsidRDefault="00C96A4B" w:rsidP="00C96A4B">
      <w:pPr>
        <w:jc w:val="both"/>
        <w:rPr>
          <w:rFonts w:cs="Arial"/>
          <w:sz w:val="20"/>
          <w:szCs w:val="22"/>
          <w:lang w:val="en-NZ"/>
        </w:rPr>
      </w:pPr>
    </w:p>
    <w:p w:rsidR="00C96A4B" w:rsidRDefault="00C96A4B" w:rsidP="00C96A4B">
      <w:pPr>
        <w:jc w:val="both"/>
        <w:rPr>
          <w:rFonts w:cs="Arial"/>
          <w:sz w:val="20"/>
          <w:szCs w:val="22"/>
          <w:lang w:val="en-NZ"/>
        </w:rPr>
      </w:pPr>
      <w:r>
        <w:rPr>
          <w:rFonts w:cs="Arial"/>
          <w:sz w:val="20"/>
          <w:szCs w:val="22"/>
          <w:lang w:val="en-NZ"/>
        </w:rPr>
        <w:t xml:space="preserve">On the 50% of median measure (OECD), the poverty rate was close to zero for the whole period 1984 to 2001.   This was because the value of NZS was above 50% of the median. </w:t>
      </w:r>
      <w:r w:rsidRPr="00E020C2">
        <w:rPr>
          <w:rFonts w:cs="Arial"/>
          <w:sz w:val="20"/>
          <w:szCs w:val="22"/>
          <w:lang w:val="en-NZ"/>
        </w:rPr>
        <w:t xml:space="preserve"> </w:t>
      </w:r>
      <w:r>
        <w:rPr>
          <w:rFonts w:cs="Arial"/>
          <w:sz w:val="20"/>
          <w:szCs w:val="22"/>
          <w:lang w:val="en-NZ"/>
        </w:rPr>
        <w:t>By 2009, with the value of NZS just below the 50% of median, the reported ‘poverty rate’ had risen to 22%.</w:t>
      </w:r>
      <w:r>
        <w:rPr>
          <w:rStyle w:val="FootnoteReference"/>
          <w:rFonts w:cs="Arial"/>
          <w:sz w:val="20"/>
          <w:szCs w:val="22"/>
          <w:lang w:val="en-NZ"/>
        </w:rPr>
        <w:footnoteReference w:id="79"/>
      </w:r>
      <w:r>
        <w:rPr>
          <w:rFonts w:cs="Arial"/>
          <w:sz w:val="20"/>
          <w:szCs w:val="22"/>
          <w:lang w:val="en-NZ"/>
        </w:rPr>
        <w:t xml:space="preserve">  From the 2009 HES to the 2010 HES, NZS rose more rapidly than the median which brought the reported poverty rate down to 13%.  Assuming the median is flat or declines from the 2010 HES to the 2011 HES (very likely), then the reported poverty rate will decline even further, especially as the October 2010 tax changes raised the 1 October 2010 NZS value.</w:t>
      </w:r>
    </w:p>
    <w:p w:rsidR="00C96A4B" w:rsidRDefault="00C96A4B" w:rsidP="00C96A4B">
      <w:pPr>
        <w:jc w:val="both"/>
        <w:rPr>
          <w:rFonts w:cs="Arial"/>
          <w:sz w:val="20"/>
          <w:szCs w:val="22"/>
          <w:lang w:val="en-NZ"/>
        </w:rPr>
      </w:pPr>
    </w:p>
    <w:p w:rsidR="00C96A4B" w:rsidRPr="00E020C2" w:rsidRDefault="00C96A4B" w:rsidP="00C96A4B">
      <w:pPr>
        <w:jc w:val="both"/>
        <w:rPr>
          <w:rFonts w:cs="Arial"/>
          <w:sz w:val="20"/>
          <w:szCs w:val="22"/>
          <w:lang w:val="en-NZ"/>
        </w:rPr>
      </w:pPr>
      <w:r w:rsidRPr="00E020C2">
        <w:rPr>
          <w:rFonts w:cs="Arial"/>
          <w:sz w:val="20"/>
          <w:szCs w:val="22"/>
          <w:lang w:val="en-NZ"/>
        </w:rPr>
        <w:t>Using a 60% threshold the</w:t>
      </w:r>
      <w:r>
        <w:rPr>
          <w:rFonts w:cs="Arial"/>
          <w:sz w:val="20"/>
          <w:szCs w:val="22"/>
          <w:lang w:val="en-NZ"/>
        </w:rPr>
        <w:t xml:space="preserve"> poverty rates</w:t>
      </w:r>
      <w:r w:rsidRPr="00E020C2">
        <w:rPr>
          <w:rFonts w:cs="Arial"/>
          <w:sz w:val="20"/>
          <w:szCs w:val="22"/>
          <w:lang w:val="en-NZ"/>
        </w:rPr>
        <w:t xml:space="preserve"> fell from 25% in 1988 to close to zero in the mid</w:t>
      </w:r>
      <w:r>
        <w:rPr>
          <w:rFonts w:cs="Arial"/>
          <w:sz w:val="20"/>
          <w:szCs w:val="22"/>
          <w:lang w:val="en-NZ"/>
        </w:rPr>
        <w:t xml:space="preserve"> </w:t>
      </w:r>
      <w:r w:rsidRPr="00E020C2">
        <w:rPr>
          <w:rFonts w:cs="Arial"/>
          <w:sz w:val="20"/>
          <w:szCs w:val="22"/>
          <w:lang w:val="en-NZ"/>
        </w:rPr>
        <w:t>1990s when the median fell in real terms and NZS was above the 60% threshold</w:t>
      </w:r>
      <w:r>
        <w:rPr>
          <w:rFonts w:cs="Arial"/>
          <w:sz w:val="20"/>
          <w:szCs w:val="22"/>
          <w:lang w:val="en-NZ"/>
        </w:rPr>
        <w:t>.</w:t>
      </w:r>
      <w:r w:rsidRPr="00E020C2">
        <w:rPr>
          <w:rFonts w:cs="Arial"/>
          <w:sz w:val="20"/>
          <w:szCs w:val="22"/>
          <w:lang w:val="en-NZ"/>
        </w:rPr>
        <w:t xml:space="preserve"> </w:t>
      </w:r>
      <w:r>
        <w:rPr>
          <w:rFonts w:cs="Arial"/>
          <w:sz w:val="20"/>
          <w:szCs w:val="22"/>
          <w:lang w:val="en-NZ"/>
        </w:rPr>
        <w:t xml:space="preserve"> By 2004, the rising median had led to 37% of older New Zealanders being classed as ‘in poverty’ on this measure.  Similar rates are reported for 2007 to 2010.  </w:t>
      </w:r>
    </w:p>
    <w:p w:rsidR="00C96A4B" w:rsidRDefault="00C96A4B" w:rsidP="00C96A4B">
      <w:pPr>
        <w:jc w:val="both"/>
        <w:rPr>
          <w:rFonts w:cs="Arial"/>
          <w:sz w:val="20"/>
          <w:szCs w:val="22"/>
          <w:lang w:val="en-NZ"/>
        </w:rPr>
      </w:pPr>
    </w:p>
    <w:p w:rsidR="00C96A4B" w:rsidRPr="00E020C2" w:rsidRDefault="00C96A4B" w:rsidP="00C96A4B">
      <w:pPr>
        <w:jc w:val="center"/>
        <w:rPr>
          <w:rFonts w:cs="Arial"/>
          <w:b/>
          <w:sz w:val="18"/>
        </w:rPr>
      </w:pPr>
      <w:r w:rsidRPr="00E020C2">
        <w:rPr>
          <w:rFonts w:cs="Arial"/>
          <w:b/>
          <w:sz w:val="18"/>
        </w:rPr>
        <w:t>Table I.</w:t>
      </w:r>
      <w:r>
        <w:rPr>
          <w:rFonts w:cs="Arial"/>
          <w:b/>
          <w:sz w:val="18"/>
        </w:rPr>
        <w:t>2</w:t>
      </w:r>
    </w:p>
    <w:p w:rsidR="00C96A4B" w:rsidRPr="00E020C2" w:rsidRDefault="00C96A4B" w:rsidP="00C96A4B">
      <w:pPr>
        <w:spacing w:after="120"/>
        <w:jc w:val="center"/>
        <w:rPr>
          <w:b/>
          <w:sz w:val="18"/>
        </w:rPr>
      </w:pPr>
      <w:r>
        <w:rPr>
          <w:b/>
          <w:sz w:val="18"/>
        </w:rPr>
        <w:t xml:space="preserve">Proportion of older New Zealanders (65+) in households with </w:t>
      </w:r>
      <w:smartTag w:uri="urn:schemas-microsoft-com:office:smarttags" w:element="stockticker">
        <w:r>
          <w:rPr>
            <w:b/>
            <w:sz w:val="18"/>
          </w:rPr>
          <w:t>BHC</w:t>
        </w:r>
      </w:smartTag>
      <w:r>
        <w:rPr>
          <w:b/>
          <w:sz w:val="18"/>
        </w:rPr>
        <w:t xml:space="preserve"> incomes below low-income thresholds (‘poverty lines’), set at 50% and 60% of the median in the survey year (%)</w:t>
      </w:r>
    </w:p>
    <w:tbl>
      <w:tblPr>
        <w:tblStyle w:val="TableGrid"/>
        <w:tblW w:w="8778" w:type="dxa"/>
        <w:jc w:val="center"/>
        <w:tblInd w:w="395" w:type="dxa"/>
        <w:tblLayout w:type="fixed"/>
        <w:tblLook w:val="01E0"/>
      </w:tblPr>
      <w:tblGrid>
        <w:gridCol w:w="1437"/>
        <w:gridCol w:w="489"/>
        <w:gridCol w:w="489"/>
        <w:gridCol w:w="490"/>
        <w:gridCol w:w="489"/>
        <w:gridCol w:w="490"/>
        <w:gridCol w:w="489"/>
        <w:gridCol w:w="489"/>
        <w:gridCol w:w="490"/>
        <w:gridCol w:w="489"/>
        <w:gridCol w:w="490"/>
        <w:gridCol w:w="489"/>
        <w:gridCol w:w="489"/>
        <w:gridCol w:w="490"/>
        <w:gridCol w:w="489"/>
        <w:gridCol w:w="490"/>
      </w:tblGrid>
      <w:tr w:rsidR="00C96A4B">
        <w:trPr>
          <w:trHeight w:hRule="exact" w:val="317"/>
          <w:jc w:val="center"/>
        </w:trPr>
        <w:tc>
          <w:tcPr>
            <w:tcW w:w="1437" w:type="dxa"/>
            <w:tcBorders>
              <w:top w:val="nil"/>
              <w:left w:val="nil"/>
            </w:tcBorders>
            <w:vAlign w:val="center"/>
          </w:tcPr>
          <w:p w:rsidR="00C96A4B" w:rsidRPr="00AA759D" w:rsidRDefault="00C96A4B" w:rsidP="00614C04">
            <w:pPr>
              <w:jc w:val="center"/>
              <w:rPr>
                <w:rFonts w:cs="Arial"/>
                <w:b/>
                <w:sz w:val="14"/>
                <w:szCs w:val="16"/>
              </w:rPr>
            </w:pP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1984</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86</w:t>
            </w:r>
          </w:p>
        </w:tc>
        <w:tc>
          <w:tcPr>
            <w:tcW w:w="490"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88</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90</w:t>
            </w:r>
          </w:p>
        </w:tc>
        <w:tc>
          <w:tcPr>
            <w:tcW w:w="490"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92</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94</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96</w:t>
            </w:r>
          </w:p>
        </w:tc>
        <w:tc>
          <w:tcPr>
            <w:tcW w:w="490"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98</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01</w:t>
            </w:r>
          </w:p>
        </w:tc>
        <w:tc>
          <w:tcPr>
            <w:tcW w:w="490"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04</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07</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08</w:t>
            </w:r>
          </w:p>
        </w:tc>
        <w:tc>
          <w:tcPr>
            <w:tcW w:w="490"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09</w:t>
            </w:r>
          </w:p>
        </w:tc>
        <w:tc>
          <w:tcPr>
            <w:tcW w:w="489" w:type="dxa"/>
            <w:tcMar>
              <w:left w:w="14" w:type="dxa"/>
              <w:right w:w="14" w:type="dxa"/>
            </w:tcMar>
            <w:vAlign w:val="center"/>
          </w:tcPr>
          <w:p w:rsidR="00C96A4B" w:rsidRPr="00AA759D" w:rsidRDefault="00C96A4B" w:rsidP="00614C04">
            <w:pPr>
              <w:jc w:val="center"/>
              <w:rPr>
                <w:rFonts w:cs="Arial"/>
                <w:b/>
                <w:sz w:val="14"/>
                <w:szCs w:val="16"/>
              </w:rPr>
            </w:pPr>
            <w:r w:rsidRPr="00AA759D">
              <w:rPr>
                <w:rFonts w:cs="Arial"/>
                <w:b/>
                <w:sz w:val="14"/>
                <w:szCs w:val="16"/>
              </w:rPr>
              <w:t>10</w:t>
            </w:r>
          </w:p>
        </w:tc>
        <w:tc>
          <w:tcPr>
            <w:tcW w:w="490" w:type="dxa"/>
            <w:vAlign w:val="center"/>
          </w:tcPr>
          <w:p w:rsidR="00C96A4B" w:rsidRPr="00AA759D" w:rsidRDefault="00C96A4B" w:rsidP="00614C04">
            <w:pPr>
              <w:jc w:val="center"/>
              <w:rPr>
                <w:rFonts w:cs="Arial"/>
                <w:b/>
                <w:sz w:val="14"/>
                <w:szCs w:val="16"/>
              </w:rPr>
            </w:pPr>
            <w:r>
              <w:rPr>
                <w:rFonts w:cs="Arial"/>
                <w:b/>
                <w:sz w:val="14"/>
                <w:szCs w:val="16"/>
              </w:rPr>
              <w:t>11</w:t>
            </w:r>
          </w:p>
        </w:tc>
      </w:tr>
      <w:tr w:rsidR="00C96A4B">
        <w:trPr>
          <w:jc w:val="center"/>
        </w:trPr>
        <w:tc>
          <w:tcPr>
            <w:tcW w:w="1437" w:type="dxa"/>
            <w:vAlign w:val="center"/>
          </w:tcPr>
          <w:p w:rsidR="00C96A4B" w:rsidRPr="00AA759D" w:rsidRDefault="00C96A4B" w:rsidP="00614C04">
            <w:pPr>
              <w:spacing w:before="40" w:after="40"/>
              <w:rPr>
                <w:rFonts w:cs="Arial"/>
                <w:sz w:val="14"/>
                <w:szCs w:val="16"/>
              </w:rPr>
            </w:pPr>
            <w:r w:rsidRPr="00AA759D">
              <w:rPr>
                <w:rFonts w:cs="Arial"/>
                <w:sz w:val="14"/>
                <w:szCs w:val="16"/>
              </w:rPr>
              <w:t>50% OECD equiv</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8</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9</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18</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16</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22</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13</w:t>
            </w:r>
          </w:p>
        </w:tc>
        <w:tc>
          <w:tcPr>
            <w:tcW w:w="490" w:type="dxa"/>
            <w:vAlign w:val="center"/>
          </w:tcPr>
          <w:p w:rsidR="00C96A4B" w:rsidRPr="00AA759D" w:rsidRDefault="00C96A4B" w:rsidP="00614C04">
            <w:pPr>
              <w:spacing w:before="40" w:after="40"/>
              <w:jc w:val="center"/>
              <w:rPr>
                <w:rFonts w:cs="Arial"/>
                <w:sz w:val="14"/>
                <w:szCs w:val="16"/>
              </w:rPr>
            </w:pPr>
            <w:r>
              <w:rPr>
                <w:rFonts w:cs="Arial"/>
                <w:sz w:val="14"/>
                <w:szCs w:val="16"/>
              </w:rPr>
              <w:t>11</w:t>
            </w:r>
          </w:p>
        </w:tc>
      </w:tr>
      <w:tr w:rsidR="00C96A4B">
        <w:trPr>
          <w:jc w:val="center"/>
        </w:trPr>
        <w:tc>
          <w:tcPr>
            <w:tcW w:w="1437" w:type="dxa"/>
            <w:vAlign w:val="center"/>
          </w:tcPr>
          <w:p w:rsidR="00C96A4B" w:rsidRPr="00AA759D" w:rsidRDefault="00C96A4B" w:rsidP="00614C04">
            <w:pPr>
              <w:spacing w:before="40" w:after="40"/>
              <w:rPr>
                <w:rFonts w:cs="Arial"/>
                <w:sz w:val="14"/>
                <w:szCs w:val="16"/>
              </w:rPr>
            </w:pPr>
            <w:r w:rsidRPr="00AA759D">
              <w:rPr>
                <w:rFonts w:cs="Arial"/>
                <w:sz w:val="14"/>
                <w:szCs w:val="16"/>
              </w:rPr>
              <w:t>50% NZ equiv</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8</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14</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5</w:t>
            </w:r>
          </w:p>
        </w:tc>
        <w:tc>
          <w:tcPr>
            <w:tcW w:w="490" w:type="dxa"/>
            <w:vAlign w:val="center"/>
          </w:tcPr>
          <w:p w:rsidR="00C96A4B" w:rsidRPr="00AA759D" w:rsidRDefault="00C96A4B" w:rsidP="00614C04">
            <w:pPr>
              <w:spacing w:before="40" w:after="40"/>
              <w:jc w:val="center"/>
              <w:rPr>
                <w:rFonts w:cs="Arial"/>
                <w:sz w:val="14"/>
                <w:szCs w:val="16"/>
              </w:rPr>
            </w:pPr>
            <w:r>
              <w:rPr>
                <w:rFonts w:cs="Arial"/>
                <w:sz w:val="14"/>
                <w:szCs w:val="16"/>
              </w:rPr>
              <w:t>4</w:t>
            </w:r>
          </w:p>
        </w:tc>
      </w:tr>
      <w:tr w:rsidR="00C96A4B">
        <w:trPr>
          <w:jc w:val="center"/>
        </w:trPr>
        <w:tc>
          <w:tcPr>
            <w:tcW w:w="1437" w:type="dxa"/>
            <w:vAlign w:val="center"/>
          </w:tcPr>
          <w:p w:rsidR="00C96A4B" w:rsidRPr="00AA759D" w:rsidRDefault="00C96A4B" w:rsidP="00614C04">
            <w:pPr>
              <w:spacing w:before="40" w:after="40"/>
              <w:rPr>
                <w:rFonts w:cs="Arial"/>
                <w:sz w:val="14"/>
                <w:szCs w:val="16"/>
              </w:rPr>
            </w:pPr>
            <w:r w:rsidRPr="00AA759D">
              <w:rPr>
                <w:rFonts w:cs="Arial"/>
                <w:sz w:val="14"/>
                <w:szCs w:val="16"/>
              </w:rPr>
              <w:t>60% NZ equiv</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14</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17</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25</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20</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1</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25</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20</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37</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38</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39</w:t>
            </w:r>
          </w:p>
        </w:tc>
        <w:tc>
          <w:tcPr>
            <w:tcW w:w="490"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37</w:t>
            </w:r>
          </w:p>
        </w:tc>
        <w:tc>
          <w:tcPr>
            <w:tcW w:w="489" w:type="dxa"/>
            <w:tcMar>
              <w:left w:w="14" w:type="dxa"/>
              <w:right w:w="14" w:type="dxa"/>
            </w:tcMar>
            <w:vAlign w:val="center"/>
          </w:tcPr>
          <w:p w:rsidR="00C96A4B" w:rsidRPr="00AA759D" w:rsidRDefault="00C96A4B" w:rsidP="00614C04">
            <w:pPr>
              <w:spacing w:before="40" w:after="40"/>
              <w:jc w:val="center"/>
              <w:rPr>
                <w:rFonts w:cs="Arial"/>
                <w:sz w:val="14"/>
                <w:szCs w:val="16"/>
              </w:rPr>
            </w:pPr>
            <w:r w:rsidRPr="00AA759D">
              <w:rPr>
                <w:rFonts w:cs="Arial"/>
                <w:sz w:val="14"/>
                <w:szCs w:val="16"/>
              </w:rPr>
              <w:t>36</w:t>
            </w:r>
          </w:p>
        </w:tc>
        <w:tc>
          <w:tcPr>
            <w:tcW w:w="490" w:type="dxa"/>
            <w:vAlign w:val="center"/>
          </w:tcPr>
          <w:p w:rsidR="00C96A4B" w:rsidRPr="00AA759D" w:rsidRDefault="00C96A4B" w:rsidP="00614C04">
            <w:pPr>
              <w:spacing w:before="40" w:after="40"/>
              <w:jc w:val="center"/>
              <w:rPr>
                <w:rFonts w:cs="Arial"/>
                <w:sz w:val="14"/>
                <w:szCs w:val="16"/>
              </w:rPr>
            </w:pPr>
            <w:r>
              <w:rPr>
                <w:rFonts w:cs="Arial"/>
                <w:sz w:val="14"/>
                <w:szCs w:val="16"/>
              </w:rPr>
              <w:t>33</w:t>
            </w:r>
          </w:p>
        </w:tc>
      </w:tr>
    </w:tbl>
    <w:p w:rsidR="00C96A4B" w:rsidRPr="00E020C2" w:rsidRDefault="00C96A4B" w:rsidP="00C96A4B">
      <w:pPr>
        <w:jc w:val="both"/>
        <w:rPr>
          <w:rFonts w:cs="Arial"/>
          <w:sz w:val="20"/>
          <w:szCs w:val="22"/>
          <w:lang w:val="en-NZ"/>
        </w:rPr>
      </w:pPr>
    </w:p>
    <w:p w:rsidR="00C96A4B" w:rsidRPr="00E020C2" w:rsidRDefault="00C96A4B" w:rsidP="00C96A4B">
      <w:pPr>
        <w:spacing w:before="120"/>
        <w:jc w:val="both"/>
        <w:rPr>
          <w:rFonts w:cs="Arial"/>
          <w:sz w:val="20"/>
          <w:szCs w:val="22"/>
        </w:rPr>
      </w:pPr>
      <w:r w:rsidRPr="00E020C2">
        <w:rPr>
          <w:rFonts w:cs="Arial"/>
          <w:sz w:val="20"/>
          <w:szCs w:val="22"/>
        </w:rPr>
        <w:t xml:space="preserve">The large variations in reported poverty rates for the 65+ group (using </w:t>
      </w:r>
      <w:smartTag w:uri="urn:schemas-microsoft-com:office:smarttags" w:element="stockticker">
        <w:r w:rsidRPr="00E020C2">
          <w:rPr>
            <w:rFonts w:cs="Arial"/>
            <w:sz w:val="20"/>
            <w:szCs w:val="22"/>
          </w:rPr>
          <w:t>BHC</w:t>
        </w:r>
      </w:smartTag>
      <w:r w:rsidRPr="00E020C2">
        <w:rPr>
          <w:rFonts w:cs="Arial"/>
          <w:sz w:val="20"/>
          <w:szCs w:val="22"/>
        </w:rPr>
        <w:t xml:space="preserve"> incomes) can leave the misleading impression that there are significant changes in material wellbeing occurring for this group, when in fact there is very little change occurring.</w:t>
      </w:r>
    </w:p>
    <w:p w:rsidR="00C96A4B" w:rsidRDefault="00C96A4B" w:rsidP="00C96A4B">
      <w:pPr>
        <w:jc w:val="both"/>
        <w:rPr>
          <w:rFonts w:cs="Arial"/>
          <w:sz w:val="20"/>
          <w:szCs w:val="22"/>
          <w:lang w:val="en-NZ"/>
        </w:rPr>
      </w:pPr>
    </w:p>
    <w:p w:rsidR="00C96A4B" w:rsidRPr="00E020C2" w:rsidRDefault="00C96A4B" w:rsidP="00C96A4B">
      <w:pPr>
        <w:jc w:val="both"/>
        <w:rPr>
          <w:rFonts w:cs="Arial"/>
          <w:sz w:val="20"/>
          <w:szCs w:val="22"/>
          <w:lang w:val="en-NZ"/>
        </w:rPr>
      </w:pPr>
      <w:r w:rsidRPr="00E020C2">
        <w:rPr>
          <w:rFonts w:cs="Arial"/>
          <w:sz w:val="20"/>
          <w:szCs w:val="22"/>
          <w:lang w:val="en-NZ"/>
        </w:rPr>
        <w:t xml:space="preserve">The pensioner spike has implications for reporting on income poverty for the 65+ and for comparisons of subgroups within the population as a whole.  </w:t>
      </w:r>
      <w:r w:rsidRPr="00E020C2">
        <w:rPr>
          <w:rFonts w:cs="Arial"/>
          <w:b/>
          <w:sz w:val="20"/>
          <w:szCs w:val="22"/>
          <w:lang w:val="en-NZ"/>
        </w:rPr>
        <w:t>Figure I.</w:t>
      </w:r>
      <w:r>
        <w:rPr>
          <w:rFonts w:cs="Arial"/>
          <w:b/>
          <w:sz w:val="20"/>
          <w:szCs w:val="22"/>
          <w:lang w:val="en-NZ"/>
        </w:rPr>
        <w:t>4</w:t>
      </w:r>
      <w:r w:rsidRPr="00E020C2">
        <w:rPr>
          <w:rFonts w:cs="Arial"/>
          <w:sz w:val="20"/>
          <w:szCs w:val="22"/>
          <w:lang w:val="en-NZ"/>
        </w:rPr>
        <w:t xml:space="preserve"> illustrates the issue using HES 20</w:t>
      </w:r>
      <w:r>
        <w:rPr>
          <w:rFonts w:cs="Arial"/>
          <w:sz w:val="20"/>
          <w:szCs w:val="22"/>
          <w:lang w:val="en-NZ"/>
        </w:rPr>
        <w:t>10</w:t>
      </w:r>
      <w:r w:rsidRPr="00E020C2">
        <w:rPr>
          <w:rFonts w:cs="Arial"/>
          <w:sz w:val="20"/>
          <w:szCs w:val="22"/>
          <w:lang w:val="en-NZ"/>
        </w:rPr>
        <w:t xml:space="preserve"> data, showing the sudden rise in poverty rates for the 65+ just above 50% of the median which is the level of NZS for the survey period.   Poverty rates for the 65+ are close to zero when a 50% threshold is used, but </w:t>
      </w:r>
      <w:r>
        <w:rPr>
          <w:rFonts w:cs="Arial"/>
          <w:sz w:val="20"/>
          <w:szCs w:val="22"/>
          <w:lang w:val="en-NZ"/>
        </w:rPr>
        <w:t>36</w:t>
      </w:r>
      <w:r w:rsidRPr="00E020C2">
        <w:rPr>
          <w:rFonts w:cs="Arial"/>
          <w:sz w:val="20"/>
          <w:szCs w:val="22"/>
          <w:lang w:val="en-NZ"/>
        </w:rPr>
        <w:t>% using a 60% threshold.  Other age groups have a much s</w:t>
      </w:r>
      <w:r>
        <w:rPr>
          <w:rFonts w:cs="Arial"/>
          <w:sz w:val="20"/>
          <w:szCs w:val="22"/>
          <w:lang w:val="en-NZ"/>
        </w:rPr>
        <w:t xml:space="preserve">teadier </w:t>
      </w:r>
      <w:r w:rsidRPr="00E020C2">
        <w:rPr>
          <w:rFonts w:cs="Arial"/>
          <w:sz w:val="20"/>
          <w:szCs w:val="22"/>
          <w:lang w:val="en-NZ"/>
        </w:rPr>
        <w:t xml:space="preserve">increase in poverty rates as the threshold rises.  </w:t>
      </w:r>
    </w:p>
    <w:p w:rsidR="00C96A4B" w:rsidRPr="00E020C2" w:rsidRDefault="00C96A4B" w:rsidP="00C96A4B">
      <w:pPr>
        <w:jc w:val="both"/>
        <w:rPr>
          <w:rFonts w:cs="Arial"/>
          <w:b/>
          <w:color w:val="FF0000"/>
          <w:sz w:val="20"/>
          <w:szCs w:val="22"/>
          <w:u w:val="single"/>
          <w:lang w:val="en-NZ"/>
        </w:rPr>
      </w:pPr>
      <w:r w:rsidRPr="00E020C2">
        <w:rPr>
          <w:rFonts w:cs="Arial"/>
          <w:sz w:val="20"/>
          <w:szCs w:val="22"/>
          <w:lang w:val="en-NZ"/>
        </w:rPr>
        <w:tab/>
      </w:r>
      <w:r w:rsidRPr="00E020C2">
        <w:rPr>
          <w:rFonts w:cs="Arial"/>
          <w:sz w:val="20"/>
          <w:szCs w:val="22"/>
          <w:lang w:val="en-NZ"/>
        </w:rPr>
        <w:tab/>
      </w:r>
      <w:r w:rsidRPr="00E020C2">
        <w:rPr>
          <w:rFonts w:cs="Arial"/>
          <w:sz w:val="20"/>
          <w:szCs w:val="22"/>
          <w:lang w:val="en-NZ"/>
        </w:rPr>
        <w:tab/>
      </w:r>
      <w:r w:rsidRPr="00E020C2">
        <w:rPr>
          <w:rFonts w:cs="Arial"/>
          <w:sz w:val="20"/>
          <w:szCs w:val="22"/>
          <w:lang w:val="en-NZ"/>
        </w:rPr>
        <w:tab/>
      </w:r>
    </w:p>
    <w:p w:rsidR="00C96A4B" w:rsidRPr="00E020C2" w:rsidRDefault="00C96A4B" w:rsidP="00C96A4B">
      <w:pPr>
        <w:jc w:val="center"/>
        <w:rPr>
          <w:rFonts w:cs="Arial"/>
          <w:b/>
          <w:sz w:val="18"/>
          <w:lang w:val="en-NZ"/>
        </w:rPr>
      </w:pPr>
      <w:r w:rsidRPr="00E020C2">
        <w:rPr>
          <w:rFonts w:cs="Arial"/>
          <w:b/>
          <w:sz w:val="18"/>
          <w:lang w:val="en-NZ"/>
        </w:rPr>
        <w:t>Figure I.</w:t>
      </w:r>
      <w:r>
        <w:rPr>
          <w:rFonts w:cs="Arial"/>
          <w:b/>
          <w:sz w:val="18"/>
          <w:lang w:val="en-NZ"/>
        </w:rPr>
        <w:t>4</w:t>
      </w:r>
    </w:p>
    <w:p w:rsidR="00C96A4B" w:rsidRPr="00E020C2" w:rsidRDefault="00C96A4B" w:rsidP="00C96A4B">
      <w:pPr>
        <w:jc w:val="center"/>
        <w:rPr>
          <w:rFonts w:cs="Arial"/>
          <w:b/>
          <w:sz w:val="18"/>
          <w:lang w:val="en-NZ"/>
        </w:rPr>
      </w:pPr>
      <w:r w:rsidRPr="00E020C2">
        <w:rPr>
          <w:rFonts w:cs="Arial"/>
          <w:b/>
          <w:sz w:val="18"/>
          <w:lang w:val="en-NZ"/>
        </w:rPr>
        <w:t xml:space="preserve">Sensitivity of income poverty rates for the 65+ to the threshold used: </w:t>
      </w:r>
    </w:p>
    <w:p w:rsidR="00C96A4B" w:rsidRPr="00E020C2" w:rsidRDefault="00C96A4B" w:rsidP="00C96A4B">
      <w:pPr>
        <w:jc w:val="center"/>
        <w:rPr>
          <w:rFonts w:cs="Arial"/>
          <w:b/>
          <w:sz w:val="18"/>
          <w:lang w:val="en-NZ"/>
        </w:rPr>
      </w:pPr>
      <w:smartTag w:uri="urn:schemas-microsoft-com:office:smarttags" w:element="stockticker">
        <w:r w:rsidRPr="00E020C2">
          <w:rPr>
            <w:rFonts w:cs="Arial"/>
            <w:b/>
            <w:sz w:val="18"/>
            <w:lang w:val="en-NZ"/>
          </w:rPr>
          <w:t>BHC</w:t>
        </w:r>
      </w:smartTag>
      <w:r w:rsidRPr="00E020C2">
        <w:rPr>
          <w:rFonts w:cs="Arial"/>
          <w:b/>
          <w:sz w:val="18"/>
          <w:lang w:val="en-NZ"/>
        </w:rPr>
        <w:t xml:space="preserve"> incomes, 20</w:t>
      </w:r>
      <w:r>
        <w:rPr>
          <w:rFonts w:cs="Arial"/>
          <w:b/>
          <w:sz w:val="18"/>
          <w:lang w:val="en-NZ"/>
        </w:rPr>
        <w:t>10</w:t>
      </w:r>
    </w:p>
    <w:p w:rsidR="00C96A4B" w:rsidRPr="00AF2A42" w:rsidRDefault="00EC0BE0" w:rsidP="00C96A4B">
      <w:pPr>
        <w:jc w:val="center"/>
        <w:rPr>
          <w:szCs w:val="22"/>
        </w:rPr>
      </w:pPr>
      <w:r>
        <w:rPr>
          <w:noProof/>
          <w:lang w:val="en-US"/>
        </w:rPr>
        <w:drawing>
          <wp:inline distT="0" distB="0" distL="0" distR="0">
            <wp:extent cx="3324225" cy="2057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srcRect/>
                    <a:stretch>
                      <a:fillRect/>
                    </a:stretch>
                  </pic:blipFill>
                  <pic:spPr bwMode="auto">
                    <a:xfrm>
                      <a:off x="0" y="0"/>
                      <a:ext cx="3324225" cy="2057400"/>
                    </a:xfrm>
                    <a:prstGeom prst="rect">
                      <a:avLst/>
                    </a:prstGeom>
                    <a:noFill/>
                    <a:ln w="9525">
                      <a:noFill/>
                      <a:miter lim="800000"/>
                      <a:headEnd/>
                      <a:tailEnd/>
                    </a:ln>
                  </pic:spPr>
                </pic:pic>
              </a:graphicData>
            </a:graphic>
          </wp:inline>
        </w:drawing>
      </w:r>
    </w:p>
    <w:p w:rsidR="00C96A4B" w:rsidRPr="00D1567E" w:rsidRDefault="00C96A4B" w:rsidP="00C96A4B">
      <w:pPr>
        <w:jc w:val="both"/>
        <w:rPr>
          <w:b/>
          <w:sz w:val="20"/>
        </w:rPr>
      </w:pPr>
      <w:r w:rsidRPr="00D1567E">
        <w:rPr>
          <w:b/>
          <w:sz w:val="20"/>
        </w:rPr>
        <w:lastRenderedPageBreak/>
        <w:t>Using incomes after deducting housing costs (</w:t>
      </w:r>
      <w:smartTag w:uri="urn:schemas-microsoft-com:office:smarttags" w:element="stockticker">
        <w:r w:rsidRPr="00D1567E">
          <w:rPr>
            <w:b/>
            <w:sz w:val="20"/>
          </w:rPr>
          <w:t>AHC</w:t>
        </w:r>
      </w:smartTag>
      <w:r w:rsidRPr="00D1567E">
        <w:rPr>
          <w:b/>
          <w:sz w:val="20"/>
        </w:rPr>
        <w:t xml:space="preserve"> incomes) </w:t>
      </w:r>
      <w:r>
        <w:rPr>
          <w:b/>
          <w:sz w:val="20"/>
        </w:rPr>
        <w:t>to give more stable and reliable results</w:t>
      </w:r>
    </w:p>
    <w:p w:rsidR="00C96A4B" w:rsidRPr="00E020C2" w:rsidRDefault="00C96A4B" w:rsidP="00C96A4B">
      <w:pPr>
        <w:jc w:val="both"/>
        <w:rPr>
          <w:sz w:val="20"/>
        </w:rPr>
      </w:pPr>
    </w:p>
    <w:p w:rsidR="00C96A4B" w:rsidRDefault="00C96A4B" w:rsidP="00C96A4B">
      <w:pPr>
        <w:jc w:val="both"/>
        <w:rPr>
          <w:sz w:val="20"/>
        </w:rPr>
      </w:pPr>
      <w:r>
        <w:rPr>
          <w:sz w:val="20"/>
        </w:rPr>
        <w:t xml:space="preserve">There are good grounds for using </w:t>
      </w:r>
      <w:smartTag w:uri="urn:schemas-microsoft-com:office:smarttags" w:element="stockticker">
        <w:r>
          <w:rPr>
            <w:sz w:val="20"/>
          </w:rPr>
          <w:t>AHC</w:t>
        </w:r>
      </w:smartTag>
      <w:r>
        <w:rPr>
          <w:sz w:val="20"/>
        </w:rPr>
        <w:t xml:space="preserve"> incomes to compare subgroups, irrespective of the pensioner spike.  These are discussed in Appendix 5 and in the Introduction.  The pensioner spike for </w:t>
      </w:r>
      <w:smartTag w:uri="urn:schemas-microsoft-com:office:smarttags" w:element="stockticker">
        <w:r>
          <w:rPr>
            <w:sz w:val="20"/>
          </w:rPr>
          <w:t>BHC</w:t>
        </w:r>
      </w:smartTag>
      <w:r>
        <w:rPr>
          <w:sz w:val="20"/>
        </w:rPr>
        <w:t xml:space="preserve"> incomes provides another rationale.</w:t>
      </w:r>
    </w:p>
    <w:p w:rsidR="00C96A4B" w:rsidRDefault="00C96A4B" w:rsidP="00C96A4B">
      <w:pPr>
        <w:jc w:val="both"/>
        <w:rPr>
          <w:sz w:val="20"/>
        </w:rPr>
      </w:pPr>
    </w:p>
    <w:p w:rsidR="00C96A4B" w:rsidRPr="00E020C2" w:rsidRDefault="00C96A4B" w:rsidP="00C96A4B">
      <w:pPr>
        <w:jc w:val="both"/>
        <w:rPr>
          <w:sz w:val="20"/>
          <w:szCs w:val="22"/>
        </w:rPr>
      </w:pPr>
      <w:r w:rsidRPr="00E020C2">
        <w:rPr>
          <w:sz w:val="20"/>
        </w:rPr>
        <w:t xml:space="preserve">The </w:t>
      </w:r>
      <w:smartTag w:uri="urn:schemas-microsoft-com:office:smarttags" w:element="stockticker">
        <w:r w:rsidRPr="00E020C2">
          <w:rPr>
            <w:sz w:val="20"/>
          </w:rPr>
          <w:t>AHC</w:t>
        </w:r>
      </w:smartTag>
      <w:r w:rsidRPr="00E020C2">
        <w:rPr>
          <w:sz w:val="20"/>
        </w:rPr>
        <w:t xml:space="preserve"> distribution still has some strong bunching but the pensioner spike is not as sharp.  </w:t>
      </w:r>
      <w:r w:rsidRPr="00E020C2">
        <w:rPr>
          <w:sz w:val="20"/>
          <w:lang w:val="en-NZ"/>
        </w:rPr>
        <w:t xml:space="preserve">Furthermore, what remains of the spike is </w:t>
      </w:r>
      <w:r>
        <w:rPr>
          <w:sz w:val="20"/>
          <w:lang w:val="en-NZ"/>
        </w:rPr>
        <w:t xml:space="preserve">mainly </w:t>
      </w:r>
      <w:r w:rsidRPr="00E020C2">
        <w:rPr>
          <w:sz w:val="20"/>
          <w:lang w:val="en-NZ"/>
        </w:rPr>
        <w:t xml:space="preserve">above the 60% of median threshold for </w:t>
      </w:r>
      <w:smartTag w:uri="urn:schemas-microsoft-com:office:smarttags" w:element="stockticker">
        <w:r w:rsidRPr="00E020C2">
          <w:rPr>
            <w:sz w:val="20"/>
            <w:lang w:val="en-NZ"/>
          </w:rPr>
          <w:t>AHC</w:t>
        </w:r>
      </w:smartTag>
      <w:r w:rsidRPr="00E020C2">
        <w:rPr>
          <w:sz w:val="20"/>
          <w:lang w:val="en-NZ"/>
        </w:rPr>
        <w:t xml:space="preserve"> incomes.  Small shifts in the median or the threshold do not therefore have the same disproportionate and misleading effects on (trends in) poverty rates for the 65+ as they do when using </w:t>
      </w:r>
      <w:smartTag w:uri="urn:schemas-microsoft-com:office:smarttags" w:element="stockticker">
        <w:r w:rsidRPr="00E020C2">
          <w:rPr>
            <w:sz w:val="20"/>
            <w:lang w:val="en-NZ"/>
          </w:rPr>
          <w:t>BHC</w:t>
        </w:r>
      </w:smartTag>
      <w:r w:rsidRPr="00E020C2">
        <w:rPr>
          <w:sz w:val="20"/>
          <w:lang w:val="en-NZ"/>
        </w:rPr>
        <w:t xml:space="preserve"> incomes.  This is shown for 20</w:t>
      </w:r>
      <w:r>
        <w:rPr>
          <w:sz w:val="20"/>
          <w:lang w:val="en-NZ"/>
        </w:rPr>
        <w:t>10</w:t>
      </w:r>
      <w:r w:rsidRPr="00E020C2">
        <w:rPr>
          <w:sz w:val="20"/>
          <w:lang w:val="en-NZ"/>
        </w:rPr>
        <w:t xml:space="preserve"> in </w:t>
      </w:r>
      <w:r w:rsidRPr="00E020C2">
        <w:rPr>
          <w:b/>
          <w:sz w:val="20"/>
          <w:lang w:val="en-NZ"/>
        </w:rPr>
        <w:t>Figure I.</w:t>
      </w:r>
      <w:r>
        <w:rPr>
          <w:b/>
          <w:sz w:val="20"/>
          <w:lang w:val="en-NZ"/>
        </w:rPr>
        <w:t>5</w:t>
      </w:r>
      <w:r w:rsidRPr="00E020C2">
        <w:rPr>
          <w:sz w:val="20"/>
          <w:lang w:val="en-NZ"/>
        </w:rPr>
        <w:t xml:space="preserve"> below.</w:t>
      </w:r>
    </w:p>
    <w:p w:rsidR="00C96A4B" w:rsidRDefault="00C96A4B" w:rsidP="00C96A4B">
      <w:pPr>
        <w:jc w:val="center"/>
        <w:rPr>
          <w:rFonts w:cs="Arial"/>
          <w:b/>
          <w:sz w:val="20"/>
          <w:lang w:val="en-NZ"/>
        </w:rPr>
      </w:pPr>
    </w:p>
    <w:p w:rsidR="00C96A4B" w:rsidRPr="00E020C2" w:rsidRDefault="00C96A4B" w:rsidP="00C96A4B">
      <w:pPr>
        <w:jc w:val="center"/>
        <w:rPr>
          <w:rFonts w:cs="Arial"/>
          <w:b/>
          <w:sz w:val="18"/>
          <w:lang w:val="en-NZ"/>
        </w:rPr>
      </w:pPr>
      <w:r w:rsidRPr="00E020C2">
        <w:rPr>
          <w:rFonts w:cs="Arial"/>
          <w:b/>
          <w:sz w:val="18"/>
          <w:lang w:val="en-NZ"/>
        </w:rPr>
        <w:t>Figure I.</w:t>
      </w:r>
      <w:r>
        <w:rPr>
          <w:rFonts w:cs="Arial"/>
          <w:b/>
          <w:sz w:val="18"/>
          <w:lang w:val="en-NZ"/>
        </w:rPr>
        <w:t>5</w:t>
      </w:r>
    </w:p>
    <w:p w:rsidR="00C96A4B" w:rsidRPr="00E020C2" w:rsidRDefault="00C96A4B" w:rsidP="00C96A4B">
      <w:pPr>
        <w:jc w:val="center"/>
        <w:rPr>
          <w:rFonts w:cs="Arial"/>
          <w:b/>
          <w:sz w:val="18"/>
          <w:lang w:val="en-NZ"/>
        </w:rPr>
      </w:pPr>
      <w:r w:rsidRPr="00E020C2">
        <w:rPr>
          <w:rFonts w:cs="Arial"/>
          <w:b/>
          <w:sz w:val="18"/>
          <w:lang w:val="en-NZ"/>
        </w:rPr>
        <w:t xml:space="preserve">Sensitivity of income poverty rates for the 65+ to the threshold used: </w:t>
      </w:r>
    </w:p>
    <w:p w:rsidR="00C96A4B" w:rsidRPr="00E020C2" w:rsidRDefault="00C96A4B" w:rsidP="00C96A4B">
      <w:pPr>
        <w:jc w:val="center"/>
        <w:rPr>
          <w:rFonts w:cs="Arial"/>
          <w:b/>
          <w:sz w:val="18"/>
          <w:lang w:val="en-NZ"/>
        </w:rPr>
      </w:pPr>
      <w:smartTag w:uri="urn:schemas-microsoft-com:office:smarttags" w:element="stockticker">
        <w:r w:rsidRPr="00E020C2">
          <w:rPr>
            <w:rFonts w:cs="Arial"/>
            <w:b/>
            <w:sz w:val="18"/>
            <w:lang w:val="en-NZ"/>
          </w:rPr>
          <w:t>AHC</w:t>
        </w:r>
      </w:smartTag>
      <w:r w:rsidRPr="00E020C2">
        <w:rPr>
          <w:rFonts w:cs="Arial"/>
          <w:b/>
          <w:sz w:val="18"/>
          <w:lang w:val="en-NZ"/>
        </w:rPr>
        <w:t xml:space="preserve"> incomes, 20</w:t>
      </w:r>
      <w:r>
        <w:rPr>
          <w:rFonts w:cs="Arial"/>
          <w:b/>
          <w:sz w:val="18"/>
          <w:lang w:val="en-NZ"/>
        </w:rPr>
        <w:t>10</w:t>
      </w:r>
    </w:p>
    <w:p w:rsidR="00C96A4B" w:rsidRPr="003D4B73" w:rsidRDefault="00EC0BE0" w:rsidP="00C96A4B">
      <w:pPr>
        <w:ind w:right="-25"/>
        <w:jc w:val="center"/>
        <w:rPr>
          <w:szCs w:val="22"/>
        </w:rPr>
      </w:pPr>
      <w:r>
        <w:rPr>
          <w:noProof/>
          <w:lang w:val="en-US"/>
        </w:rPr>
        <w:drawing>
          <wp:inline distT="0" distB="0" distL="0" distR="0">
            <wp:extent cx="3886200" cy="2409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srcRect/>
                    <a:stretch>
                      <a:fillRect/>
                    </a:stretch>
                  </pic:blipFill>
                  <pic:spPr bwMode="auto">
                    <a:xfrm>
                      <a:off x="0" y="0"/>
                      <a:ext cx="3886200" cy="2409825"/>
                    </a:xfrm>
                    <a:prstGeom prst="rect">
                      <a:avLst/>
                    </a:prstGeom>
                    <a:noFill/>
                    <a:ln w="9525">
                      <a:noFill/>
                      <a:miter lim="800000"/>
                      <a:headEnd/>
                      <a:tailEnd/>
                    </a:ln>
                  </pic:spPr>
                </pic:pic>
              </a:graphicData>
            </a:graphic>
          </wp:inline>
        </w:drawing>
      </w:r>
    </w:p>
    <w:p w:rsidR="00C96A4B" w:rsidRDefault="00C96A4B" w:rsidP="00C96A4B"/>
    <w:p w:rsidR="00C96A4B" w:rsidRPr="00E020C2" w:rsidRDefault="00C96A4B" w:rsidP="00C96A4B">
      <w:pPr>
        <w:jc w:val="both"/>
        <w:rPr>
          <w:rFonts w:cs="Arial"/>
          <w:b/>
          <w:sz w:val="18"/>
        </w:rPr>
      </w:pPr>
      <w:r w:rsidRPr="00E020C2">
        <w:rPr>
          <w:b/>
          <w:sz w:val="20"/>
        </w:rPr>
        <w:t>Table I.</w:t>
      </w:r>
      <w:r>
        <w:rPr>
          <w:b/>
          <w:sz w:val="20"/>
        </w:rPr>
        <w:t>3</w:t>
      </w:r>
      <w:r w:rsidRPr="00E020C2">
        <w:rPr>
          <w:sz w:val="20"/>
        </w:rPr>
        <w:t xml:space="preserve"> shows that the proportion of older New Zealanders below </w:t>
      </w:r>
      <w:r>
        <w:rPr>
          <w:sz w:val="20"/>
        </w:rPr>
        <w:t>the</w:t>
      </w:r>
      <w:r w:rsidRPr="00E020C2">
        <w:rPr>
          <w:sz w:val="20"/>
        </w:rPr>
        <w:t xml:space="preserve"> 60% </w:t>
      </w:r>
      <w:r>
        <w:rPr>
          <w:sz w:val="20"/>
        </w:rPr>
        <w:t xml:space="preserve">fixed line </w:t>
      </w:r>
      <w:smartTag w:uri="urn:schemas-microsoft-com:office:smarttags" w:element="stockticker">
        <w:r w:rsidRPr="00E020C2">
          <w:rPr>
            <w:sz w:val="20"/>
          </w:rPr>
          <w:t>AHC</w:t>
        </w:r>
      </w:smartTag>
      <w:r w:rsidRPr="00E020C2">
        <w:rPr>
          <w:sz w:val="20"/>
        </w:rPr>
        <w:t xml:space="preserve"> threshold has remained consistently lower than the population as a whole and reasonably low in its own right </w:t>
      </w:r>
      <w:r>
        <w:rPr>
          <w:sz w:val="20"/>
        </w:rPr>
        <w:t>from 1982 to 2010.</w:t>
      </w:r>
      <w:r w:rsidRPr="00E020C2">
        <w:rPr>
          <w:sz w:val="20"/>
        </w:rPr>
        <w:t xml:space="preserve">  Those living on their own generally have higher proportions below the threshold than do those in couple households, and </w:t>
      </w:r>
      <w:r>
        <w:rPr>
          <w:sz w:val="20"/>
        </w:rPr>
        <w:t>since 2004 have</w:t>
      </w:r>
      <w:r w:rsidRPr="00E020C2">
        <w:rPr>
          <w:sz w:val="20"/>
        </w:rPr>
        <w:t xml:space="preserve"> had poverty rates similar to </w:t>
      </w:r>
      <w:r>
        <w:rPr>
          <w:sz w:val="20"/>
        </w:rPr>
        <w:t xml:space="preserve">that of </w:t>
      </w:r>
      <w:r w:rsidRPr="00E020C2">
        <w:rPr>
          <w:sz w:val="20"/>
        </w:rPr>
        <w:t>the population as a whole.</w:t>
      </w:r>
      <w:r>
        <w:rPr>
          <w:sz w:val="20"/>
        </w:rPr>
        <w:t xml:space="preserve">  There was very little difference in poverty rates for females and males in 2010 (7% and 6% respectively).  For 2009, it was 9% and 8%.  This is a consistent finding over the years.</w:t>
      </w:r>
    </w:p>
    <w:p w:rsidR="00C96A4B" w:rsidRPr="00E020C2" w:rsidRDefault="00C96A4B" w:rsidP="00C96A4B">
      <w:pPr>
        <w:jc w:val="center"/>
        <w:rPr>
          <w:rFonts w:cs="Arial"/>
          <w:b/>
          <w:sz w:val="18"/>
        </w:rPr>
      </w:pPr>
    </w:p>
    <w:p w:rsidR="00C96A4B" w:rsidRPr="00E020C2" w:rsidRDefault="00C96A4B" w:rsidP="00C96A4B">
      <w:pPr>
        <w:jc w:val="center"/>
        <w:rPr>
          <w:rFonts w:cs="Arial"/>
          <w:b/>
          <w:sz w:val="18"/>
        </w:rPr>
      </w:pPr>
      <w:r w:rsidRPr="00E020C2">
        <w:rPr>
          <w:rFonts w:cs="Arial"/>
          <w:b/>
          <w:sz w:val="18"/>
        </w:rPr>
        <w:t>Table I.</w:t>
      </w:r>
      <w:r>
        <w:rPr>
          <w:rFonts w:cs="Arial"/>
          <w:b/>
          <w:sz w:val="18"/>
        </w:rPr>
        <w:t>3</w:t>
      </w:r>
    </w:p>
    <w:p w:rsidR="00C96A4B" w:rsidRPr="00E020C2" w:rsidRDefault="00C96A4B" w:rsidP="00C96A4B">
      <w:pPr>
        <w:jc w:val="center"/>
        <w:rPr>
          <w:b/>
          <w:sz w:val="18"/>
        </w:rPr>
      </w:pPr>
      <w:r w:rsidRPr="00E020C2">
        <w:rPr>
          <w:b/>
          <w:sz w:val="18"/>
        </w:rPr>
        <w:t>Proportions of older New Zealanders (aged 65+) in low-income households, by HH type:</w:t>
      </w:r>
    </w:p>
    <w:p w:rsidR="00C96A4B" w:rsidRPr="00E020C2" w:rsidRDefault="00C96A4B" w:rsidP="00C96A4B">
      <w:pPr>
        <w:spacing w:after="120"/>
        <w:jc w:val="center"/>
        <w:rPr>
          <w:b/>
          <w:sz w:val="18"/>
        </w:rPr>
      </w:pPr>
      <w:smartTag w:uri="urn:schemas-microsoft-com:office:smarttags" w:element="stockticker">
        <w:r w:rsidRPr="00E020C2">
          <w:rPr>
            <w:b/>
            <w:sz w:val="18"/>
          </w:rPr>
          <w:t>AHC</w:t>
        </w:r>
      </w:smartTag>
      <w:r w:rsidRPr="00E020C2">
        <w:rPr>
          <w:b/>
          <w:sz w:val="18"/>
        </w:rPr>
        <w:t xml:space="preserve"> CV</w:t>
      </w:r>
      <w:r>
        <w:rPr>
          <w:b/>
          <w:sz w:val="18"/>
        </w:rPr>
        <w:t xml:space="preserve"> 98 and 07</w:t>
      </w:r>
      <w:r w:rsidRPr="00E020C2">
        <w:rPr>
          <w:b/>
          <w:sz w:val="18"/>
        </w:rPr>
        <w:t xml:space="preserve"> 60% measure</w:t>
      </w:r>
    </w:p>
    <w:tbl>
      <w:tblPr>
        <w:tblStyle w:val="TableGrid"/>
        <w:tblW w:w="8440" w:type="dxa"/>
        <w:jc w:val="center"/>
        <w:tblLayout w:type="fixed"/>
        <w:tblLook w:val="01E0"/>
      </w:tblPr>
      <w:tblGrid>
        <w:gridCol w:w="897"/>
        <w:gridCol w:w="471"/>
        <w:gridCol w:w="471"/>
        <w:gridCol w:w="472"/>
        <w:gridCol w:w="471"/>
        <w:gridCol w:w="472"/>
        <w:gridCol w:w="471"/>
        <w:gridCol w:w="472"/>
        <w:gridCol w:w="471"/>
        <w:gridCol w:w="471"/>
        <w:gridCol w:w="472"/>
        <w:gridCol w:w="471"/>
        <w:gridCol w:w="472"/>
        <w:gridCol w:w="471"/>
        <w:gridCol w:w="472"/>
        <w:gridCol w:w="471"/>
        <w:gridCol w:w="472"/>
      </w:tblGrid>
      <w:tr w:rsidR="00C96A4B">
        <w:trPr>
          <w:trHeight w:hRule="exact" w:val="317"/>
          <w:jc w:val="center"/>
        </w:trPr>
        <w:tc>
          <w:tcPr>
            <w:tcW w:w="897" w:type="dxa"/>
            <w:tcMar>
              <w:left w:w="86" w:type="dxa"/>
              <w:right w:w="86" w:type="dxa"/>
            </w:tcMar>
            <w:vAlign w:val="center"/>
          </w:tcPr>
          <w:p w:rsidR="00C96A4B" w:rsidRPr="00A25D26" w:rsidRDefault="00C96A4B" w:rsidP="00614C04">
            <w:pPr>
              <w:jc w:val="center"/>
              <w:rPr>
                <w:rFonts w:cs="Arial"/>
                <w:b/>
                <w:sz w:val="14"/>
                <w:szCs w:val="16"/>
              </w:rPr>
            </w:pPr>
          </w:p>
        </w:tc>
        <w:tc>
          <w:tcPr>
            <w:tcW w:w="5657" w:type="dxa"/>
            <w:gridSpan w:val="12"/>
            <w:tcBorders>
              <w:right w:val="single" w:sz="12" w:space="0" w:color="auto"/>
            </w:tcBorders>
            <w:tcMar>
              <w:left w:w="14" w:type="dxa"/>
              <w:right w:w="14" w:type="dxa"/>
            </w:tcMar>
            <w:vAlign w:val="center"/>
          </w:tcPr>
          <w:p w:rsidR="00C96A4B" w:rsidRPr="00E3434E" w:rsidRDefault="00C96A4B" w:rsidP="00614C04">
            <w:pPr>
              <w:jc w:val="center"/>
              <w:rPr>
                <w:rFonts w:cs="Arial"/>
                <w:b/>
                <w:sz w:val="14"/>
                <w:szCs w:val="16"/>
              </w:rPr>
            </w:pPr>
            <w:r w:rsidRPr="00E3434E">
              <w:rPr>
                <w:rFonts w:cs="Arial"/>
                <w:b/>
                <w:sz w:val="14"/>
                <w:szCs w:val="16"/>
              </w:rPr>
              <w:t>Reference year = 1998</w:t>
            </w:r>
          </w:p>
        </w:tc>
        <w:tc>
          <w:tcPr>
            <w:tcW w:w="1886" w:type="dxa"/>
            <w:gridSpan w:val="4"/>
            <w:tcBorders>
              <w:left w:val="single" w:sz="12" w:space="0" w:color="auto"/>
            </w:tcBorders>
            <w:tcMar>
              <w:left w:w="14" w:type="dxa"/>
              <w:right w:w="14" w:type="dxa"/>
            </w:tcMar>
            <w:vAlign w:val="center"/>
          </w:tcPr>
          <w:p w:rsidR="00C96A4B" w:rsidRPr="00E3434E" w:rsidRDefault="00C96A4B" w:rsidP="00614C04">
            <w:pPr>
              <w:jc w:val="center"/>
              <w:rPr>
                <w:rFonts w:cs="Arial"/>
                <w:b/>
                <w:sz w:val="14"/>
                <w:szCs w:val="16"/>
              </w:rPr>
            </w:pPr>
            <w:r w:rsidRPr="00E3434E">
              <w:rPr>
                <w:rFonts w:cs="Arial"/>
                <w:b/>
                <w:sz w:val="14"/>
                <w:szCs w:val="16"/>
              </w:rPr>
              <w:t>Reference year = 2007</w:t>
            </w:r>
          </w:p>
        </w:tc>
      </w:tr>
      <w:tr w:rsidR="00C96A4B">
        <w:trPr>
          <w:trHeight w:hRule="exact" w:val="317"/>
          <w:jc w:val="center"/>
        </w:trPr>
        <w:tc>
          <w:tcPr>
            <w:tcW w:w="897" w:type="dxa"/>
            <w:tcMar>
              <w:left w:w="86" w:type="dxa"/>
              <w:right w:w="86" w:type="dxa"/>
            </w:tcMar>
            <w:vAlign w:val="center"/>
          </w:tcPr>
          <w:p w:rsidR="00C96A4B" w:rsidRPr="00A25D26" w:rsidRDefault="00C96A4B" w:rsidP="00614C04">
            <w:pPr>
              <w:jc w:val="center"/>
              <w:rPr>
                <w:rFonts w:cs="Arial"/>
                <w:b/>
                <w:sz w:val="14"/>
                <w:szCs w:val="16"/>
              </w:rPr>
            </w:pP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1982</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1984</w:t>
            </w:r>
          </w:p>
        </w:tc>
        <w:tc>
          <w:tcPr>
            <w:tcW w:w="472"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1986</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1988</w:t>
            </w:r>
          </w:p>
        </w:tc>
        <w:tc>
          <w:tcPr>
            <w:tcW w:w="472"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1990</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1992</w:t>
            </w:r>
          </w:p>
        </w:tc>
        <w:tc>
          <w:tcPr>
            <w:tcW w:w="472"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1994</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1996</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1998</w:t>
            </w:r>
          </w:p>
        </w:tc>
        <w:tc>
          <w:tcPr>
            <w:tcW w:w="472"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2001</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2004</w:t>
            </w:r>
          </w:p>
        </w:tc>
        <w:tc>
          <w:tcPr>
            <w:tcW w:w="472" w:type="dxa"/>
            <w:tcBorders>
              <w:right w:val="single" w:sz="12" w:space="0" w:color="auto"/>
            </w:tcBorders>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2007</w:t>
            </w:r>
          </w:p>
        </w:tc>
        <w:tc>
          <w:tcPr>
            <w:tcW w:w="471" w:type="dxa"/>
            <w:tcBorders>
              <w:left w:val="single" w:sz="12" w:space="0" w:color="auto"/>
            </w:tcBorders>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2007</w:t>
            </w:r>
          </w:p>
        </w:tc>
        <w:tc>
          <w:tcPr>
            <w:tcW w:w="472"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2009</w:t>
            </w:r>
          </w:p>
        </w:tc>
        <w:tc>
          <w:tcPr>
            <w:tcW w:w="471" w:type="dxa"/>
            <w:tcMar>
              <w:left w:w="14" w:type="dxa"/>
              <w:right w:w="14" w:type="dxa"/>
            </w:tcMar>
            <w:vAlign w:val="center"/>
          </w:tcPr>
          <w:p w:rsidR="00C96A4B" w:rsidRPr="00A25D26" w:rsidRDefault="00C96A4B" w:rsidP="00614C04">
            <w:pPr>
              <w:jc w:val="center"/>
              <w:rPr>
                <w:rFonts w:cs="Arial"/>
                <w:b/>
                <w:sz w:val="14"/>
                <w:szCs w:val="16"/>
              </w:rPr>
            </w:pPr>
            <w:r w:rsidRPr="00A25D26">
              <w:rPr>
                <w:rFonts w:cs="Arial"/>
                <w:b/>
                <w:sz w:val="14"/>
                <w:szCs w:val="16"/>
              </w:rPr>
              <w:t>2010</w:t>
            </w:r>
          </w:p>
        </w:tc>
        <w:tc>
          <w:tcPr>
            <w:tcW w:w="472" w:type="dxa"/>
            <w:tcMar>
              <w:left w:w="57" w:type="dxa"/>
              <w:right w:w="57" w:type="dxa"/>
            </w:tcMar>
            <w:vAlign w:val="center"/>
          </w:tcPr>
          <w:p w:rsidR="00C96A4B" w:rsidRPr="00A25D26" w:rsidRDefault="00C96A4B" w:rsidP="00614C04">
            <w:pPr>
              <w:jc w:val="center"/>
              <w:rPr>
                <w:rFonts w:cs="Arial"/>
                <w:b/>
                <w:sz w:val="14"/>
                <w:szCs w:val="16"/>
              </w:rPr>
            </w:pPr>
            <w:r>
              <w:rPr>
                <w:rFonts w:cs="Arial"/>
                <w:b/>
                <w:sz w:val="14"/>
                <w:szCs w:val="16"/>
              </w:rPr>
              <w:t>2011</w:t>
            </w:r>
          </w:p>
        </w:tc>
      </w:tr>
      <w:tr w:rsidR="00C96A4B">
        <w:trPr>
          <w:jc w:val="center"/>
        </w:trPr>
        <w:tc>
          <w:tcPr>
            <w:tcW w:w="897" w:type="dxa"/>
            <w:tcMar>
              <w:left w:w="86" w:type="dxa"/>
              <w:right w:w="86" w:type="dxa"/>
            </w:tcMar>
            <w:vAlign w:val="center"/>
          </w:tcPr>
          <w:p w:rsidR="00C96A4B" w:rsidRPr="00A25D26" w:rsidRDefault="00C96A4B" w:rsidP="00614C04">
            <w:pPr>
              <w:spacing w:before="40" w:after="40"/>
              <w:rPr>
                <w:sz w:val="14"/>
                <w:szCs w:val="16"/>
                <w:lang w:val="en-NZ"/>
              </w:rPr>
            </w:pPr>
            <w:r w:rsidRPr="00A25D26">
              <w:rPr>
                <w:sz w:val="14"/>
                <w:szCs w:val="16"/>
                <w:lang w:val="en-NZ"/>
              </w:rPr>
              <w:t>All 65+</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3</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4</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5</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6</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6</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9</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7</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7</w:t>
            </w:r>
          </w:p>
        </w:tc>
        <w:tc>
          <w:tcPr>
            <w:tcW w:w="472" w:type="dxa"/>
            <w:tcBorders>
              <w:right w:val="single" w:sz="12" w:space="0" w:color="auto"/>
            </w:tcBorders>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Borders>
              <w:left w:val="single" w:sz="12" w:space="0" w:color="auto"/>
            </w:tcBorders>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14</w:t>
            </w:r>
          </w:p>
        </w:tc>
        <w:tc>
          <w:tcPr>
            <w:tcW w:w="472" w:type="dxa"/>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9</w:t>
            </w:r>
          </w:p>
        </w:tc>
        <w:tc>
          <w:tcPr>
            <w:tcW w:w="471" w:type="dxa"/>
            <w:tcMar>
              <w:left w:w="14" w:type="dxa"/>
              <w:right w:w="14" w:type="dxa"/>
            </w:tcMar>
            <w:vAlign w:val="center"/>
          </w:tcPr>
          <w:p w:rsidR="00C96A4B" w:rsidRPr="00A25D26" w:rsidRDefault="00C96A4B" w:rsidP="00614C04">
            <w:pPr>
              <w:spacing w:before="40" w:after="40"/>
              <w:jc w:val="center"/>
              <w:rPr>
                <w:rFonts w:cs="Arial"/>
                <w:sz w:val="14"/>
                <w:szCs w:val="16"/>
              </w:rPr>
            </w:pPr>
            <w:r>
              <w:rPr>
                <w:rFonts w:cs="Arial"/>
                <w:sz w:val="14"/>
                <w:szCs w:val="16"/>
              </w:rPr>
              <w:t>7</w:t>
            </w:r>
          </w:p>
        </w:tc>
        <w:tc>
          <w:tcPr>
            <w:tcW w:w="472" w:type="dxa"/>
            <w:tcMar>
              <w:left w:w="57" w:type="dxa"/>
              <w:right w:w="57" w:type="dxa"/>
            </w:tcMar>
            <w:vAlign w:val="center"/>
          </w:tcPr>
          <w:p w:rsidR="00C96A4B" w:rsidRDefault="00C96A4B" w:rsidP="00614C04">
            <w:pPr>
              <w:spacing w:before="40" w:after="40"/>
              <w:jc w:val="center"/>
              <w:rPr>
                <w:rFonts w:cs="Arial"/>
                <w:sz w:val="14"/>
                <w:szCs w:val="16"/>
              </w:rPr>
            </w:pPr>
            <w:r>
              <w:rPr>
                <w:rFonts w:cs="Arial"/>
                <w:sz w:val="14"/>
                <w:szCs w:val="16"/>
              </w:rPr>
              <w:t>7</w:t>
            </w:r>
          </w:p>
        </w:tc>
      </w:tr>
      <w:tr w:rsidR="00C96A4B">
        <w:trPr>
          <w:trHeight w:val="215"/>
          <w:jc w:val="center"/>
        </w:trPr>
        <w:tc>
          <w:tcPr>
            <w:tcW w:w="897" w:type="dxa"/>
            <w:tcMar>
              <w:left w:w="86" w:type="dxa"/>
              <w:right w:w="86" w:type="dxa"/>
            </w:tcMar>
            <w:vAlign w:val="center"/>
          </w:tcPr>
          <w:p w:rsidR="00C96A4B" w:rsidRPr="00A25D26" w:rsidRDefault="00C96A4B" w:rsidP="00614C04">
            <w:pPr>
              <w:spacing w:before="40" w:after="40"/>
              <w:rPr>
                <w:sz w:val="14"/>
                <w:szCs w:val="16"/>
                <w:lang w:val="en-NZ"/>
              </w:rPr>
            </w:pPr>
            <w:r w:rsidRPr="00A25D26">
              <w:rPr>
                <w:sz w:val="14"/>
                <w:szCs w:val="16"/>
                <w:lang w:val="en-NZ"/>
              </w:rPr>
              <w:t>Single 65+</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5</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3</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9</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12</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13</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10</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13</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11</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14</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9</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14</w:t>
            </w:r>
          </w:p>
        </w:tc>
        <w:tc>
          <w:tcPr>
            <w:tcW w:w="472" w:type="dxa"/>
            <w:tcBorders>
              <w:right w:val="single" w:sz="12" w:space="0" w:color="auto"/>
            </w:tcBorders>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12</w:t>
            </w:r>
          </w:p>
        </w:tc>
        <w:tc>
          <w:tcPr>
            <w:tcW w:w="471" w:type="dxa"/>
            <w:tcBorders>
              <w:left w:val="single" w:sz="12" w:space="0" w:color="auto"/>
            </w:tcBorders>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22</w:t>
            </w:r>
          </w:p>
        </w:tc>
        <w:tc>
          <w:tcPr>
            <w:tcW w:w="472" w:type="dxa"/>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15</w:t>
            </w:r>
          </w:p>
        </w:tc>
        <w:tc>
          <w:tcPr>
            <w:tcW w:w="471" w:type="dxa"/>
            <w:tcMar>
              <w:left w:w="14" w:type="dxa"/>
              <w:right w:w="14" w:type="dxa"/>
            </w:tcMar>
            <w:vAlign w:val="center"/>
          </w:tcPr>
          <w:p w:rsidR="00C96A4B" w:rsidRPr="00A25D26" w:rsidRDefault="00C96A4B" w:rsidP="00614C04">
            <w:pPr>
              <w:spacing w:before="40" w:after="40"/>
              <w:jc w:val="center"/>
              <w:rPr>
                <w:rFonts w:cs="Arial"/>
                <w:sz w:val="14"/>
                <w:szCs w:val="16"/>
              </w:rPr>
            </w:pPr>
            <w:r>
              <w:rPr>
                <w:rFonts w:cs="Arial"/>
                <w:sz w:val="14"/>
                <w:szCs w:val="16"/>
              </w:rPr>
              <w:t>11</w:t>
            </w:r>
          </w:p>
        </w:tc>
        <w:tc>
          <w:tcPr>
            <w:tcW w:w="472" w:type="dxa"/>
            <w:tcMar>
              <w:left w:w="57" w:type="dxa"/>
              <w:right w:w="57" w:type="dxa"/>
            </w:tcMar>
            <w:vAlign w:val="center"/>
          </w:tcPr>
          <w:p w:rsidR="00C96A4B" w:rsidRDefault="00C96A4B" w:rsidP="00614C04">
            <w:pPr>
              <w:spacing w:before="40" w:after="40"/>
              <w:jc w:val="center"/>
              <w:rPr>
                <w:rFonts w:cs="Arial"/>
                <w:sz w:val="14"/>
                <w:szCs w:val="16"/>
              </w:rPr>
            </w:pPr>
            <w:r>
              <w:rPr>
                <w:rFonts w:cs="Arial"/>
                <w:sz w:val="14"/>
                <w:szCs w:val="16"/>
              </w:rPr>
              <w:t>12</w:t>
            </w:r>
          </w:p>
        </w:tc>
      </w:tr>
      <w:tr w:rsidR="00C96A4B">
        <w:trPr>
          <w:jc w:val="center"/>
        </w:trPr>
        <w:tc>
          <w:tcPr>
            <w:tcW w:w="897" w:type="dxa"/>
            <w:tcMar>
              <w:left w:w="86" w:type="dxa"/>
              <w:right w:w="86" w:type="dxa"/>
            </w:tcMar>
            <w:vAlign w:val="center"/>
          </w:tcPr>
          <w:p w:rsidR="00C96A4B" w:rsidRPr="00A25D26" w:rsidRDefault="00C96A4B" w:rsidP="00614C04">
            <w:pPr>
              <w:spacing w:before="40" w:after="40"/>
              <w:rPr>
                <w:sz w:val="14"/>
                <w:szCs w:val="16"/>
                <w:lang w:val="en-NZ"/>
              </w:rPr>
            </w:pPr>
            <w:r w:rsidRPr="00A25D26">
              <w:rPr>
                <w:sz w:val="14"/>
                <w:szCs w:val="16"/>
                <w:lang w:val="en-NZ"/>
              </w:rPr>
              <w:t>Couple 65+</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3</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4</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5</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6</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5</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3</w:t>
            </w:r>
          </w:p>
        </w:tc>
        <w:tc>
          <w:tcPr>
            <w:tcW w:w="472" w:type="dxa"/>
            <w:tcBorders>
              <w:right w:val="single" w:sz="12" w:space="0" w:color="auto"/>
            </w:tcBorders>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6</w:t>
            </w:r>
          </w:p>
        </w:tc>
        <w:tc>
          <w:tcPr>
            <w:tcW w:w="471" w:type="dxa"/>
            <w:tcBorders>
              <w:left w:val="single" w:sz="12" w:space="0" w:color="auto"/>
            </w:tcBorders>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9</w:t>
            </w:r>
          </w:p>
        </w:tc>
        <w:tc>
          <w:tcPr>
            <w:tcW w:w="472" w:type="dxa"/>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5</w:t>
            </w:r>
          </w:p>
        </w:tc>
        <w:tc>
          <w:tcPr>
            <w:tcW w:w="471" w:type="dxa"/>
            <w:tcMar>
              <w:left w:w="14" w:type="dxa"/>
              <w:right w:w="14" w:type="dxa"/>
            </w:tcMar>
            <w:vAlign w:val="center"/>
          </w:tcPr>
          <w:p w:rsidR="00C96A4B" w:rsidRPr="00A25D26" w:rsidRDefault="00C96A4B" w:rsidP="00614C04">
            <w:pPr>
              <w:spacing w:before="40" w:after="40"/>
              <w:jc w:val="center"/>
              <w:rPr>
                <w:rFonts w:cs="Arial"/>
                <w:sz w:val="14"/>
                <w:szCs w:val="16"/>
              </w:rPr>
            </w:pPr>
            <w:r>
              <w:rPr>
                <w:rFonts w:cs="Arial"/>
                <w:sz w:val="14"/>
                <w:szCs w:val="16"/>
              </w:rPr>
              <w:t>5</w:t>
            </w:r>
          </w:p>
        </w:tc>
        <w:tc>
          <w:tcPr>
            <w:tcW w:w="472" w:type="dxa"/>
            <w:tcMar>
              <w:left w:w="57" w:type="dxa"/>
              <w:right w:w="57" w:type="dxa"/>
            </w:tcMar>
            <w:vAlign w:val="center"/>
          </w:tcPr>
          <w:p w:rsidR="00C96A4B" w:rsidRDefault="00C96A4B" w:rsidP="00614C04">
            <w:pPr>
              <w:spacing w:before="40" w:after="40"/>
              <w:jc w:val="center"/>
              <w:rPr>
                <w:rFonts w:cs="Arial"/>
                <w:sz w:val="14"/>
                <w:szCs w:val="16"/>
              </w:rPr>
            </w:pPr>
            <w:r>
              <w:rPr>
                <w:rFonts w:cs="Arial"/>
                <w:sz w:val="14"/>
                <w:szCs w:val="16"/>
              </w:rPr>
              <w:t>6</w:t>
            </w:r>
          </w:p>
        </w:tc>
      </w:tr>
      <w:tr w:rsidR="00C96A4B">
        <w:trPr>
          <w:jc w:val="center"/>
        </w:trPr>
        <w:tc>
          <w:tcPr>
            <w:tcW w:w="897" w:type="dxa"/>
            <w:tcMar>
              <w:left w:w="86" w:type="dxa"/>
              <w:right w:w="86" w:type="dxa"/>
            </w:tcMar>
            <w:vAlign w:val="center"/>
          </w:tcPr>
          <w:p w:rsidR="00C96A4B" w:rsidRPr="00A25D26" w:rsidRDefault="00C96A4B" w:rsidP="00614C04">
            <w:pPr>
              <w:spacing w:before="40" w:after="40"/>
              <w:rPr>
                <w:sz w:val="14"/>
                <w:szCs w:val="16"/>
                <w:lang w:val="en-NZ"/>
              </w:rPr>
            </w:pPr>
            <w:r w:rsidRPr="00A25D26">
              <w:rPr>
                <w:sz w:val="14"/>
                <w:szCs w:val="16"/>
                <w:lang w:val="en-NZ"/>
              </w:rPr>
              <w:t>Total popln</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9</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8</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9</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11</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21</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23</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21</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18</w:t>
            </w:r>
          </w:p>
        </w:tc>
        <w:tc>
          <w:tcPr>
            <w:tcW w:w="472"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19</w:t>
            </w:r>
          </w:p>
        </w:tc>
        <w:tc>
          <w:tcPr>
            <w:tcW w:w="471" w:type="dxa"/>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17</w:t>
            </w:r>
          </w:p>
        </w:tc>
        <w:tc>
          <w:tcPr>
            <w:tcW w:w="472" w:type="dxa"/>
            <w:tcBorders>
              <w:right w:val="single" w:sz="12" w:space="0" w:color="auto"/>
            </w:tcBorders>
            <w:tcMar>
              <w:left w:w="14" w:type="dxa"/>
              <w:right w:w="14" w:type="dxa"/>
            </w:tcMar>
            <w:vAlign w:val="center"/>
          </w:tcPr>
          <w:p w:rsidR="00C96A4B" w:rsidRPr="008A1667" w:rsidRDefault="00C96A4B" w:rsidP="00614C04">
            <w:pPr>
              <w:spacing w:before="40" w:after="40"/>
              <w:jc w:val="center"/>
              <w:rPr>
                <w:rFonts w:cs="Arial"/>
                <w:sz w:val="14"/>
                <w:szCs w:val="16"/>
              </w:rPr>
            </w:pPr>
            <w:r w:rsidRPr="008A1667">
              <w:rPr>
                <w:rFonts w:cs="Arial"/>
                <w:sz w:val="14"/>
                <w:szCs w:val="16"/>
              </w:rPr>
              <w:t>13</w:t>
            </w:r>
          </w:p>
        </w:tc>
        <w:tc>
          <w:tcPr>
            <w:tcW w:w="471" w:type="dxa"/>
            <w:tcBorders>
              <w:left w:val="single" w:sz="12" w:space="0" w:color="auto"/>
            </w:tcBorders>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18</w:t>
            </w:r>
          </w:p>
        </w:tc>
        <w:tc>
          <w:tcPr>
            <w:tcW w:w="472" w:type="dxa"/>
            <w:tcMar>
              <w:left w:w="14" w:type="dxa"/>
              <w:right w:w="14" w:type="dxa"/>
            </w:tcMar>
            <w:vAlign w:val="center"/>
          </w:tcPr>
          <w:p w:rsidR="00C96A4B" w:rsidRPr="00A25D26" w:rsidRDefault="00C96A4B" w:rsidP="00614C04">
            <w:pPr>
              <w:spacing w:before="40" w:after="40"/>
              <w:jc w:val="center"/>
              <w:rPr>
                <w:rFonts w:cs="Arial"/>
                <w:sz w:val="14"/>
                <w:szCs w:val="16"/>
              </w:rPr>
            </w:pPr>
            <w:r w:rsidRPr="00A25D26">
              <w:rPr>
                <w:rFonts w:cs="Arial"/>
                <w:sz w:val="14"/>
                <w:szCs w:val="16"/>
              </w:rPr>
              <w:t>15</w:t>
            </w:r>
          </w:p>
        </w:tc>
        <w:tc>
          <w:tcPr>
            <w:tcW w:w="471" w:type="dxa"/>
            <w:tcMar>
              <w:left w:w="14" w:type="dxa"/>
              <w:right w:w="14" w:type="dxa"/>
            </w:tcMar>
            <w:vAlign w:val="center"/>
          </w:tcPr>
          <w:p w:rsidR="00C96A4B" w:rsidRPr="00A25D26" w:rsidRDefault="00C96A4B" w:rsidP="00614C04">
            <w:pPr>
              <w:spacing w:before="40" w:after="40"/>
              <w:jc w:val="center"/>
              <w:rPr>
                <w:rFonts w:cs="Arial"/>
                <w:sz w:val="14"/>
                <w:szCs w:val="16"/>
              </w:rPr>
            </w:pPr>
            <w:r>
              <w:rPr>
                <w:rFonts w:cs="Arial"/>
                <w:sz w:val="14"/>
                <w:szCs w:val="16"/>
              </w:rPr>
              <w:t>15</w:t>
            </w:r>
          </w:p>
        </w:tc>
        <w:tc>
          <w:tcPr>
            <w:tcW w:w="472" w:type="dxa"/>
            <w:tcMar>
              <w:left w:w="57" w:type="dxa"/>
              <w:right w:w="57" w:type="dxa"/>
            </w:tcMar>
            <w:vAlign w:val="center"/>
          </w:tcPr>
          <w:p w:rsidR="00C96A4B" w:rsidRDefault="00C96A4B" w:rsidP="00614C04">
            <w:pPr>
              <w:spacing w:before="40" w:after="40"/>
              <w:jc w:val="center"/>
              <w:rPr>
                <w:rFonts w:cs="Arial"/>
                <w:sz w:val="14"/>
                <w:szCs w:val="16"/>
              </w:rPr>
            </w:pPr>
            <w:r>
              <w:rPr>
                <w:rFonts w:cs="Arial"/>
                <w:sz w:val="14"/>
                <w:szCs w:val="16"/>
              </w:rPr>
              <w:t>16</w:t>
            </w:r>
          </w:p>
        </w:tc>
      </w:tr>
    </w:tbl>
    <w:p w:rsidR="00C96A4B" w:rsidRDefault="00C96A4B" w:rsidP="00C96A4B">
      <w:pPr>
        <w:pStyle w:val="Heading1"/>
        <w:jc w:val="center"/>
        <w:rPr>
          <w:sz w:val="20"/>
          <w:szCs w:val="20"/>
        </w:rPr>
      </w:pPr>
    </w:p>
    <w:p w:rsidR="00C96A4B" w:rsidRPr="00E020C2" w:rsidRDefault="00C96A4B" w:rsidP="00C96A4B">
      <w:pPr>
        <w:pStyle w:val="Heading1"/>
        <w:jc w:val="both"/>
        <w:rPr>
          <w:sz w:val="20"/>
          <w:szCs w:val="22"/>
          <w:lang w:val="en-GB"/>
        </w:rPr>
      </w:pPr>
      <w:r>
        <w:rPr>
          <w:sz w:val="20"/>
          <w:szCs w:val="22"/>
          <w:lang w:val="en-GB"/>
        </w:rPr>
        <w:br w:type="page"/>
      </w:r>
      <w:r w:rsidRPr="00E020C2">
        <w:rPr>
          <w:sz w:val="20"/>
          <w:szCs w:val="22"/>
          <w:lang w:val="en-GB"/>
        </w:rPr>
        <w:lastRenderedPageBreak/>
        <w:t>Sources of income for older New Zealanders</w:t>
      </w:r>
    </w:p>
    <w:p w:rsidR="00C96A4B" w:rsidRPr="00E020C2" w:rsidRDefault="00C96A4B" w:rsidP="00C96A4B">
      <w:pPr>
        <w:rPr>
          <w:sz w:val="20"/>
        </w:rPr>
      </w:pPr>
    </w:p>
    <w:p w:rsidR="00C96A4B" w:rsidRPr="00E020C2" w:rsidRDefault="00C96A4B" w:rsidP="00C96A4B">
      <w:pPr>
        <w:pStyle w:val="Heading1"/>
        <w:jc w:val="both"/>
        <w:rPr>
          <w:b w:val="0"/>
          <w:sz w:val="20"/>
          <w:szCs w:val="22"/>
          <w:lang w:val="en-GB"/>
        </w:rPr>
      </w:pPr>
      <w:r w:rsidRPr="00E020C2">
        <w:rPr>
          <w:b w:val="0"/>
          <w:sz w:val="20"/>
          <w:szCs w:val="22"/>
          <w:lang w:val="en-GB"/>
        </w:rPr>
        <w:t>Th</w:t>
      </w:r>
      <w:r>
        <w:rPr>
          <w:b w:val="0"/>
          <w:sz w:val="20"/>
          <w:szCs w:val="22"/>
          <w:lang w:val="en-GB"/>
        </w:rPr>
        <w:t>is section reports on the sources of income for older New Zealanders using a three-way division:</w:t>
      </w:r>
      <w:r w:rsidRPr="00E020C2">
        <w:rPr>
          <w:b w:val="0"/>
          <w:sz w:val="20"/>
          <w:szCs w:val="22"/>
          <w:lang w:val="en-GB"/>
        </w:rPr>
        <w:t xml:space="preserve"> </w:t>
      </w:r>
    </w:p>
    <w:p w:rsidR="00C96A4B" w:rsidRPr="00E020C2" w:rsidRDefault="00C96A4B" w:rsidP="00C96A4B">
      <w:pPr>
        <w:pStyle w:val="Heading1"/>
        <w:numPr>
          <w:ilvl w:val="0"/>
          <w:numId w:val="50"/>
        </w:numPr>
        <w:spacing w:before="120"/>
        <w:jc w:val="both"/>
        <w:rPr>
          <w:b w:val="0"/>
          <w:sz w:val="20"/>
          <w:szCs w:val="22"/>
          <w:lang w:val="en-GB"/>
        </w:rPr>
      </w:pPr>
      <w:r>
        <w:rPr>
          <w:b w:val="0"/>
          <w:sz w:val="20"/>
          <w:szCs w:val="22"/>
          <w:lang w:val="en-GB"/>
        </w:rPr>
        <w:t xml:space="preserve">government transfers - </w:t>
      </w:r>
      <w:r w:rsidRPr="00E020C2">
        <w:rPr>
          <w:b w:val="0"/>
          <w:sz w:val="20"/>
          <w:szCs w:val="22"/>
          <w:lang w:val="en-GB"/>
        </w:rPr>
        <w:t>N</w:t>
      </w:r>
      <w:r>
        <w:rPr>
          <w:b w:val="0"/>
          <w:sz w:val="20"/>
          <w:szCs w:val="22"/>
          <w:lang w:val="en-GB"/>
        </w:rPr>
        <w:t>ew Zealand Superannuation (NZS), Veterans Pension (VP)</w:t>
      </w:r>
      <w:r w:rsidRPr="00E020C2">
        <w:rPr>
          <w:b w:val="0"/>
          <w:sz w:val="20"/>
          <w:szCs w:val="22"/>
          <w:lang w:val="en-GB"/>
        </w:rPr>
        <w:t xml:space="preserve"> and other state support such as the Disability Allowance</w:t>
      </w:r>
      <w:r>
        <w:rPr>
          <w:b w:val="0"/>
          <w:sz w:val="20"/>
          <w:szCs w:val="22"/>
          <w:lang w:val="en-GB"/>
        </w:rPr>
        <w:t xml:space="preserve"> (DA)</w:t>
      </w:r>
      <w:r w:rsidRPr="00E020C2">
        <w:rPr>
          <w:b w:val="0"/>
          <w:sz w:val="20"/>
          <w:szCs w:val="22"/>
          <w:lang w:val="en-GB"/>
        </w:rPr>
        <w:t xml:space="preserve"> and </w:t>
      </w:r>
      <w:r>
        <w:rPr>
          <w:b w:val="0"/>
          <w:sz w:val="20"/>
          <w:szCs w:val="22"/>
          <w:lang w:val="en-GB"/>
        </w:rPr>
        <w:t>the Accommodation Supplement (AS)</w:t>
      </w:r>
    </w:p>
    <w:p w:rsidR="00C96A4B" w:rsidRPr="00E020C2" w:rsidRDefault="00C96A4B" w:rsidP="00C96A4B">
      <w:pPr>
        <w:numPr>
          <w:ilvl w:val="0"/>
          <w:numId w:val="50"/>
        </w:numPr>
        <w:spacing w:before="120"/>
        <w:rPr>
          <w:sz w:val="20"/>
        </w:rPr>
      </w:pPr>
      <w:r w:rsidRPr="00E020C2">
        <w:rPr>
          <w:sz w:val="20"/>
        </w:rPr>
        <w:t>income from employment and self-employment</w:t>
      </w:r>
    </w:p>
    <w:p w:rsidR="00C96A4B" w:rsidRPr="00E020C2" w:rsidRDefault="00C96A4B" w:rsidP="00C96A4B">
      <w:pPr>
        <w:numPr>
          <w:ilvl w:val="0"/>
          <w:numId w:val="50"/>
        </w:numPr>
        <w:spacing w:before="120"/>
        <w:rPr>
          <w:sz w:val="20"/>
        </w:rPr>
      </w:pPr>
      <w:r w:rsidRPr="00E020C2">
        <w:rPr>
          <w:sz w:val="20"/>
        </w:rPr>
        <w:t>other private income from</w:t>
      </w:r>
      <w:r>
        <w:rPr>
          <w:sz w:val="20"/>
        </w:rPr>
        <w:t xml:space="preserve"> private superannuation and other investments.</w:t>
      </w:r>
    </w:p>
    <w:p w:rsidR="00C96A4B" w:rsidRPr="00E020C2" w:rsidRDefault="00C96A4B" w:rsidP="00C96A4B">
      <w:pPr>
        <w:rPr>
          <w:sz w:val="20"/>
        </w:rPr>
      </w:pPr>
    </w:p>
    <w:p w:rsidR="00C96A4B" w:rsidRDefault="00C96A4B" w:rsidP="00C96A4B">
      <w:pPr>
        <w:pStyle w:val="Heading1"/>
        <w:jc w:val="both"/>
        <w:rPr>
          <w:b w:val="0"/>
          <w:sz w:val="20"/>
          <w:szCs w:val="22"/>
          <w:lang w:val="en-GB"/>
        </w:rPr>
      </w:pPr>
      <w:r>
        <w:rPr>
          <w:b w:val="0"/>
          <w:sz w:val="20"/>
          <w:szCs w:val="22"/>
          <w:lang w:val="en-GB"/>
        </w:rPr>
        <w:t>NZS and VP make up around 98% of government transfers for older New Zealanders (66+) as a group.  Around 3-4% receive the AS, and 23% the DA (maximum of $57 pw in 2010).</w:t>
      </w:r>
    </w:p>
    <w:p w:rsidR="00C96A4B" w:rsidRDefault="00C96A4B" w:rsidP="00C96A4B">
      <w:pPr>
        <w:pStyle w:val="Heading1"/>
        <w:jc w:val="both"/>
        <w:rPr>
          <w:b w:val="0"/>
          <w:sz w:val="20"/>
          <w:szCs w:val="22"/>
          <w:lang w:val="en-GB"/>
        </w:rPr>
      </w:pPr>
    </w:p>
    <w:p w:rsidR="00C96A4B" w:rsidRDefault="00C96A4B" w:rsidP="00C96A4B">
      <w:pPr>
        <w:pStyle w:val="Heading1"/>
        <w:jc w:val="both"/>
        <w:rPr>
          <w:b w:val="0"/>
          <w:sz w:val="20"/>
          <w:szCs w:val="22"/>
          <w:lang w:val="en-GB"/>
        </w:rPr>
      </w:pPr>
      <w:r w:rsidRPr="00E020C2">
        <w:rPr>
          <w:b w:val="0"/>
          <w:sz w:val="20"/>
          <w:szCs w:val="22"/>
          <w:lang w:val="en-GB"/>
        </w:rPr>
        <w:t>For this subsection, older New Zealanders are taken to be those in the survey</w:t>
      </w:r>
      <w:r w:rsidRPr="00E020C2">
        <w:rPr>
          <w:rStyle w:val="FootnoteReference"/>
          <w:b w:val="0"/>
          <w:sz w:val="20"/>
          <w:szCs w:val="22"/>
          <w:lang w:val="en-GB"/>
        </w:rPr>
        <w:footnoteReference w:id="80"/>
      </w:r>
      <w:r w:rsidRPr="00E020C2">
        <w:rPr>
          <w:b w:val="0"/>
          <w:sz w:val="20"/>
          <w:szCs w:val="22"/>
          <w:lang w:val="en-GB"/>
        </w:rPr>
        <w:t xml:space="preserve"> aged 66 and over.  Those aged 65 are not considered as almost all of them will have received NZS for only a part of the 12 months prior to interview.</w:t>
      </w:r>
    </w:p>
    <w:p w:rsidR="00C96A4B" w:rsidRDefault="00C96A4B" w:rsidP="00C96A4B">
      <w:pPr>
        <w:pStyle w:val="Heading1"/>
        <w:jc w:val="both"/>
        <w:rPr>
          <w:b w:val="0"/>
          <w:sz w:val="20"/>
          <w:szCs w:val="22"/>
          <w:lang w:val="en-GB"/>
        </w:rPr>
      </w:pPr>
    </w:p>
    <w:p w:rsidR="00C96A4B" w:rsidRPr="00772F23" w:rsidRDefault="00C96A4B" w:rsidP="00C96A4B">
      <w:pPr>
        <w:pStyle w:val="Heading1"/>
        <w:jc w:val="both"/>
        <w:rPr>
          <w:b w:val="0"/>
          <w:sz w:val="20"/>
          <w:szCs w:val="20"/>
        </w:rPr>
      </w:pPr>
      <w:r w:rsidRPr="00772F23">
        <w:rPr>
          <w:b w:val="0"/>
          <w:sz w:val="20"/>
          <w:szCs w:val="20"/>
        </w:rPr>
        <w:t>All the surveyed 66+ can be classed as belonging to one of two economic family unit (</w:t>
      </w:r>
      <w:smartTag w:uri="urn:schemas-microsoft-com:office:smarttags" w:element="stockticker">
        <w:r w:rsidRPr="00772F23">
          <w:rPr>
            <w:b w:val="0"/>
            <w:sz w:val="20"/>
            <w:szCs w:val="20"/>
          </w:rPr>
          <w:t>EFU</w:t>
        </w:r>
      </w:smartTag>
      <w:r w:rsidRPr="00772F23">
        <w:rPr>
          <w:b w:val="0"/>
          <w:sz w:val="20"/>
          <w:szCs w:val="20"/>
        </w:rPr>
        <w:t xml:space="preserve">) types: couple </w:t>
      </w:r>
      <w:smartTag w:uri="urn:schemas-microsoft-com:office:smarttags" w:element="stockticker">
        <w:r w:rsidRPr="00772F23">
          <w:rPr>
            <w:b w:val="0"/>
            <w:sz w:val="20"/>
            <w:szCs w:val="20"/>
          </w:rPr>
          <w:t>EFU</w:t>
        </w:r>
      </w:smartTag>
      <w:r w:rsidRPr="00772F23">
        <w:rPr>
          <w:b w:val="0"/>
          <w:sz w:val="20"/>
          <w:szCs w:val="20"/>
        </w:rPr>
        <w:t xml:space="preserve"> with at least one partner aged 66 or more, or one person </w:t>
      </w:r>
      <w:smartTag w:uri="urn:schemas-microsoft-com:office:smarttags" w:element="stockticker">
        <w:r w:rsidRPr="00772F23">
          <w:rPr>
            <w:b w:val="0"/>
            <w:sz w:val="20"/>
            <w:szCs w:val="20"/>
          </w:rPr>
          <w:t>EFU</w:t>
        </w:r>
      </w:smartTag>
      <w:r w:rsidRPr="00772F23">
        <w:rPr>
          <w:b w:val="0"/>
          <w:sz w:val="20"/>
          <w:szCs w:val="20"/>
        </w:rPr>
        <w:t xml:space="preserve"> with the person aged 66 or more.</w:t>
      </w:r>
      <w:r w:rsidRPr="00772F23">
        <w:rPr>
          <w:rStyle w:val="FootnoteReference"/>
          <w:b w:val="0"/>
          <w:sz w:val="20"/>
          <w:szCs w:val="20"/>
          <w:lang w:val="en-GB"/>
        </w:rPr>
        <w:footnoteReference w:id="81"/>
      </w:r>
      <w:r w:rsidRPr="00772F23">
        <w:rPr>
          <w:b w:val="0"/>
          <w:sz w:val="20"/>
          <w:szCs w:val="20"/>
        </w:rPr>
        <w:t xml:space="preserve"> </w:t>
      </w:r>
      <w:r>
        <w:rPr>
          <w:b w:val="0"/>
          <w:sz w:val="20"/>
          <w:szCs w:val="20"/>
        </w:rPr>
        <w:t xml:space="preserve">  </w:t>
      </w:r>
      <w:r w:rsidRPr="00772F23">
        <w:rPr>
          <w:b w:val="0"/>
          <w:sz w:val="20"/>
          <w:szCs w:val="20"/>
        </w:rPr>
        <w:t>The analysis is at times kept separate for couple and one person EFUs as there are quite significant differences between the two groups regarding the amounts they receive from non-government sources.</w:t>
      </w:r>
    </w:p>
    <w:p w:rsidR="00C96A4B" w:rsidRDefault="00C96A4B" w:rsidP="00C96A4B">
      <w:pPr>
        <w:jc w:val="both"/>
        <w:rPr>
          <w:sz w:val="20"/>
        </w:rPr>
      </w:pPr>
    </w:p>
    <w:p w:rsidR="00C96A4B" w:rsidRPr="00E020C2" w:rsidRDefault="00C96A4B" w:rsidP="00C96A4B">
      <w:pPr>
        <w:jc w:val="both"/>
        <w:rPr>
          <w:sz w:val="20"/>
        </w:rPr>
      </w:pPr>
      <w:r w:rsidRPr="00E020C2">
        <w:rPr>
          <w:sz w:val="20"/>
        </w:rPr>
        <w:t xml:space="preserve">In looking at the sources of income for older New Zealanders with different incomes, the </w:t>
      </w:r>
      <w:r>
        <w:rPr>
          <w:sz w:val="20"/>
        </w:rPr>
        <w:t xml:space="preserve">66+ </w:t>
      </w:r>
      <w:r w:rsidRPr="00E020C2">
        <w:rPr>
          <w:sz w:val="20"/>
        </w:rPr>
        <w:t>EFUs are ranked on their equivalised gross income and put into deciles</w:t>
      </w:r>
      <w:r>
        <w:rPr>
          <w:sz w:val="20"/>
        </w:rPr>
        <w:t xml:space="preserve"> </w:t>
      </w:r>
      <w:r w:rsidRPr="00E020C2">
        <w:rPr>
          <w:sz w:val="20"/>
        </w:rPr>
        <w:t xml:space="preserve">for comparison.  </w:t>
      </w:r>
      <w:r>
        <w:rPr>
          <w:sz w:val="20"/>
        </w:rPr>
        <w:t xml:space="preserve">Note that these are not deciles based on a ranking of the whole population. </w:t>
      </w:r>
      <w:r w:rsidRPr="00E020C2">
        <w:rPr>
          <w:sz w:val="20"/>
        </w:rPr>
        <w:t xml:space="preserve"> </w:t>
      </w:r>
      <w:r>
        <w:rPr>
          <w:sz w:val="20"/>
        </w:rPr>
        <w:t xml:space="preserve">Older New Zealanders </w:t>
      </w:r>
      <w:r w:rsidRPr="00E020C2">
        <w:rPr>
          <w:sz w:val="20"/>
        </w:rPr>
        <w:t>are clustered in the lower four deciles</w:t>
      </w:r>
      <w:r>
        <w:rPr>
          <w:sz w:val="20"/>
        </w:rPr>
        <w:t xml:space="preserve"> of the population income distribution (two thirds were in that zone in 2010)</w:t>
      </w:r>
      <w:r w:rsidRPr="00E020C2">
        <w:rPr>
          <w:sz w:val="20"/>
        </w:rPr>
        <w:t>.</w:t>
      </w:r>
    </w:p>
    <w:p w:rsidR="00C96A4B" w:rsidRDefault="00C96A4B" w:rsidP="00C96A4B">
      <w:pPr>
        <w:jc w:val="both"/>
        <w:rPr>
          <w:sz w:val="20"/>
        </w:rPr>
      </w:pPr>
    </w:p>
    <w:p w:rsidR="00C96A4B" w:rsidRDefault="00C96A4B" w:rsidP="00C96A4B">
      <w:pPr>
        <w:jc w:val="both"/>
        <w:rPr>
          <w:sz w:val="20"/>
        </w:rPr>
      </w:pPr>
      <w:r>
        <w:rPr>
          <w:sz w:val="20"/>
        </w:rPr>
        <w:t xml:space="preserve">There are usually around 700 </w:t>
      </w:r>
      <w:r w:rsidRPr="00E020C2">
        <w:rPr>
          <w:sz w:val="20"/>
        </w:rPr>
        <w:t xml:space="preserve"> </w:t>
      </w:r>
      <w:r>
        <w:rPr>
          <w:sz w:val="20"/>
        </w:rPr>
        <w:t xml:space="preserve">66+ EFUs </w:t>
      </w:r>
      <w:r w:rsidRPr="00E020C2">
        <w:rPr>
          <w:sz w:val="20"/>
        </w:rPr>
        <w:t>in the sample</w:t>
      </w:r>
      <w:r>
        <w:rPr>
          <w:sz w:val="20"/>
        </w:rPr>
        <w:t>.  As the findings</w:t>
      </w:r>
      <w:r w:rsidRPr="00E020C2">
        <w:rPr>
          <w:sz w:val="20"/>
        </w:rPr>
        <w:t xml:space="preserve"> focus on </w:t>
      </w:r>
      <w:r>
        <w:rPr>
          <w:sz w:val="20"/>
        </w:rPr>
        <w:t>stable patterns and clear trends</w:t>
      </w:r>
      <w:r w:rsidRPr="00E020C2">
        <w:rPr>
          <w:sz w:val="20"/>
        </w:rPr>
        <w:t xml:space="preserve"> rather than on </w:t>
      </w:r>
      <w:r>
        <w:rPr>
          <w:sz w:val="20"/>
        </w:rPr>
        <w:t>smaller year on year changes, a sample of this size is adequate.</w:t>
      </w:r>
    </w:p>
    <w:p w:rsidR="00C96A4B" w:rsidRDefault="00C96A4B" w:rsidP="00C96A4B">
      <w:pPr>
        <w:rPr>
          <w:b/>
          <w:sz w:val="20"/>
        </w:rPr>
      </w:pPr>
    </w:p>
    <w:p w:rsidR="00C96A4B" w:rsidRDefault="00C96A4B" w:rsidP="00C96A4B">
      <w:pPr>
        <w:rPr>
          <w:b/>
          <w:sz w:val="20"/>
        </w:rPr>
      </w:pPr>
      <w:r w:rsidRPr="00CC4DC7">
        <w:rPr>
          <w:b/>
          <w:sz w:val="20"/>
        </w:rPr>
        <w:t>Summary of findings regarding the sources of income for older New Zealanders</w:t>
      </w:r>
    </w:p>
    <w:p w:rsidR="00C96A4B" w:rsidRPr="00CC4DC7" w:rsidRDefault="00C96A4B" w:rsidP="00C96A4B">
      <w:pPr>
        <w:rPr>
          <w:b/>
          <w:sz w:val="20"/>
        </w:rPr>
      </w:pPr>
    </w:p>
    <w:p w:rsidR="00C96A4B" w:rsidRPr="00702477" w:rsidRDefault="00C96A4B" w:rsidP="00614C04">
      <w:pPr>
        <w:numPr>
          <w:ilvl w:val="0"/>
          <w:numId w:val="63"/>
        </w:numPr>
        <w:tabs>
          <w:tab w:val="clear" w:pos="720"/>
          <w:tab w:val="num" w:pos="450"/>
        </w:tabs>
        <w:ind w:left="446"/>
        <w:rPr>
          <w:sz w:val="20"/>
        </w:rPr>
      </w:pPr>
      <w:r w:rsidRPr="00702477">
        <w:rPr>
          <w:sz w:val="20"/>
        </w:rPr>
        <w:t>The great majority of older New Zealanders (aged 66+)  are very dependent on NZS</w:t>
      </w:r>
      <w:r>
        <w:rPr>
          <w:sz w:val="20"/>
        </w:rPr>
        <w:t xml:space="preserve"> and other government transfers</w:t>
      </w:r>
      <w:r w:rsidRPr="00702477">
        <w:rPr>
          <w:sz w:val="20"/>
        </w:rPr>
        <w:t xml:space="preserve"> for their income  </w:t>
      </w:r>
    </w:p>
    <w:p w:rsidR="00C96A4B" w:rsidRDefault="00C96A4B" w:rsidP="00614C04">
      <w:pPr>
        <w:numPr>
          <w:ilvl w:val="0"/>
          <w:numId w:val="64"/>
        </w:numPr>
        <w:tabs>
          <w:tab w:val="clear" w:pos="720"/>
          <w:tab w:val="num" w:pos="990"/>
        </w:tabs>
        <w:spacing w:before="60"/>
        <w:ind w:left="990" w:hanging="270"/>
        <w:rPr>
          <w:sz w:val="20"/>
        </w:rPr>
      </w:pPr>
      <w:r>
        <w:rPr>
          <w:sz w:val="20"/>
        </w:rPr>
        <w:t>40% have virtually no other income source</w:t>
      </w:r>
    </w:p>
    <w:p w:rsidR="00C96A4B" w:rsidRDefault="00C96A4B" w:rsidP="00614C04">
      <w:pPr>
        <w:numPr>
          <w:ilvl w:val="0"/>
          <w:numId w:val="64"/>
        </w:numPr>
        <w:tabs>
          <w:tab w:val="clear" w:pos="720"/>
          <w:tab w:val="num" w:pos="990"/>
        </w:tabs>
        <w:spacing w:before="60"/>
        <w:ind w:left="990" w:hanging="270"/>
        <w:rPr>
          <w:sz w:val="20"/>
        </w:rPr>
      </w:pPr>
      <w:r>
        <w:rPr>
          <w:sz w:val="20"/>
        </w:rPr>
        <w:t>the next 20% have on average around 80% of their income from NZS and other government transfers</w:t>
      </w:r>
    </w:p>
    <w:p w:rsidR="00C96A4B" w:rsidRPr="00702477" w:rsidRDefault="00C96A4B" w:rsidP="00614C04">
      <w:pPr>
        <w:numPr>
          <w:ilvl w:val="0"/>
          <w:numId w:val="64"/>
        </w:numPr>
        <w:tabs>
          <w:tab w:val="clear" w:pos="720"/>
          <w:tab w:val="num" w:pos="990"/>
        </w:tabs>
        <w:spacing w:before="60"/>
        <w:ind w:left="990" w:hanging="270"/>
        <w:rPr>
          <w:sz w:val="20"/>
        </w:rPr>
      </w:pPr>
      <w:r w:rsidRPr="00702477">
        <w:rPr>
          <w:sz w:val="20"/>
        </w:rPr>
        <w:t>this degree of dependence has not changed</w:t>
      </w:r>
      <w:r>
        <w:rPr>
          <w:sz w:val="20"/>
        </w:rPr>
        <w:t xml:space="preserve"> greatly</w:t>
      </w:r>
      <w:r w:rsidRPr="00702477">
        <w:rPr>
          <w:sz w:val="20"/>
        </w:rPr>
        <w:t xml:space="preserve"> in the last two decades</w:t>
      </w:r>
    </w:p>
    <w:p w:rsidR="00C96A4B" w:rsidRPr="00702477" w:rsidRDefault="00C96A4B" w:rsidP="00614C04">
      <w:pPr>
        <w:numPr>
          <w:ilvl w:val="0"/>
          <w:numId w:val="64"/>
        </w:numPr>
        <w:tabs>
          <w:tab w:val="clear" w:pos="720"/>
          <w:tab w:val="num" w:pos="990"/>
        </w:tabs>
        <w:spacing w:before="60"/>
        <w:ind w:left="990" w:hanging="270"/>
        <w:rPr>
          <w:sz w:val="20"/>
        </w:rPr>
      </w:pPr>
      <w:r w:rsidRPr="00702477">
        <w:rPr>
          <w:sz w:val="20"/>
        </w:rPr>
        <w:t>those in couple EFUs tend to have higher per capita non-government income than do those in single person EFUs</w:t>
      </w:r>
    </w:p>
    <w:p w:rsidR="00C96A4B" w:rsidRPr="00702477" w:rsidRDefault="00C96A4B" w:rsidP="00614C04">
      <w:pPr>
        <w:numPr>
          <w:ilvl w:val="0"/>
          <w:numId w:val="63"/>
        </w:numPr>
        <w:tabs>
          <w:tab w:val="clear" w:pos="720"/>
          <w:tab w:val="num" w:pos="450"/>
        </w:tabs>
        <w:spacing w:before="120"/>
        <w:ind w:left="446"/>
        <w:rPr>
          <w:sz w:val="20"/>
        </w:rPr>
      </w:pPr>
      <w:r>
        <w:rPr>
          <w:sz w:val="20"/>
        </w:rPr>
        <w:t xml:space="preserve">Around one in three </w:t>
      </w:r>
      <w:r w:rsidRPr="00702477">
        <w:rPr>
          <w:sz w:val="20"/>
        </w:rPr>
        <w:t xml:space="preserve">older New Zealanders </w:t>
      </w:r>
      <w:r>
        <w:rPr>
          <w:sz w:val="20"/>
        </w:rPr>
        <w:t>receive more than half their income</w:t>
      </w:r>
      <w:r w:rsidRPr="00702477">
        <w:rPr>
          <w:sz w:val="20"/>
        </w:rPr>
        <w:t xml:space="preserve"> from sources other than NZS</w:t>
      </w:r>
      <w:r>
        <w:rPr>
          <w:sz w:val="20"/>
        </w:rPr>
        <w:t xml:space="preserve"> or VP</w:t>
      </w:r>
    </w:p>
    <w:p w:rsidR="00C96A4B" w:rsidRPr="00702477" w:rsidRDefault="00C96A4B" w:rsidP="00614C04">
      <w:pPr>
        <w:numPr>
          <w:ilvl w:val="0"/>
          <w:numId w:val="65"/>
        </w:numPr>
        <w:tabs>
          <w:tab w:val="clear" w:pos="720"/>
          <w:tab w:val="num" w:pos="990"/>
        </w:tabs>
        <w:spacing w:before="60"/>
        <w:ind w:left="994" w:hanging="274"/>
        <w:rPr>
          <w:sz w:val="20"/>
        </w:rPr>
      </w:pPr>
      <w:r w:rsidRPr="00702477">
        <w:rPr>
          <w:sz w:val="20"/>
        </w:rPr>
        <w:t xml:space="preserve">for this group, the proportion of income from other sources has grown a little over recent years, mainly due to increasing </w:t>
      </w:r>
      <w:r>
        <w:rPr>
          <w:sz w:val="20"/>
        </w:rPr>
        <w:t>non-government</w:t>
      </w:r>
      <w:r w:rsidRPr="00702477">
        <w:rPr>
          <w:sz w:val="20"/>
        </w:rPr>
        <w:t xml:space="preserve"> income for those in ‘younger’ couple EFUs</w:t>
      </w:r>
      <w:r>
        <w:rPr>
          <w:sz w:val="20"/>
        </w:rPr>
        <w:t xml:space="preserve"> (aged 66-75)</w:t>
      </w:r>
      <w:r w:rsidRPr="00702477">
        <w:rPr>
          <w:sz w:val="20"/>
        </w:rPr>
        <w:t xml:space="preserve"> </w:t>
      </w:r>
    </w:p>
    <w:p w:rsidR="00C96A4B" w:rsidRPr="00E8649C" w:rsidRDefault="00C96A4B" w:rsidP="00C96A4B">
      <w:pPr>
        <w:pStyle w:val="Heading1"/>
        <w:jc w:val="both"/>
        <w:rPr>
          <w:b w:val="0"/>
          <w:sz w:val="20"/>
          <w:szCs w:val="20"/>
        </w:rPr>
      </w:pPr>
      <w:r>
        <w:rPr>
          <w:sz w:val="20"/>
          <w:szCs w:val="20"/>
        </w:rPr>
        <w:br w:type="page"/>
      </w:r>
      <w:r w:rsidRPr="00E8649C">
        <w:rPr>
          <w:sz w:val="20"/>
          <w:szCs w:val="20"/>
        </w:rPr>
        <w:lastRenderedPageBreak/>
        <w:t>Table I.</w:t>
      </w:r>
      <w:r>
        <w:rPr>
          <w:sz w:val="20"/>
          <w:szCs w:val="20"/>
        </w:rPr>
        <w:t>4</w:t>
      </w:r>
      <w:r w:rsidRPr="00E8649C">
        <w:rPr>
          <w:b w:val="0"/>
          <w:sz w:val="20"/>
          <w:szCs w:val="20"/>
        </w:rPr>
        <w:t xml:space="preserve"> provides more detail to support and enlarge on these summary findings.  The right hand column gives the links to the relevant tables and charts that follow – these support and illustrate the summary above and the findings reported in the table.</w:t>
      </w:r>
      <w:r>
        <w:rPr>
          <w:b w:val="0"/>
          <w:sz w:val="20"/>
          <w:szCs w:val="20"/>
        </w:rPr>
        <w:t xml:space="preserve">  Around </w:t>
      </w:r>
      <w:r w:rsidRPr="00E8649C">
        <w:rPr>
          <w:b w:val="0"/>
          <w:sz w:val="20"/>
          <w:szCs w:val="20"/>
        </w:rPr>
        <w:t xml:space="preserve">98% of all government transfers to older New Zealanders </w:t>
      </w:r>
      <w:r>
        <w:rPr>
          <w:b w:val="0"/>
          <w:sz w:val="20"/>
          <w:szCs w:val="20"/>
        </w:rPr>
        <w:t>comes</w:t>
      </w:r>
      <w:r w:rsidRPr="00E8649C">
        <w:rPr>
          <w:b w:val="0"/>
          <w:sz w:val="20"/>
          <w:szCs w:val="20"/>
        </w:rPr>
        <w:t xml:space="preserve"> from NZS</w:t>
      </w:r>
      <w:r>
        <w:rPr>
          <w:b w:val="0"/>
          <w:sz w:val="20"/>
          <w:szCs w:val="20"/>
        </w:rPr>
        <w:t>/VP</w:t>
      </w:r>
      <w:r w:rsidRPr="00E8649C">
        <w:rPr>
          <w:b w:val="0"/>
          <w:sz w:val="20"/>
          <w:szCs w:val="20"/>
        </w:rPr>
        <w:t xml:space="preserve">.  </w:t>
      </w:r>
      <w:r>
        <w:rPr>
          <w:b w:val="0"/>
          <w:sz w:val="20"/>
          <w:szCs w:val="20"/>
        </w:rPr>
        <w:t>For some in lower income deciles, the extra state assistance (eg DA and AS) is significant and is more than the 2% average.</w:t>
      </w:r>
      <w:r w:rsidRPr="00E8649C">
        <w:rPr>
          <w:b w:val="0"/>
          <w:sz w:val="20"/>
          <w:szCs w:val="20"/>
        </w:rPr>
        <w:t xml:space="preserve"> </w:t>
      </w:r>
      <w:r>
        <w:rPr>
          <w:b w:val="0"/>
          <w:sz w:val="20"/>
          <w:szCs w:val="20"/>
        </w:rPr>
        <w:t xml:space="preserve"> </w:t>
      </w:r>
    </w:p>
    <w:p w:rsidR="00C96A4B" w:rsidRPr="00B466D1" w:rsidRDefault="00C96A4B" w:rsidP="00C96A4B"/>
    <w:p w:rsidR="00C96A4B" w:rsidRPr="00E020C2" w:rsidRDefault="00C96A4B" w:rsidP="00C96A4B">
      <w:pPr>
        <w:jc w:val="center"/>
        <w:rPr>
          <w:b/>
          <w:sz w:val="18"/>
        </w:rPr>
      </w:pPr>
      <w:r w:rsidRPr="00E020C2">
        <w:rPr>
          <w:b/>
          <w:sz w:val="18"/>
        </w:rPr>
        <w:t>Table I.</w:t>
      </w:r>
      <w:r>
        <w:rPr>
          <w:b/>
          <w:sz w:val="18"/>
        </w:rPr>
        <w:t>4</w:t>
      </w:r>
    </w:p>
    <w:p w:rsidR="00C96A4B" w:rsidRPr="00E020C2" w:rsidRDefault="00C96A4B" w:rsidP="00C96A4B">
      <w:pPr>
        <w:spacing w:after="120"/>
        <w:jc w:val="center"/>
        <w:rPr>
          <w:b/>
          <w:sz w:val="18"/>
        </w:rPr>
      </w:pPr>
      <w:r w:rsidRPr="00E020C2">
        <w:rPr>
          <w:b/>
          <w:sz w:val="18"/>
        </w:rPr>
        <w:t>Summary of key findings about sources of income for older New Zealanders</w:t>
      </w:r>
    </w:p>
    <w:tbl>
      <w:tblPr>
        <w:tblStyle w:val="TableGrid"/>
        <w:tblW w:w="0" w:type="auto"/>
        <w:jc w:val="center"/>
        <w:tblLook w:val="01E0"/>
      </w:tblPr>
      <w:tblGrid>
        <w:gridCol w:w="3996"/>
        <w:gridCol w:w="3726"/>
        <w:gridCol w:w="983"/>
      </w:tblGrid>
      <w:tr w:rsidR="00C96A4B">
        <w:trPr>
          <w:trHeight w:hRule="exact" w:val="317"/>
          <w:jc w:val="center"/>
        </w:trPr>
        <w:tc>
          <w:tcPr>
            <w:tcW w:w="3996" w:type="dxa"/>
            <w:tcBorders>
              <w:top w:val="single" w:sz="4" w:space="0" w:color="auto"/>
              <w:bottom w:val="single" w:sz="4" w:space="0" w:color="auto"/>
            </w:tcBorders>
            <w:vAlign w:val="center"/>
          </w:tcPr>
          <w:p w:rsidR="00C96A4B" w:rsidRPr="00833E2C" w:rsidRDefault="00C96A4B" w:rsidP="00614C04">
            <w:pPr>
              <w:spacing w:before="40" w:after="40"/>
              <w:jc w:val="center"/>
              <w:rPr>
                <w:b/>
                <w:sz w:val="18"/>
                <w:szCs w:val="18"/>
              </w:rPr>
            </w:pPr>
            <w:r w:rsidRPr="00833E2C">
              <w:rPr>
                <w:b/>
                <w:sz w:val="18"/>
                <w:szCs w:val="18"/>
              </w:rPr>
              <w:t>20</w:t>
            </w:r>
            <w:r>
              <w:rPr>
                <w:b/>
                <w:sz w:val="18"/>
                <w:szCs w:val="18"/>
              </w:rPr>
              <w:t>10</w:t>
            </w:r>
            <w:r w:rsidRPr="00833E2C">
              <w:rPr>
                <w:b/>
                <w:sz w:val="18"/>
                <w:szCs w:val="18"/>
              </w:rPr>
              <w:t xml:space="preserve"> HES</w:t>
            </w:r>
          </w:p>
        </w:tc>
        <w:tc>
          <w:tcPr>
            <w:tcW w:w="3726" w:type="dxa"/>
            <w:tcBorders>
              <w:top w:val="single" w:sz="4" w:space="0" w:color="auto"/>
              <w:bottom w:val="single" w:sz="4" w:space="0" w:color="auto"/>
              <w:right w:val="single" w:sz="4" w:space="0" w:color="auto"/>
            </w:tcBorders>
            <w:vAlign w:val="center"/>
          </w:tcPr>
          <w:p w:rsidR="00C96A4B" w:rsidRPr="00833E2C" w:rsidRDefault="00C96A4B" w:rsidP="00614C04">
            <w:pPr>
              <w:spacing w:before="40" w:after="40"/>
              <w:jc w:val="center"/>
              <w:rPr>
                <w:b/>
                <w:sz w:val="18"/>
                <w:szCs w:val="18"/>
              </w:rPr>
            </w:pPr>
            <w:r w:rsidRPr="00833E2C">
              <w:rPr>
                <w:b/>
                <w:sz w:val="18"/>
                <w:szCs w:val="18"/>
              </w:rPr>
              <w:t>Changes from 1989 to 20</w:t>
            </w:r>
            <w:r>
              <w:rPr>
                <w:b/>
                <w:sz w:val="18"/>
                <w:szCs w:val="18"/>
              </w:rPr>
              <w:t>10</w:t>
            </w:r>
          </w:p>
        </w:tc>
        <w:tc>
          <w:tcPr>
            <w:tcW w:w="983" w:type="dxa"/>
            <w:tcBorders>
              <w:top w:val="single" w:sz="4" w:space="0" w:color="auto"/>
              <w:left w:val="single" w:sz="4" w:space="0" w:color="auto"/>
              <w:bottom w:val="single" w:sz="4" w:space="0" w:color="auto"/>
            </w:tcBorders>
            <w:shd w:val="clear" w:color="auto" w:fill="auto"/>
            <w:vAlign w:val="center"/>
          </w:tcPr>
          <w:p w:rsidR="00C96A4B" w:rsidRPr="0092286F" w:rsidRDefault="00C96A4B" w:rsidP="00614C04">
            <w:pPr>
              <w:jc w:val="center"/>
              <w:rPr>
                <w:b/>
                <w:sz w:val="18"/>
                <w:szCs w:val="18"/>
              </w:rPr>
            </w:pPr>
            <w:r w:rsidRPr="0092286F">
              <w:rPr>
                <w:b/>
                <w:sz w:val="18"/>
                <w:szCs w:val="18"/>
              </w:rPr>
              <w:t>Ref</w:t>
            </w:r>
          </w:p>
        </w:tc>
      </w:tr>
      <w:tr w:rsidR="00C96A4B">
        <w:trPr>
          <w:trHeight w:val="278"/>
          <w:jc w:val="center"/>
        </w:trPr>
        <w:tc>
          <w:tcPr>
            <w:tcW w:w="7722" w:type="dxa"/>
            <w:gridSpan w:val="2"/>
            <w:tcBorders>
              <w:top w:val="single" w:sz="4" w:space="0" w:color="auto"/>
              <w:bottom w:val="nil"/>
            </w:tcBorders>
            <w:vAlign w:val="center"/>
          </w:tcPr>
          <w:p w:rsidR="00C96A4B" w:rsidRPr="00833E2C" w:rsidRDefault="00C96A4B" w:rsidP="00614C04">
            <w:pPr>
              <w:spacing w:before="120"/>
              <w:rPr>
                <w:sz w:val="18"/>
                <w:szCs w:val="18"/>
              </w:rPr>
            </w:pPr>
            <w:r w:rsidRPr="004F7754">
              <w:rPr>
                <w:b/>
                <w:color w:val="000000"/>
                <w:sz w:val="18"/>
                <w:szCs w:val="18"/>
              </w:rPr>
              <w:t xml:space="preserve">For the great majority, </w:t>
            </w:r>
            <w:r>
              <w:rPr>
                <w:b/>
                <w:color w:val="000000"/>
                <w:sz w:val="18"/>
                <w:szCs w:val="18"/>
              </w:rPr>
              <w:t xml:space="preserve"> there is very high dependence on NZS …</w:t>
            </w:r>
          </w:p>
        </w:tc>
        <w:tc>
          <w:tcPr>
            <w:tcW w:w="983" w:type="dxa"/>
            <w:tcBorders>
              <w:top w:val="single" w:sz="4" w:space="0" w:color="auto"/>
              <w:bottom w:val="nil"/>
            </w:tcBorders>
            <w:vAlign w:val="center"/>
          </w:tcPr>
          <w:p w:rsidR="00C96A4B" w:rsidRPr="00833E2C" w:rsidRDefault="00C96A4B" w:rsidP="00614C04">
            <w:pPr>
              <w:spacing w:before="60" w:after="60"/>
              <w:jc w:val="center"/>
              <w:rPr>
                <w:sz w:val="18"/>
                <w:szCs w:val="18"/>
              </w:rPr>
            </w:pPr>
            <w:r>
              <w:rPr>
                <w:sz w:val="18"/>
                <w:szCs w:val="18"/>
              </w:rPr>
              <w:t>Fig I.6</w:t>
            </w:r>
          </w:p>
        </w:tc>
      </w:tr>
      <w:tr w:rsidR="00C96A4B">
        <w:trPr>
          <w:jc w:val="center"/>
        </w:trPr>
        <w:tc>
          <w:tcPr>
            <w:tcW w:w="3996" w:type="dxa"/>
            <w:tcBorders>
              <w:top w:val="nil"/>
              <w:bottom w:val="nil"/>
            </w:tcBorders>
          </w:tcPr>
          <w:p w:rsidR="00C96A4B" w:rsidRPr="00833E2C" w:rsidRDefault="00C96A4B" w:rsidP="00614C04">
            <w:pPr>
              <w:numPr>
                <w:ilvl w:val="0"/>
                <w:numId w:val="60"/>
              </w:numPr>
              <w:tabs>
                <w:tab w:val="clear" w:pos="742"/>
                <w:tab w:val="num" w:pos="360"/>
              </w:tabs>
              <w:spacing w:before="60" w:after="60"/>
              <w:ind w:left="360" w:hanging="187"/>
              <w:jc w:val="both"/>
              <w:rPr>
                <w:rFonts w:cs="Arial"/>
                <w:sz w:val="18"/>
                <w:szCs w:val="18"/>
                <w:lang w:val="en-NZ"/>
              </w:rPr>
            </w:pPr>
            <w:r>
              <w:rPr>
                <w:sz w:val="18"/>
                <w:szCs w:val="18"/>
              </w:rPr>
              <w:t>NZS</w:t>
            </w:r>
            <w:r w:rsidRPr="00833E2C">
              <w:rPr>
                <w:sz w:val="18"/>
                <w:szCs w:val="18"/>
              </w:rPr>
              <w:t xml:space="preserve"> provided </w:t>
            </w:r>
            <w:r>
              <w:rPr>
                <w:sz w:val="18"/>
                <w:szCs w:val="18"/>
              </w:rPr>
              <w:t xml:space="preserve">virtually all </w:t>
            </w:r>
            <w:r w:rsidRPr="00833E2C">
              <w:rPr>
                <w:sz w:val="18"/>
                <w:szCs w:val="18"/>
              </w:rPr>
              <w:t>the income</w:t>
            </w:r>
            <w:r>
              <w:rPr>
                <w:sz w:val="18"/>
                <w:szCs w:val="18"/>
              </w:rPr>
              <w:t xml:space="preserve"> (98%)</w:t>
            </w:r>
            <w:r w:rsidRPr="00833E2C">
              <w:rPr>
                <w:sz w:val="18"/>
                <w:szCs w:val="18"/>
              </w:rPr>
              <w:t xml:space="preserve"> for the </w:t>
            </w:r>
            <w:r>
              <w:rPr>
                <w:sz w:val="18"/>
                <w:szCs w:val="18"/>
              </w:rPr>
              <w:t>lower</w:t>
            </w:r>
            <w:r w:rsidRPr="00833E2C">
              <w:rPr>
                <w:sz w:val="18"/>
                <w:szCs w:val="18"/>
              </w:rPr>
              <w:t xml:space="preserve"> </w:t>
            </w:r>
            <w:r>
              <w:rPr>
                <w:sz w:val="18"/>
                <w:szCs w:val="18"/>
              </w:rPr>
              <w:t>4</w:t>
            </w:r>
            <w:r w:rsidRPr="00833E2C">
              <w:rPr>
                <w:sz w:val="18"/>
                <w:szCs w:val="18"/>
              </w:rPr>
              <w:t>0%</w:t>
            </w:r>
            <w:r>
              <w:rPr>
                <w:sz w:val="18"/>
                <w:szCs w:val="18"/>
              </w:rPr>
              <w:t xml:space="preserve"> (Q1 and Q2)</w:t>
            </w:r>
          </w:p>
        </w:tc>
        <w:tc>
          <w:tcPr>
            <w:tcW w:w="3726" w:type="dxa"/>
            <w:tcBorders>
              <w:top w:val="nil"/>
              <w:bottom w:val="nil"/>
              <w:right w:val="single" w:sz="4" w:space="0" w:color="auto"/>
            </w:tcBorders>
          </w:tcPr>
          <w:p w:rsidR="00C96A4B" w:rsidRPr="00833E2C" w:rsidRDefault="00C96A4B" w:rsidP="00614C04">
            <w:pPr>
              <w:numPr>
                <w:ilvl w:val="0"/>
                <w:numId w:val="62"/>
              </w:numPr>
              <w:tabs>
                <w:tab w:val="clear" w:pos="720"/>
              </w:tabs>
              <w:spacing w:before="60" w:after="60"/>
              <w:ind w:left="216" w:hanging="187"/>
              <w:rPr>
                <w:sz w:val="18"/>
                <w:szCs w:val="18"/>
              </w:rPr>
            </w:pPr>
            <w:r>
              <w:rPr>
                <w:sz w:val="18"/>
                <w:szCs w:val="18"/>
              </w:rPr>
              <w:t>there has been very little change in these proportions since 1989</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I.7</w:t>
            </w:r>
          </w:p>
        </w:tc>
      </w:tr>
      <w:tr w:rsidR="00C96A4B">
        <w:trPr>
          <w:jc w:val="center"/>
        </w:trPr>
        <w:tc>
          <w:tcPr>
            <w:tcW w:w="3996" w:type="dxa"/>
            <w:tcBorders>
              <w:top w:val="nil"/>
              <w:bottom w:val="nil"/>
            </w:tcBorders>
          </w:tcPr>
          <w:p w:rsidR="00C96A4B" w:rsidRPr="00833E2C" w:rsidRDefault="00C96A4B" w:rsidP="00614C04">
            <w:pPr>
              <w:numPr>
                <w:ilvl w:val="0"/>
                <w:numId w:val="60"/>
              </w:numPr>
              <w:tabs>
                <w:tab w:val="clear" w:pos="742"/>
                <w:tab w:val="num" w:pos="360"/>
              </w:tabs>
              <w:spacing w:before="60" w:after="60"/>
              <w:ind w:left="360" w:hanging="187"/>
              <w:jc w:val="both"/>
              <w:rPr>
                <w:rFonts w:cs="Arial"/>
                <w:sz w:val="18"/>
                <w:szCs w:val="18"/>
                <w:lang w:val="en-NZ"/>
              </w:rPr>
            </w:pPr>
            <w:r>
              <w:rPr>
                <w:sz w:val="18"/>
                <w:szCs w:val="18"/>
              </w:rPr>
              <w:t>NZS</w:t>
            </w:r>
            <w:r w:rsidRPr="00833E2C">
              <w:rPr>
                <w:sz w:val="18"/>
                <w:szCs w:val="18"/>
              </w:rPr>
              <w:t xml:space="preserve"> provided </w:t>
            </w:r>
            <w:r>
              <w:rPr>
                <w:sz w:val="18"/>
                <w:szCs w:val="18"/>
              </w:rPr>
              <w:t>80</w:t>
            </w:r>
            <w:r w:rsidRPr="00833E2C">
              <w:rPr>
                <w:sz w:val="18"/>
                <w:szCs w:val="18"/>
              </w:rPr>
              <w:t xml:space="preserve">% </w:t>
            </w:r>
            <w:r>
              <w:rPr>
                <w:sz w:val="18"/>
                <w:szCs w:val="18"/>
              </w:rPr>
              <w:t xml:space="preserve">of income </w:t>
            </w:r>
            <w:r w:rsidRPr="00833E2C">
              <w:rPr>
                <w:sz w:val="18"/>
                <w:szCs w:val="18"/>
              </w:rPr>
              <w:t>for the next 20% (the middle quintile)</w:t>
            </w:r>
          </w:p>
        </w:tc>
        <w:tc>
          <w:tcPr>
            <w:tcW w:w="3726" w:type="dxa"/>
            <w:tcBorders>
              <w:top w:val="nil"/>
              <w:bottom w:val="nil"/>
              <w:right w:val="single" w:sz="4" w:space="0" w:color="auto"/>
            </w:tcBorders>
          </w:tcPr>
          <w:p w:rsidR="00C96A4B" w:rsidRPr="00833E2C" w:rsidRDefault="00C96A4B" w:rsidP="00614C04">
            <w:pPr>
              <w:numPr>
                <w:ilvl w:val="0"/>
                <w:numId w:val="62"/>
              </w:numPr>
              <w:tabs>
                <w:tab w:val="clear" w:pos="720"/>
              </w:tabs>
              <w:spacing w:before="60" w:after="60"/>
              <w:ind w:left="216" w:hanging="187"/>
              <w:rPr>
                <w:sz w:val="18"/>
                <w:szCs w:val="18"/>
              </w:rPr>
            </w:pPr>
            <w:r>
              <w:rPr>
                <w:sz w:val="18"/>
                <w:szCs w:val="18"/>
              </w:rPr>
              <w:t>there has been a small but definite decline in this proportion since 2004, from 90% to 80%</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I.8</w:t>
            </w:r>
          </w:p>
        </w:tc>
      </w:tr>
      <w:tr w:rsidR="00C96A4B">
        <w:trPr>
          <w:jc w:val="center"/>
        </w:trPr>
        <w:tc>
          <w:tcPr>
            <w:tcW w:w="3996" w:type="dxa"/>
            <w:tcBorders>
              <w:top w:val="nil"/>
              <w:bottom w:val="nil"/>
            </w:tcBorders>
          </w:tcPr>
          <w:p w:rsidR="00C96A4B" w:rsidRDefault="00C96A4B" w:rsidP="00614C04">
            <w:pPr>
              <w:numPr>
                <w:ilvl w:val="0"/>
                <w:numId w:val="60"/>
              </w:numPr>
              <w:tabs>
                <w:tab w:val="clear" w:pos="742"/>
                <w:tab w:val="num" w:pos="360"/>
              </w:tabs>
              <w:spacing w:before="60" w:after="60"/>
              <w:ind w:left="360" w:hanging="187"/>
              <w:jc w:val="both"/>
              <w:rPr>
                <w:sz w:val="18"/>
                <w:szCs w:val="18"/>
              </w:rPr>
            </w:pPr>
            <w:r>
              <w:rPr>
                <w:sz w:val="18"/>
                <w:szCs w:val="18"/>
              </w:rPr>
              <w:t>for the next 20% (Q4), NZS provided half the income</w:t>
            </w:r>
          </w:p>
        </w:tc>
        <w:tc>
          <w:tcPr>
            <w:tcW w:w="3726" w:type="dxa"/>
            <w:tcBorders>
              <w:top w:val="nil"/>
              <w:bottom w:val="nil"/>
              <w:right w:val="single" w:sz="4" w:space="0" w:color="auto"/>
            </w:tcBorders>
          </w:tcPr>
          <w:p w:rsidR="00C96A4B" w:rsidRDefault="00C96A4B" w:rsidP="00614C04">
            <w:pPr>
              <w:numPr>
                <w:ilvl w:val="0"/>
                <w:numId w:val="62"/>
              </w:numPr>
              <w:tabs>
                <w:tab w:val="clear" w:pos="720"/>
              </w:tabs>
              <w:spacing w:before="60" w:after="60"/>
              <w:ind w:left="216" w:hanging="187"/>
              <w:rPr>
                <w:sz w:val="18"/>
                <w:szCs w:val="18"/>
              </w:rPr>
            </w:pPr>
            <w:r>
              <w:rPr>
                <w:sz w:val="18"/>
                <w:szCs w:val="18"/>
              </w:rPr>
              <w:t>this is down a little from the 65% to 70% that prevailed from 1989 to 2001</w:t>
            </w:r>
          </w:p>
        </w:tc>
        <w:tc>
          <w:tcPr>
            <w:tcW w:w="983" w:type="dxa"/>
            <w:tcBorders>
              <w:top w:val="nil"/>
              <w:left w:val="single" w:sz="4" w:space="0" w:color="auto"/>
              <w:bottom w:val="nil"/>
            </w:tcBorders>
            <w:shd w:val="clear" w:color="auto" w:fill="auto"/>
          </w:tcPr>
          <w:p w:rsidR="00C96A4B" w:rsidRDefault="00C96A4B" w:rsidP="00614C04">
            <w:pPr>
              <w:spacing w:before="60" w:after="60"/>
              <w:jc w:val="center"/>
              <w:rPr>
                <w:sz w:val="18"/>
                <w:szCs w:val="18"/>
              </w:rPr>
            </w:pPr>
            <w:r>
              <w:rPr>
                <w:sz w:val="18"/>
                <w:szCs w:val="18"/>
              </w:rPr>
              <w:t>Fig I.6</w:t>
            </w:r>
          </w:p>
        </w:tc>
      </w:tr>
      <w:tr w:rsidR="00C96A4B">
        <w:trPr>
          <w:trHeight w:val="567"/>
          <w:jc w:val="center"/>
        </w:trPr>
        <w:tc>
          <w:tcPr>
            <w:tcW w:w="3996" w:type="dxa"/>
            <w:tcBorders>
              <w:top w:val="nil"/>
              <w:bottom w:val="nil"/>
            </w:tcBorders>
          </w:tcPr>
          <w:p w:rsidR="00C96A4B" w:rsidRPr="00B51943" w:rsidRDefault="00C96A4B" w:rsidP="00614C04">
            <w:pPr>
              <w:pStyle w:val="Heading1"/>
              <w:numPr>
                <w:ilvl w:val="0"/>
                <w:numId w:val="60"/>
              </w:numPr>
              <w:tabs>
                <w:tab w:val="clear" w:pos="742"/>
                <w:tab w:val="num" w:pos="360"/>
              </w:tabs>
              <w:spacing w:before="60" w:after="60"/>
              <w:ind w:left="360" w:hanging="187"/>
              <w:jc w:val="both"/>
              <w:rPr>
                <w:b w:val="0"/>
                <w:color w:val="000000"/>
                <w:sz w:val="18"/>
                <w:szCs w:val="18"/>
                <w:lang w:val="en-GB"/>
              </w:rPr>
            </w:pPr>
            <w:r>
              <w:rPr>
                <w:b w:val="0"/>
                <w:color w:val="000000"/>
                <w:sz w:val="18"/>
                <w:szCs w:val="18"/>
                <w:lang w:val="en-GB"/>
              </w:rPr>
              <w:t>the lower</w:t>
            </w:r>
            <w:r w:rsidRPr="00B51943">
              <w:rPr>
                <w:b w:val="0"/>
                <w:color w:val="000000"/>
                <w:sz w:val="18"/>
                <w:szCs w:val="18"/>
                <w:lang w:val="en-GB"/>
              </w:rPr>
              <w:t xml:space="preserve"> 60%</w:t>
            </w:r>
            <w:r>
              <w:rPr>
                <w:b w:val="0"/>
                <w:color w:val="000000"/>
                <w:sz w:val="18"/>
                <w:szCs w:val="18"/>
                <w:lang w:val="en-GB"/>
              </w:rPr>
              <w:t xml:space="preserve"> reported less than $200</w:t>
            </w:r>
            <w:r w:rsidRPr="00B51943">
              <w:rPr>
                <w:b w:val="0"/>
                <w:color w:val="000000"/>
                <w:sz w:val="18"/>
                <w:szCs w:val="18"/>
                <w:lang w:val="en-GB"/>
              </w:rPr>
              <w:t xml:space="preserve"> pw</w:t>
            </w:r>
            <w:r>
              <w:rPr>
                <w:b w:val="0"/>
                <w:color w:val="000000"/>
                <w:sz w:val="18"/>
                <w:szCs w:val="18"/>
                <w:lang w:val="en-GB"/>
              </w:rPr>
              <w:t xml:space="preserve"> (per capita)</w:t>
            </w:r>
            <w:r w:rsidRPr="00B51943">
              <w:rPr>
                <w:b w:val="0"/>
                <w:color w:val="000000"/>
                <w:sz w:val="18"/>
                <w:szCs w:val="18"/>
                <w:lang w:val="en-GB"/>
              </w:rPr>
              <w:t xml:space="preserve"> from sources other than </w:t>
            </w:r>
            <w:r>
              <w:rPr>
                <w:b w:val="0"/>
                <w:color w:val="000000"/>
                <w:sz w:val="18"/>
                <w:szCs w:val="18"/>
                <w:lang w:val="en-GB"/>
              </w:rPr>
              <w:t>government transfers</w:t>
            </w:r>
            <w:r w:rsidRPr="00B51943">
              <w:rPr>
                <w:b w:val="0"/>
                <w:color w:val="000000"/>
                <w:sz w:val="18"/>
                <w:szCs w:val="18"/>
                <w:lang w:val="en-GB"/>
              </w:rPr>
              <w:t xml:space="preserve">  </w:t>
            </w:r>
          </w:p>
        </w:tc>
        <w:tc>
          <w:tcPr>
            <w:tcW w:w="3726" w:type="dxa"/>
            <w:tcBorders>
              <w:top w:val="nil"/>
              <w:bottom w:val="nil"/>
              <w:right w:val="single" w:sz="4" w:space="0" w:color="auto"/>
            </w:tcBorders>
          </w:tcPr>
          <w:p w:rsidR="00C96A4B" w:rsidRPr="00833E2C" w:rsidRDefault="00C96A4B" w:rsidP="00614C04">
            <w:pPr>
              <w:numPr>
                <w:ilvl w:val="1"/>
                <w:numId w:val="62"/>
              </w:numPr>
              <w:tabs>
                <w:tab w:val="clear" w:pos="1440"/>
              </w:tabs>
              <w:spacing w:before="60" w:after="60"/>
              <w:ind w:left="216" w:hanging="187"/>
              <w:rPr>
                <w:sz w:val="18"/>
                <w:szCs w:val="18"/>
              </w:rPr>
            </w:pPr>
            <w:r>
              <w:rPr>
                <w:sz w:val="18"/>
                <w:szCs w:val="18"/>
              </w:rPr>
              <w:t>there has been little change since 1989 (in real terms)</w:t>
            </w:r>
          </w:p>
        </w:tc>
        <w:tc>
          <w:tcPr>
            <w:tcW w:w="983" w:type="dxa"/>
            <w:vMerge w:val="restart"/>
            <w:tcBorders>
              <w:top w:val="nil"/>
              <w:left w:val="single" w:sz="4" w:space="0" w:color="auto"/>
            </w:tcBorders>
            <w:shd w:val="clear" w:color="auto" w:fill="auto"/>
            <w:vAlign w:val="center"/>
          </w:tcPr>
          <w:p w:rsidR="00C96A4B" w:rsidRPr="00833E2C" w:rsidRDefault="00C96A4B" w:rsidP="00614C04">
            <w:pPr>
              <w:spacing w:before="60" w:after="60"/>
              <w:jc w:val="center"/>
              <w:rPr>
                <w:sz w:val="18"/>
                <w:szCs w:val="18"/>
              </w:rPr>
            </w:pPr>
            <w:r>
              <w:rPr>
                <w:sz w:val="18"/>
                <w:szCs w:val="18"/>
              </w:rPr>
              <w:t>Derived from Fig I.11 and I.7</w:t>
            </w:r>
          </w:p>
        </w:tc>
      </w:tr>
      <w:tr w:rsidR="00C96A4B">
        <w:trPr>
          <w:trHeight w:val="567"/>
          <w:jc w:val="center"/>
        </w:trPr>
        <w:tc>
          <w:tcPr>
            <w:tcW w:w="3996" w:type="dxa"/>
            <w:tcBorders>
              <w:top w:val="nil"/>
              <w:bottom w:val="nil"/>
            </w:tcBorders>
          </w:tcPr>
          <w:p w:rsidR="00C96A4B" w:rsidRPr="00B51943" w:rsidRDefault="00C96A4B" w:rsidP="00614C04">
            <w:pPr>
              <w:pStyle w:val="Heading1"/>
              <w:numPr>
                <w:ilvl w:val="0"/>
                <w:numId w:val="60"/>
              </w:numPr>
              <w:tabs>
                <w:tab w:val="clear" w:pos="742"/>
                <w:tab w:val="num" w:pos="360"/>
              </w:tabs>
              <w:spacing w:before="60" w:after="60"/>
              <w:ind w:left="360" w:hanging="187"/>
              <w:jc w:val="both"/>
              <w:rPr>
                <w:b w:val="0"/>
                <w:color w:val="000000"/>
                <w:sz w:val="18"/>
                <w:szCs w:val="18"/>
                <w:lang w:val="en-GB"/>
              </w:rPr>
            </w:pPr>
            <w:r>
              <w:rPr>
                <w:b w:val="0"/>
                <w:color w:val="000000"/>
                <w:sz w:val="18"/>
                <w:szCs w:val="18"/>
              </w:rPr>
              <w:t>the lower</w:t>
            </w:r>
            <w:r w:rsidRPr="00B51943">
              <w:rPr>
                <w:b w:val="0"/>
                <w:color w:val="000000"/>
                <w:sz w:val="18"/>
                <w:szCs w:val="18"/>
              </w:rPr>
              <w:t xml:space="preserve"> </w:t>
            </w:r>
            <w:r>
              <w:rPr>
                <w:b w:val="0"/>
                <w:color w:val="000000"/>
                <w:sz w:val="18"/>
                <w:szCs w:val="18"/>
              </w:rPr>
              <w:t>40%</w:t>
            </w:r>
            <w:r w:rsidRPr="00B51943">
              <w:rPr>
                <w:b w:val="0"/>
                <w:color w:val="000000"/>
                <w:sz w:val="18"/>
                <w:szCs w:val="18"/>
              </w:rPr>
              <w:t xml:space="preserve"> report</w:t>
            </w:r>
            <w:r>
              <w:rPr>
                <w:b w:val="0"/>
                <w:color w:val="000000"/>
                <w:sz w:val="18"/>
                <w:szCs w:val="18"/>
              </w:rPr>
              <w:t>ed</w:t>
            </w:r>
            <w:r w:rsidRPr="00B51943">
              <w:rPr>
                <w:b w:val="0"/>
                <w:color w:val="000000"/>
                <w:sz w:val="18"/>
                <w:szCs w:val="18"/>
              </w:rPr>
              <w:t xml:space="preserve"> less than $</w:t>
            </w:r>
            <w:r>
              <w:rPr>
                <w:b w:val="0"/>
                <w:color w:val="000000"/>
                <w:sz w:val="18"/>
                <w:szCs w:val="18"/>
              </w:rPr>
              <w:t>3</w:t>
            </w:r>
            <w:r w:rsidRPr="00B51943">
              <w:rPr>
                <w:b w:val="0"/>
                <w:color w:val="000000"/>
                <w:sz w:val="18"/>
                <w:szCs w:val="18"/>
              </w:rPr>
              <w:t>0 pw</w:t>
            </w:r>
            <w:r>
              <w:rPr>
                <w:b w:val="0"/>
                <w:color w:val="000000"/>
                <w:sz w:val="18"/>
                <w:szCs w:val="18"/>
              </w:rPr>
              <w:t xml:space="preserve"> (per capita)</w:t>
            </w:r>
            <w:r w:rsidRPr="00B51943">
              <w:rPr>
                <w:b w:val="0"/>
                <w:color w:val="000000"/>
                <w:sz w:val="18"/>
                <w:szCs w:val="18"/>
              </w:rPr>
              <w:t xml:space="preserve"> from sources other than </w:t>
            </w:r>
            <w:r>
              <w:rPr>
                <w:b w:val="0"/>
                <w:color w:val="000000"/>
                <w:sz w:val="18"/>
                <w:szCs w:val="18"/>
              </w:rPr>
              <w:t>government transfers</w:t>
            </w:r>
          </w:p>
        </w:tc>
        <w:tc>
          <w:tcPr>
            <w:tcW w:w="3726" w:type="dxa"/>
            <w:tcBorders>
              <w:top w:val="nil"/>
              <w:bottom w:val="nil"/>
              <w:right w:val="single" w:sz="4" w:space="0" w:color="auto"/>
            </w:tcBorders>
          </w:tcPr>
          <w:p w:rsidR="00C96A4B" w:rsidRPr="00833E2C" w:rsidRDefault="00C96A4B" w:rsidP="00614C04">
            <w:pPr>
              <w:numPr>
                <w:ilvl w:val="1"/>
                <w:numId w:val="62"/>
              </w:numPr>
              <w:tabs>
                <w:tab w:val="clear" w:pos="1440"/>
              </w:tabs>
              <w:spacing w:before="60" w:after="60"/>
              <w:ind w:left="216" w:hanging="187"/>
              <w:rPr>
                <w:sz w:val="18"/>
                <w:szCs w:val="18"/>
              </w:rPr>
            </w:pPr>
            <w:r>
              <w:rPr>
                <w:sz w:val="18"/>
                <w:szCs w:val="18"/>
              </w:rPr>
              <w:t>there has been little change since 1989 (in real terms)</w:t>
            </w:r>
          </w:p>
        </w:tc>
        <w:tc>
          <w:tcPr>
            <w:tcW w:w="983" w:type="dxa"/>
            <w:vMerge/>
            <w:tcBorders>
              <w:left w:val="single" w:sz="4" w:space="0" w:color="auto"/>
              <w:bottom w:val="nil"/>
            </w:tcBorders>
            <w:shd w:val="clear" w:color="auto" w:fill="auto"/>
          </w:tcPr>
          <w:p w:rsidR="00C96A4B" w:rsidRPr="00833E2C" w:rsidRDefault="00C96A4B" w:rsidP="00614C04">
            <w:pPr>
              <w:spacing w:before="60" w:after="60"/>
              <w:jc w:val="center"/>
              <w:rPr>
                <w:sz w:val="18"/>
                <w:szCs w:val="18"/>
              </w:rPr>
            </w:pPr>
          </w:p>
        </w:tc>
      </w:tr>
      <w:tr w:rsidR="00C96A4B">
        <w:trPr>
          <w:jc w:val="center"/>
        </w:trPr>
        <w:tc>
          <w:tcPr>
            <w:tcW w:w="7722" w:type="dxa"/>
            <w:gridSpan w:val="2"/>
            <w:tcBorders>
              <w:top w:val="single" w:sz="4" w:space="0" w:color="auto"/>
              <w:bottom w:val="nil"/>
            </w:tcBorders>
            <w:vAlign w:val="center"/>
          </w:tcPr>
          <w:p w:rsidR="00C96A4B" w:rsidRPr="00833E2C" w:rsidRDefault="00C96A4B" w:rsidP="00614C04">
            <w:pPr>
              <w:spacing w:before="120"/>
              <w:ind w:left="360" w:hanging="360"/>
              <w:rPr>
                <w:sz w:val="18"/>
                <w:szCs w:val="18"/>
              </w:rPr>
            </w:pPr>
            <w:r>
              <w:rPr>
                <w:b/>
                <w:sz w:val="18"/>
                <w:szCs w:val="18"/>
              </w:rPr>
              <w:t xml:space="preserve">… and </w:t>
            </w:r>
            <w:r w:rsidRPr="00963944">
              <w:rPr>
                <w:b/>
                <w:sz w:val="18"/>
                <w:szCs w:val="18"/>
              </w:rPr>
              <w:t xml:space="preserve">single person EFUs </w:t>
            </w:r>
            <w:r>
              <w:rPr>
                <w:b/>
                <w:sz w:val="18"/>
                <w:szCs w:val="18"/>
              </w:rPr>
              <w:t>are more dependent on NZS than</w:t>
            </w:r>
            <w:r w:rsidRPr="00963944">
              <w:rPr>
                <w:b/>
                <w:sz w:val="18"/>
                <w:szCs w:val="18"/>
              </w:rPr>
              <w:t xml:space="preserve"> </w:t>
            </w:r>
            <w:r>
              <w:rPr>
                <w:b/>
                <w:sz w:val="18"/>
                <w:szCs w:val="18"/>
              </w:rPr>
              <w:t xml:space="preserve">are </w:t>
            </w:r>
            <w:r w:rsidRPr="00963944">
              <w:rPr>
                <w:b/>
                <w:sz w:val="18"/>
                <w:szCs w:val="18"/>
              </w:rPr>
              <w:t xml:space="preserve">couple EFUs </w:t>
            </w:r>
          </w:p>
        </w:tc>
        <w:tc>
          <w:tcPr>
            <w:tcW w:w="983" w:type="dxa"/>
            <w:tcBorders>
              <w:top w:val="single" w:sz="4" w:space="0" w:color="auto"/>
              <w:bottom w:val="nil"/>
            </w:tcBorders>
            <w:vAlign w:val="center"/>
          </w:tcPr>
          <w:p w:rsidR="00C96A4B" w:rsidRPr="00833E2C" w:rsidRDefault="00C96A4B" w:rsidP="00614C04">
            <w:pPr>
              <w:spacing w:before="120" w:after="60"/>
              <w:ind w:left="-18" w:firstLine="11"/>
              <w:jc w:val="center"/>
              <w:rPr>
                <w:sz w:val="18"/>
                <w:szCs w:val="18"/>
              </w:rPr>
            </w:pPr>
          </w:p>
        </w:tc>
      </w:tr>
      <w:tr w:rsidR="00C96A4B">
        <w:trPr>
          <w:jc w:val="center"/>
        </w:trPr>
        <w:tc>
          <w:tcPr>
            <w:tcW w:w="3996" w:type="dxa"/>
            <w:tcBorders>
              <w:top w:val="nil"/>
              <w:bottom w:val="nil"/>
            </w:tcBorders>
          </w:tcPr>
          <w:p w:rsidR="00C96A4B" w:rsidRDefault="00C96A4B" w:rsidP="00614C04">
            <w:pPr>
              <w:numPr>
                <w:ilvl w:val="0"/>
                <w:numId w:val="60"/>
              </w:numPr>
              <w:tabs>
                <w:tab w:val="clear" w:pos="742"/>
                <w:tab w:val="num" w:pos="360"/>
              </w:tabs>
              <w:spacing w:before="60" w:after="60"/>
              <w:ind w:left="360" w:hanging="187"/>
              <w:jc w:val="both"/>
              <w:rPr>
                <w:sz w:val="18"/>
                <w:szCs w:val="18"/>
              </w:rPr>
            </w:pPr>
            <w:r>
              <w:rPr>
                <w:sz w:val="18"/>
                <w:szCs w:val="18"/>
              </w:rPr>
              <w:t>65% of all the income for single person EFUs came from government transfers, 40% for couples</w:t>
            </w:r>
          </w:p>
        </w:tc>
        <w:tc>
          <w:tcPr>
            <w:tcW w:w="3726" w:type="dxa"/>
            <w:tcBorders>
              <w:top w:val="nil"/>
              <w:bottom w:val="nil"/>
              <w:right w:val="single" w:sz="4" w:space="0" w:color="auto"/>
            </w:tcBorders>
          </w:tcPr>
          <w:p w:rsidR="00C96A4B" w:rsidRDefault="00C96A4B" w:rsidP="00614C04">
            <w:pPr>
              <w:numPr>
                <w:ilvl w:val="0"/>
                <w:numId w:val="62"/>
              </w:numPr>
              <w:tabs>
                <w:tab w:val="clear" w:pos="720"/>
              </w:tabs>
              <w:spacing w:before="60" w:after="60"/>
              <w:ind w:left="216" w:hanging="187"/>
              <w:rPr>
                <w:sz w:val="18"/>
                <w:szCs w:val="18"/>
              </w:rPr>
            </w:pPr>
            <w:r>
              <w:rPr>
                <w:sz w:val="18"/>
                <w:szCs w:val="18"/>
              </w:rPr>
              <w:t>the proportion of all incomes coming from government transfers has declined since 1989, but the proportion for singles is always higher than for couples (eg 70% and 60% respectively in 1998)</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I.9</w:t>
            </w:r>
          </w:p>
        </w:tc>
      </w:tr>
      <w:tr w:rsidR="00C96A4B">
        <w:trPr>
          <w:jc w:val="center"/>
        </w:trPr>
        <w:tc>
          <w:tcPr>
            <w:tcW w:w="3996" w:type="dxa"/>
            <w:tcBorders>
              <w:top w:val="nil"/>
              <w:bottom w:val="single" w:sz="4" w:space="0" w:color="auto"/>
            </w:tcBorders>
          </w:tcPr>
          <w:p w:rsidR="00C96A4B" w:rsidRPr="00DD1188" w:rsidRDefault="00C96A4B" w:rsidP="00614C04">
            <w:pPr>
              <w:numPr>
                <w:ilvl w:val="0"/>
                <w:numId w:val="60"/>
              </w:numPr>
              <w:tabs>
                <w:tab w:val="clear" w:pos="742"/>
                <w:tab w:val="num" w:pos="360"/>
              </w:tabs>
              <w:spacing w:before="60" w:after="60"/>
              <w:ind w:left="360" w:hanging="187"/>
              <w:jc w:val="both"/>
              <w:rPr>
                <w:sz w:val="18"/>
                <w:szCs w:val="18"/>
              </w:rPr>
            </w:pPr>
            <w:r w:rsidRPr="00DD1188">
              <w:rPr>
                <w:sz w:val="18"/>
                <w:szCs w:val="18"/>
              </w:rPr>
              <w:t>of the 25% of older NZers reporting more than $</w:t>
            </w:r>
            <w:r>
              <w:rPr>
                <w:sz w:val="18"/>
                <w:szCs w:val="18"/>
              </w:rPr>
              <w:t>400</w:t>
            </w:r>
            <w:r w:rsidRPr="00DD1188">
              <w:rPr>
                <w:sz w:val="18"/>
                <w:szCs w:val="18"/>
              </w:rPr>
              <w:t xml:space="preserve"> pw (per capita) non-govt income, </w:t>
            </w:r>
            <w:r>
              <w:rPr>
                <w:sz w:val="18"/>
                <w:szCs w:val="18"/>
              </w:rPr>
              <w:t>3 in 4</w:t>
            </w:r>
            <w:r w:rsidRPr="00DD1188">
              <w:rPr>
                <w:sz w:val="18"/>
                <w:szCs w:val="18"/>
              </w:rPr>
              <w:t xml:space="preserve"> were from couple EFUs and </w:t>
            </w:r>
            <w:r>
              <w:rPr>
                <w:sz w:val="18"/>
                <w:szCs w:val="18"/>
              </w:rPr>
              <w:t xml:space="preserve">1 in 4 </w:t>
            </w:r>
            <w:r w:rsidRPr="00DD1188">
              <w:rPr>
                <w:sz w:val="18"/>
                <w:szCs w:val="18"/>
              </w:rPr>
              <w:t>from single</w:t>
            </w:r>
            <w:r>
              <w:rPr>
                <w:sz w:val="18"/>
                <w:szCs w:val="18"/>
              </w:rPr>
              <w:t>-</w:t>
            </w:r>
            <w:r w:rsidRPr="00DD1188">
              <w:rPr>
                <w:sz w:val="18"/>
                <w:szCs w:val="18"/>
              </w:rPr>
              <w:t>person EFUs</w:t>
            </w:r>
          </w:p>
        </w:tc>
        <w:tc>
          <w:tcPr>
            <w:tcW w:w="3726" w:type="dxa"/>
            <w:tcBorders>
              <w:top w:val="nil"/>
              <w:bottom w:val="single" w:sz="4" w:space="0" w:color="auto"/>
              <w:right w:val="single" w:sz="4" w:space="0" w:color="auto"/>
            </w:tcBorders>
          </w:tcPr>
          <w:p w:rsidR="00C96A4B" w:rsidRDefault="00C96A4B" w:rsidP="00614C04">
            <w:pPr>
              <w:spacing w:before="60" w:after="60"/>
              <w:ind w:left="29"/>
              <w:rPr>
                <w:sz w:val="18"/>
                <w:szCs w:val="18"/>
              </w:rPr>
            </w:pPr>
          </w:p>
        </w:tc>
        <w:tc>
          <w:tcPr>
            <w:tcW w:w="983" w:type="dxa"/>
            <w:tcBorders>
              <w:top w:val="nil"/>
              <w:left w:val="single" w:sz="4" w:space="0" w:color="auto"/>
              <w:bottom w:val="single" w:sz="4" w:space="0" w:color="auto"/>
            </w:tcBorders>
            <w:shd w:val="clear" w:color="auto" w:fill="auto"/>
          </w:tcPr>
          <w:p w:rsidR="00C96A4B" w:rsidRPr="00833E2C" w:rsidRDefault="00C96A4B" w:rsidP="00614C04">
            <w:pPr>
              <w:spacing w:before="60" w:after="60"/>
              <w:jc w:val="center"/>
              <w:rPr>
                <w:sz w:val="18"/>
                <w:szCs w:val="18"/>
              </w:rPr>
            </w:pPr>
            <w:r>
              <w:rPr>
                <w:sz w:val="18"/>
                <w:szCs w:val="18"/>
              </w:rPr>
              <w:t>Derived from Fig I.11</w:t>
            </w:r>
          </w:p>
        </w:tc>
      </w:tr>
      <w:tr w:rsidR="00C96A4B">
        <w:trPr>
          <w:jc w:val="center"/>
        </w:trPr>
        <w:tc>
          <w:tcPr>
            <w:tcW w:w="7722" w:type="dxa"/>
            <w:gridSpan w:val="2"/>
            <w:tcBorders>
              <w:top w:val="single" w:sz="4" w:space="0" w:color="auto"/>
              <w:bottom w:val="nil"/>
            </w:tcBorders>
            <w:vAlign w:val="center"/>
          </w:tcPr>
          <w:p w:rsidR="00C96A4B" w:rsidRPr="00833E2C" w:rsidRDefault="00C96A4B" w:rsidP="00614C04">
            <w:pPr>
              <w:spacing w:before="60" w:after="60"/>
              <w:rPr>
                <w:sz w:val="18"/>
                <w:szCs w:val="18"/>
              </w:rPr>
            </w:pPr>
            <w:r>
              <w:rPr>
                <w:b/>
                <w:sz w:val="18"/>
                <w:szCs w:val="18"/>
              </w:rPr>
              <w:t>F</w:t>
            </w:r>
            <w:r w:rsidRPr="00D50FB9">
              <w:rPr>
                <w:b/>
                <w:sz w:val="18"/>
                <w:szCs w:val="18"/>
              </w:rPr>
              <w:t>or a smaller group (around 30%)</w:t>
            </w:r>
            <w:r>
              <w:rPr>
                <w:b/>
                <w:sz w:val="18"/>
                <w:szCs w:val="18"/>
              </w:rPr>
              <w:t>, income from other sources is significant and for this group the proportion of total household income coming from these other sources is increasing …</w:t>
            </w:r>
          </w:p>
        </w:tc>
        <w:tc>
          <w:tcPr>
            <w:tcW w:w="983" w:type="dxa"/>
            <w:tcBorders>
              <w:top w:val="single" w:sz="4" w:space="0" w:color="auto"/>
              <w:bottom w:val="nil"/>
            </w:tcBorders>
            <w:vAlign w:val="center"/>
          </w:tcPr>
          <w:p w:rsidR="00C96A4B" w:rsidRPr="00833E2C" w:rsidRDefault="00C96A4B" w:rsidP="00614C04">
            <w:pPr>
              <w:spacing w:before="120" w:after="60"/>
              <w:jc w:val="center"/>
              <w:rPr>
                <w:sz w:val="18"/>
                <w:szCs w:val="18"/>
              </w:rPr>
            </w:pPr>
          </w:p>
        </w:tc>
      </w:tr>
      <w:tr w:rsidR="00C96A4B">
        <w:trPr>
          <w:jc w:val="center"/>
        </w:trPr>
        <w:tc>
          <w:tcPr>
            <w:tcW w:w="3996" w:type="dxa"/>
            <w:tcBorders>
              <w:top w:val="nil"/>
              <w:bottom w:val="nil"/>
            </w:tcBorders>
          </w:tcPr>
          <w:p w:rsidR="00C96A4B" w:rsidRDefault="00C96A4B" w:rsidP="00614C04">
            <w:pPr>
              <w:numPr>
                <w:ilvl w:val="0"/>
                <w:numId w:val="60"/>
              </w:numPr>
              <w:tabs>
                <w:tab w:val="clear" w:pos="742"/>
                <w:tab w:val="num" w:pos="360"/>
              </w:tabs>
              <w:spacing w:before="60" w:after="60"/>
              <w:ind w:left="360" w:hanging="187"/>
              <w:jc w:val="both"/>
              <w:rPr>
                <w:sz w:val="18"/>
                <w:szCs w:val="18"/>
              </w:rPr>
            </w:pPr>
            <w:r>
              <w:rPr>
                <w:sz w:val="18"/>
                <w:szCs w:val="18"/>
              </w:rPr>
              <w:t>other income made up more than half of total income for 35% of all older NZers (20% of singles and 40% of couples)</w:t>
            </w:r>
          </w:p>
        </w:tc>
        <w:tc>
          <w:tcPr>
            <w:tcW w:w="3726" w:type="dxa"/>
            <w:tcBorders>
              <w:top w:val="nil"/>
              <w:bottom w:val="nil"/>
              <w:right w:val="single" w:sz="4" w:space="0" w:color="auto"/>
            </w:tcBorders>
          </w:tcPr>
          <w:p w:rsidR="00C96A4B" w:rsidRDefault="00C96A4B" w:rsidP="00614C04">
            <w:pPr>
              <w:numPr>
                <w:ilvl w:val="0"/>
                <w:numId w:val="62"/>
              </w:numPr>
              <w:tabs>
                <w:tab w:val="clear" w:pos="720"/>
              </w:tabs>
              <w:spacing w:before="60" w:after="60"/>
              <w:ind w:left="216" w:hanging="187"/>
              <w:rPr>
                <w:sz w:val="18"/>
                <w:szCs w:val="18"/>
              </w:rPr>
            </w:pPr>
            <w:r>
              <w:rPr>
                <w:sz w:val="18"/>
                <w:szCs w:val="18"/>
              </w:rPr>
              <w:t>the size of this group has almost doubled since 1998</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I.9</w:t>
            </w:r>
          </w:p>
        </w:tc>
      </w:tr>
      <w:tr w:rsidR="00C96A4B">
        <w:trPr>
          <w:jc w:val="center"/>
        </w:trPr>
        <w:tc>
          <w:tcPr>
            <w:tcW w:w="3996" w:type="dxa"/>
            <w:tcBorders>
              <w:top w:val="nil"/>
              <w:bottom w:val="nil"/>
            </w:tcBorders>
          </w:tcPr>
          <w:p w:rsidR="00C96A4B" w:rsidRDefault="00C96A4B" w:rsidP="00614C04">
            <w:pPr>
              <w:pStyle w:val="Heading1"/>
              <w:numPr>
                <w:ilvl w:val="0"/>
                <w:numId w:val="60"/>
              </w:numPr>
              <w:tabs>
                <w:tab w:val="clear" w:pos="742"/>
                <w:tab w:val="num" w:pos="360"/>
              </w:tabs>
              <w:spacing w:before="60" w:after="60"/>
              <w:ind w:left="360" w:hanging="187"/>
              <w:jc w:val="both"/>
              <w:rPr>
                <w:b w:val="0"/>
                <w:sz w:val="18"/>
                <w:szCs w:val="18"/>
              </w:rPr>
            </w:pPr>
            <w:r>
              <w:rPr>
                <w:b w:val="0"/>
                <w:sz w:val="18"/>
                <w:szCs w:val="18"/>
              </w:rPr>
              <w:t>for deciles 8 and 9 together, 38% of their income was from NZS</w:t>
            </w:r>
          </w:p>
        </w:tc>
        <w:tc>
          <w:tcPr>
            <w:tcW w:w="3726" w:type="dxa"/>
            <w:tcBorders>
              <w:top w:val="nil"/>
              <w:bottom w:val="nil"/>
              <w:right w:val="single" w:sz="4" w:space="0" w:color="auto"/>
            </w:tcBorders>
          </w:tcPr>
          <w:p w:rsidR="00C96A4B" w:rsidRDefault="00C96A4B" w:rsidP="00614C04">
            <w:pPr>
              <w:numPr>
                <w:ilvl w:val="0"/>
                <w:numId w:val="60"/>
              </w:numPr>
              <w:tabs>
                <w:tab w:val="clear" w:pos="742"/>
              </w:tabs>
              <w:spacing w:before="60" w:after="60"/>
              <w:ind w:left="216" w:hanging="187"/>
              <w:rPr>
                <w:sz w:val="18"/>
                <w:szCs w:val="18"/>
              </w:rPr>
            </w:pPr>
            <w:r>
              <w:rPr>
                <w:sz w:val="18"/>
                <w:szCs w:val="18"/>
              </w:rPr>
              <w:t xml:space="preserve">this is down from 56% in 1998 and </w:t>
            </w:r>
            <w:r w:rsidRPr="00E62CD4">
              <w:rPr>
                <w:sz w:val="18"/>
                <w:szCs w:val="18"/>
              </w:rPr>
              <w:t>55%</w:t>
            </w:r>
            <w:r>
              <w:rPr>
                <w:sz w:val="18"/>
                <w:szCs w:val="18"/>
              </w:rPr>
              <w:t xml:space="preserve"> in 1989</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I.6</w:t>
            </w:r>
          </w:p>
        </w:tc>
      </w:tr>
      <w:tr w:rsidR="00C96A4B">
        <w:trPr>
          <w:jc w:val="center"/>
        </w:trPr>
        <w:tc>
          <w:tcPr>
            <w:tcW w:w="3996" w:type="dxa"/>
            <w:tcBorders>
              <w:top w:val="nil"/>
              <w:bottom w:val="nil"/>
            </w:tcBorders>
          </w:tcPr>
          <w:p w:rsidR="00C96A4B" w:rsidRPr="00833E2C" w:rsidRDefault="00C96A4B" w:rsidP="00614C04">
            <w:pPr>
              <w:pStyle w:val="Heading1"/>
              <w:numPr>
                <w:ilvl w:val="0"/>
                <w:numId w:val="60"/>
              </w:numPr>
              <w:tabs>
                <w:tab w:val="clear" w:pos="742"/>
                <w:tab w:val="num" w:pos="360"/>
              </w:tabs>
              <w:spacing w:before="60" w:after="60"/>
              <w:ind w:left="360" w:hanging="187"/>
              <w:jc w:val="both"/>
              <w:rPr>
                <w:b w:val="0"/>
                <w:sz w:val="18"/>
                <w:szCs w:val="18"/>
              </w:rPr>
            </w:pPr>
            <w:r>
              <w:rPr>
                <w:b w:val="0"/>
                <w:sz w:val="18"/>
                <w:szCs w:val="18"/>
              </w:rPr>
              <w:t>for ‘younger’ couples (aged 66-75) in deciles 5-6 of this group’s income distribution, 50% of their income came from non-government sources</w:t>
            </w:r>
          </w:p>
        </w:tc>
        <w:tc>
          <w:tcPr>
            <w:tcW w:w="3726" w:type="dxa"/>
            <w:tcBorders>
              <w:top w:val="nil"/>
              <w:bottom w:val="nil"/>
              <w:right w:val="single" w:sz="4" w:space="0" w:color="auto"/>
            </w:tcBorders>
          </w:tcPr>
          <w:p w:rsidR="00C96A4B" w:rsidRPr="00833E2C" w:rsidRDefault="00C96A4B" w:rsidP="00614C04">
            <w:pPr>
              <w:numPr>
                <w:ilvl w:val="0"/>
                <w:numId w:val="62"/>
              </w:numPr>
              <w:tabs>
                <w:tab w:val="clear" w:pos="720"/>
              </w:tabs>
              <w:spacing w:before="60" w:after="60"/>
              <w:ind w:left="216" w:hanging="187"/>
              <w:rPr>
                <w:sz w:val="18"/>
                <w:szCs w:val="18"/>
              </w:rPr>
            </w:pPr>
            <w:r>
              <w:rPr>
                <w:sz w:val="18"/>
                <w:szCs w:val="18"/>
              </w:rPr>
              <w:t>this is up from 20% in 1998 and earlier, and is driven by both increasing employment and private income for this group</w:t>
            </w:r>
          </w:p>
        </w:tc>
        <w:tc>
          <w:tcPr>
            <w:tcW w:w="983" w:type="dxa"/>
            <w:tcBorders>
              <w:top w:val="nil"/>
              <w:left w:val="single" w:sz="4" w:space="0" w:color="auto"/>
              <w:bottom w:val="nil"/>
            </w:tcBorders>
            <w:shd w:val="clear" w:color="auto" w:fill="auto"/>
          </w:tcPr>
          <w:p w:rsidR="00C96A4B" w:rsidRPr="00833E2C" w:rsidRDefault="00C96A4B" w:rsidP="00614C04">
            <w:pPr>
              <w:spacing w:before="60" w:after="60"/>
              <w:jc w:val="center"/>
              <w:rPr>
                <w:sz w:val="18"/>
                <w:szCs w:val="18"/>
              </w:rPr>
            </w:pPr>
            <w:r>
              <w:rPr>
                <w:sz w:val="18"/>
                <w:szCs w:val="18"/>
              </w:rPr>
              <w:t>Fig I.10</w:t>
            </w:r>
          </w:p>
        </w:tc>
      </w:tr>
      <w:tr w:rsidR="00C96A4B">
        <w:trPr>
          <w:jc w:val="center"/>
        </w:trPr>
        <w:tc>
          <w:tcPr>
            <w:tcW w:w="3996" w:type="dxa"/>
            <w:tcBorders>
              <w:top w:val="nil"/>
              <w:bottom w:val="single" w:sz="4" w:space="0" w:color="auto"/>
            </w:tcBorders>
          </w:tcPr>
          <w:p w:rsidR="00C96A4B" w:rsidRPr="00833E2C" w:rsidRDefault="00C96A4B" w:rsidP="00614C04">
            <w:pPr>
              <w:pStyle w:val="Heading1"/>
              <w:numPr>
                <w:ilvl w:val="0"/>
                <w:numId w:val="60"/>
              </w:numPr>
              <w:tabs>
                <w:tab w:val="clear" w:pos="742"/>
                <w:tab w:val="num" w:pos="360"/>
              </w:tabs>
              <w:spacing w:before="60" w:after="60"/>
              <w:ind w:left="360" w:hanging="187"/>
              <w:jc w:val="both"/>
              <w:rPr>
                <w:b w:val="0"/>
                <w:sz w:val="18"/>
                <w:szCs w:val="18"/>
              </w:rPr>
            </w:pPr>
            <w:r w:rsidRPr="00833E2C">
              <w:rPr>
                <w:b w:val="0"/>
                <w:sz w:val="18"/>
                <w:szCs w:val="18"/>
              </w:rPr>
              <w:t xml:space="preserve">for </w:t>
            </w:r>
            <w:r>
              <w:rPr>
                <w:b w:val="0"/>
                <w:sz w:val="18"/>
                <w:szCs w:val="18"/>
              </w:rPr>
              <w:t>those in the</w:t>
            </w:r>
            <w:r w:rsidRPr="00833E2C">
              <w:rPr>
                <w:b w:val="0"/>
                <w:sz w:val="18"/>
                <w:szCs w:val="18"/>
              </w:rPr>
              <w:t xml:space="preserve"> top decile (mainly couples) only </w:t>
            </w:r>
            <w:r>
              <w:rPr>
                <w:b w:val="0"/>
                <w:sz w:val="18"/>
                <w:szCs w:val="18"/>
              </w:rPr>
              <w:t>17</w:t>
            </w:r>
            <w:r w:rsidRPr="00833E2C">
              <w:rPr>
                <w:b w:val="0"/>
                <w:sz w:val="18"/>
                <w:szCs w:val="18"/>
              </w:rPr>
              <w:t xml:space="preserve">% of their income was from </w:t>
            </w:r>
            <w:r>
              <w:rPr>
                <w:b w:val="0"/>
                <w:sz w:val="18"/>
                <w:szCs w:val="18"/>
              </w:rPr>
              <w:t>NZS</w:t>
            </w:r>
          </w:p>
        </w:tc>
        <w:tc>
          <w:tcPr>
            <w:tcW w:w="3726" w:type="dxa"/>
            <w:tcBorders>
              <w:top w:val="nil"/>
              <w:bottom w:val="single" w:sz="4" w:space="0" w:color="auto"/>
              <w:right w:val="single" w:sz="4" w:space="0" w:color="auto"/>
            </w:tcBorders>
          </w:tcPr>
          <w:p w:rsidR="00C96A4B" w:rsidRPr="00833E2C" w:rsidRDefault="00C96A4B" w:rsidP="00614C04">
            <w:pPr>
              <w:numPr>
                <w:ilvl w:val="0"/>
                <w:numId w:val="62"/>
              </w:numPr>
              <w:tabs>
                <w:tab w:val="clear" w:pos="720"/>
              </w:tabs>
              <w:spacing w:before="60" w:after="60"/>
              <w:ind w:left="216" w:hanging="187"/>
              <w:rPr>
                <w:sz w:val="18"/>
                <w:szCs w:val="18"/>
              </w:rPr>
            </w:pPr>
            <w:r>
              <w:rPr>
                <w:sz w:val="18"/>
                <w:szCs w:val="18"/>
              </w:rPr>
              <w:t>this is down from 29% in 1989 and 23% in 1998</w:t>
            </w:r>
          </w:p>
        </w:tc>
        <w:tc>
          <w:tcPr>
            <w:tcW w:w="983" w:type="dxa"/>
            <w:tcBorders>
              <w:top w:val="nil"/>
              <w:left w:val="single" w:sz="4" w:space="0" w:color="auto"/>
              <w:bottom w:val="single" w:sz="4" w:space="0" w:color="auto"/>
            </w:tcBorders>
            <w:shd w:val="clear" w:color="auto" w:fill="auto"/>
          </w:tcPr>
          <w:p w:rsidR="00C96A4B" w:rsidRPr="00833E2C" w:rsidRDefault="00C96A4B" w:rsidP="00614C04">
            <w:pPr>
              <w:spacing w:before="60" w:after="60"/>
              <w:jc w:val="center"/>
              <w:rPr>
                <w:sz w:val="18"/>
                <w:szCs w:val="18"/>
              </w:rPr>
            </w:pPr>
            <w:r>
              <w:rPr>
                <w:sz w:val="18"/>
                <w:szCs w:val="18"/>
              </w:rPr>
              <w:t>Fig I.6</w:t>
            </w:r>
          </w:p>
        </w:tc>
      </w:tr>
      <w:tr w:rsidR="00C96A4B">
        <w:trPr>
          <w:jc w:val="center"/>
        </w:trPr>
        <w:tc>
          <w:tcPr>
            <w:tcW w:w="3996" w:type="dxa"/>
            <w:tcBorders>
              <w:top w:val="single" w:sz="4" w:space="0" w:color="auto"/>
              <w:bottom w:val="nil"/>
              <w:right w:val="single" w:sz="4" w:space="0" w:color="auto"/>
            </w:tcBorders>
            <w:vAlign w:val="center"/>
          </w:tcPr>
          <w:p w:rsidR="00C96A4B" w:rsidRPr="00D50FB9" w:rsidRDefault="00C96A4B" w:rsidP="00614C04">
            <w:pPr>
              <w:spacing w:before="80"/>
              <w:rPr>
                <w:b/>
                <w:sz w:val="18"/>
                <w:szCs w:val="18"/>
              </w:rPr>
            </w:pPr>
            <w:r>
              <w:rPr>
                <w:b/>
                <w:sz w:val="18"/>
                <w:szCs w:val="18"/>
              </w:rPr>
              <w:t>O</w:t>
            </w:r>
            <w:r w:rsidRPr="00D50FB9">
              <w:rPr>
                <w:b/>
                <w:sz w:val="18"/>
                <w:szCs w:val="18"/>
              </w:rPr>
              <w:t>verall …</w:t>
            </w:r>
          </w:p>
        </w:tc>
        <w:tc>
          <w:tcPr>
            <w:tcW w:w="3726" w:type="dxa"/>
            <w:tcBorders>
              <w:top w:val="single" w:sz="4" w:space="0" w:color="auto"/>
              <w:left w:val="single" w:sz="4" w:space="0" w:color="auto"/>
              <w:bottom w:val="nil"/>
              <w:right w:val="single" w:sz="4" w:space="0" w:color="auto"/>
            </w:tcBorders>
            <w:vAlign w:val="center"/>
          </w:tcPr>
          <w:p w:rsidR="00C96A4B" w:rsidRPr="00833E2C" w:rsidRDefault="00C96A4B" w:rsidP="00614C04">
            <w:pPr>
              <w:spacing w:before="120" w:after="60"/>
              <w:ind w:left="180"/>
              <w:rPr>
                <w:sz w:val="18"/>
                <w:szCs w:val="18"/>
              </w:rPr>
            </w:pPr>
          </w:p>
        </w:tc>
        <w:tc>
          <w:tcPr>
            <w:tcW w:w="983" w:type="dxa"/>
            <w:tcBorders>
              <w:top w:val="single" w:sz="4" w:space="0" w:color="auto"/>
              <w:left w:val="single" w:sz="4" w:space="0" w:color="auto"/>
              <w:bottom w:val="nil"/>
            </w:tcBorders>
            <w:vAlign w:val="center"/>
          </w:tcPr>
          <w:p w:rsidR="00C96A4B" w:rsidRPr="00833E2C" w:rsidRDefault="00C96A4B" w:rsidP="00614C04">
            <w:pPr>
              <w:spacing w:before="120" w:after="60"/>
              <w:jc w:val="center"/>
              <w:rPr>
                <w:sz w:val="18"/>
                <w:szCs w:val="18"/>
              </w:rPr>
            </w:pPr>
          </w:p>
        </w:tc>
      </w:tr>
      <w:tr w:rsidR="00C96A4B">
        <w:trPr>
          <w:jc w:val="center"/>
        </w:trPr>
        <w:tc>
          <w:tcPr>
            <w:tcW w:w="3996" w:type="dxa"/>
            <w:tcBorders>
              <w:top w:val="nil"/>
              <w:bottom w:val="single" w:sz="4" w:space="0" w:color="auto"/>
            </w:tcBorders>
          </w:tcPr>
          <w:p w:rsidR="00C96A4B" w:rsidRDefault="00C96A4B" w:rsidP="00614C04">
            <w:pPr>
              <w:pStyle w:val="Heading1"/>
              <w:numPr>
                <w:ilvl w:val="0"/>
                <w:numId w:val="60"/>
              </w:numPr>
              <w:tabs>
                <w:tab w:val="clear" w:pos="742"/>
                <w:tab w:val="num" w:pos="360"/>
              </w:tabs>
              <w:spacing w:before="40" w:after="60"/>
              <w:ind w:left="374" w:hanging="187"/>
              <w:jc w:val="both"/>
              <w:rPr>
                <w:b w:val="0"/>
                <w:sz w:val="18"/>
                <w:szCs w:val="18"/>
              </w:rPr>
            </w:pPr>
            <w:r>
              <w:rPr>
                <w:b w:val="0"/>
                <w:sz w:val="18"/>
                <w:szCs w:val="18"/>
              </w:rPr>
              <w:t>govt transfers made up around half the reported income (48%) for older NZers as a group, but as the above findings indicate, this aggregate figure masks large differences across the deciles and between single person and couple EFUs</w:t>
            </w:r>
          </w:p>
        </w:tc>
        <w:tc>
          <w:tcPr>
            <w:tcW w:w="3726" w:type="dxa"/>
            <w:tcBorders>
              <w:top w:val="nil"/>
              <w:bottom w:val="single" w:sz="4" w:space="0" w:color="auto"/>
            </w:tcBorders>
          </w:tcPr>
          <w:p w:rsidR="00C96A4B" w:rsidRDefault="00C96A4B" w:rsidP="00614C04">
            <w:pPr>
              <w:numPr>
                <w:ilvl w:val="0"/>
                <w:numId w:val="60"/>
              </w:numPr>
              <w:tabs>
                <w:tab w:val="clear" w:pos="742"/>
              </w:tabs>
              <w:spacing w:before="60" w:after="60"/>
              <w:ind w:left="216" w:hanging="180"/>
              <w:rPr>
                <w:sz w:val="18"/>
                <w:szCs w:val="18"/>
              </w:rPr>
            </w:pPr>
            <w:r>
              <w:rPr>
                <w:sz w:val="18"/>
                <w:szCs w:val="18"/>
              </w:rPr>
              <w:t>this (48%) is down from 67% in 1989 and 64% in 1998</w:t>
            </w:r>
          </w:p>
        </w:tc>
        <w:tc>
          <w:tcPr>
            <w:tcW w:w="983" w:type="dxa"/>
            <w:tcBorders>
              <w:top w:val="nil"/>
              <w:bottom w:val="single" w:sz="4" w:space="0" w:color="auto"/>
            </w:tcBorders>
          </w:tcPr>
          <w:p w:rsidR="00C96A4B" w:rsidRPr="00833E2C" w:rsidRDefault="00C96A4B" w:rsidP="00614C04">
            <w:pPr>
              <w:spacing w:before="60" w:after="60"/>
              <w:jc w:val="center"/>
              <w:rPr>
                <w:sz w:val="18"/>
                <w:szCs w:val="18"/>
              </w:rPr>
            </w:pPr>
            <w:r>
              <w:rPr>
                <w:sz w:val="18"/>
                <w:szCs w:val="18"/>
              </w:rPr>
              <w:t>Fig I.6</w:t>
            </w:r>
          </w:p>
        </w:tc>
      </w:tr>
    </w:tbl>
    <w:p w:rsidR="00C96A4B" w:rsidRDefault="00C96A4B" w:rsidP="00C96A4B">
      <w:pPr>
        <w:rPr>
          <w:sz w:val="16"/>
          <w:szCs w:val="16"/>
        </w:rPr>
      </w:pPr>
    </w:p>
    <w:p w:rsidR="00C96A4B" w:rsidRPr="00E020C2" w:rsidRDefault="00C96A4B" w:rsidP="00C96A4B">
      <w:pPr>
        <w:jc w:val="center"/>
        <w:rPr>
          <w:b/>
          <w:sz w:val="18"/>
        </w:rPr>
      </w:pPr>
      <w:r w:rsidRPr="00892164">
        <w:rPr>
          <w:sz w:val="16"/>
          <w:szCs w:val="16"/>
        </w:rPr>
        <w:br w:type="page"/>
      </w:r>
      <w:r w:rsidRPr="00E020C2">
        <w:rPr>
          <w:b/>
          <w:sz w:val="18"/>
        </w:rPr>
        <w:lastRenderedPageBreak/>
        <w:t>Figure I.</w:t>
      </w:r>
      <w:r>
        <w:rPr>
          <w:b/>
          <w:sz w:val="18"/>
        </w:rPr>
        <w:t>6</w:t>
      </w:r>
    </w:p>
    <w:p w:rsidR="00C96A4B" w:rsidRDefault="00C96A4B" w:rsidP="00C96A4B">
      <w:pPr>
        <w:ind w:left="360" w:hanging="274"/>
        <w:jc w:val="center"/>
        <w:rPr>
          <w:b/>
          <w:sz w:val="18"/>
        </w:rPr>
      </w:pPr>
      <w:r w:rsidRPr="00E020C2">
        <w:rPr>
          <w:b/>
          <w:sz w:val="18"/>
        </w:rPr>
        <w:t xml:space="preserve">Proportion of </w:t>
      </w:r>
      <w:r>
        <w:rPr>
          <w:b/>
          <w:sz w:val="18"/>
        </w:rPr>
        <w:t xml:space="preserve">gross </w:t>
      </w:r>
      <w:r w:rsidRPr="00E020C2">
        <w:rPr>
          <w:b/>
          <w:sz w:val="18"/>
        </w:rPr>
        <w:t xml:space="preserve">income </w:t>
      </w:r>
      <w:r>
        <w:rPr>
          <w:b/>
          <w:sz w:val="18"/>
        </w:rPr>
        <w:t>of</w:t>
      </w:r>
      <w:r w:rsidRPr="00E020C2">
        <w:rPr>
          <w:b/>
          <w:sz w:val="18"/>
        </w:rPr>
        <w:t xml:space="preserve"> older New Zealanders (66+)</w:t>
      </w:r>
      <w:r>
        <w:rPr>
          <w:b/>
          <w:sz w:val="18"/>
        </w:rPr>
        <w:t xml:space="preserve"> </w:t>
      </w:r>
    </w:p>
    <w:p w:rsidR="00C96A4B" w:rsidRPr="00E020C2" w:rsidRDefault="00C96A4B" w:rsidP="00C96A4B">
      <w:pPr>
        <w:ind w:left="360" w:hanging="274"/>
        <w:jc w:val="center"/>
        <w:rPr>
          <w:b/>
          <w:sz w:val="18"/>
        </w:rPr>
      </w:pPr>
      <w:r>
        <w:rPr>
          <w:b/>
          <w:sz w:val="18"/>
        </w:rPr>
        <w:t>coming from government transfers (almost entirely NZS and VP)</w:t>
      </w:r>
    </w:p>
    <w:p w:rsidR="00C96A4B" w:rsidRPr="0086586A" w:rsidRDefault="00EC0BE0" w:rsidP="00C96A4B">
      <w:pPr>
        <w:ind w:left="360" w:hanging="274"/>
        <w:jc w:val="center"/>
      </w:pPr>
      <w:r>
        <w:rPr>
          <w:noProof/>
          <w:lang w:val="en-US"/>
        </w:rPr>
        <w:drawing>
          <wp:inline distT="0" distB="0" distL="0" distR="0">
            <wp:extent cx="3943350" cy="24479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srcRect/>
                    <a:stretch>
                      <a:fillRect/>
                    </a:stretch>
                  </pic:blipFill>
                  <pic:spPr bwMode="auto">
                    <a:xfrm>
                      <a:off x="0" y="0"/>
                      <a:ext cx="3943350" cy="2447925"/>
                    </a:xfrm>
                    <a:prstGeom prst="rect">
                      <a:avLst/>
                    </a:prstGeom>
                    <a:noFill/>
                    <a:ln w="9525">
                      <a:noFill/>
                      <a:miter lim="800000"/>
                      <a:headEnd/>
                      <a:tailEnd/>
                    </a:ln>
                  </pic:spPr>
                </pic:pic>
              </a:graphicData>
            </a:graphic>
          </wp:inline>
        </w:drawing>
      </w:r>
    </w:p>
    <w:p w:rsidR="00C96A4B" w:rsidRDefault="00C96A4B" w:rsidP="00C96A4B">
      <w:pPr>
        <w:ind w:left="360" w:hanging="274"/>
        <w:jc w:val="center"/>
        <w:rPr>
          <w:b/>
          <w:sz w:val="18"/>
        </w:rPr>
      </w:pPr>
    </w:p>
    <w:p w:rsidR="00C96A4B" w:rsidRDefault="00C96A4B" w:rsidP="00C96A4B">
      <w:pPr>
        <w:ind w:left="360" w:hanging="274"/>
        <w:jc w:val="center"/>
        <w:rPr>
          <w:b/>
          <w:sz w:val="18"/>
        </w:rPr>
      </w:pPr>
    </w:p>
    <w:p w:rsidR="00C96A4B" w:rsidRDefault="00C96A4B" w:rsidP="00C96A4B">
      <w:pPr>
        <w:ind w:left="360" w:hanging="274"/>
        <w:jc w:val="center"/>
        <w:rPr>
          <w:b/>
          <w:sz w:val="18"/>
        </w:rPr>
      </w:pPr>
      <w:r w:rsidRPr="00E020C2">
        <w:rPr>
          <w:b/>
          <w:sz w:val="18"/>
        </w:rPr>
        <w:t>Figure I.</w:t>
      </w:r>
      <w:r>
        <w:rPr>
          <w:b/>
          <w:sz w:val="18"/>
        </w:rPr>
        <w:t>7</w:t>
      </w:r>
    </w:p>
    <w:p w:rsidR="00C96A4B" w:rsidRDefault="00C96A4B" w:rsidP="00C96A4B">
      <w:pPr>
        <w:ind w:left="360" w:hanging="274"/>
        <w:jc w:val="center"/>
        <w:rPr>
          <w:b/>
          <w:sz w:val="18"/>
        </w:rPr>
      </w:pPr>
      <w:r>
        <w:rPr>
          <w:b/>
          <w:sz w:val="18"/>
        </w:rPr>
        <w:t>Income sources for deciles 1-4, all 66+ EFUs</w:t>
      </w:r>
    </w:p>
    <w:p w:rsidR="00C96A4B" w:rsidRPr="006605D6" w:rsidRDefault="00EC0BE0" w:rsidP="00C96A4B">
      <w:pPr>
        <w:ind w:left="360" w:hanging="274"/>
        <w:jc w:val="center"/>
      </w:pPr>
      <w:r>
        <w:rPr>
          <w:noProof/>
          <w:lang w:val="en-US"/>
        </w:rPr>
        <w:drawing>
          <wp:inline distT="0" distB="0" distL="0" distR="0">
            <wp:extent cx="3771900" cy="2333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a:srcRect/>
                    <a:stretch>
                      <a:fillRect/>
                    </a:stretch>
                  </pic:blipFill>
                  <pic:spPr bwMode="auto">
                    <a:xfrm>
                      <a:off x="0" y="0"/>
                      <a:ext cx="3771900" cy="2333625"/>
                    </a:xfrm>
                    <a:prstGeom prst="rect">
                      <a:avLst/>
                    </a:prstGeom>
                    <a:noFill/>
                    <a:ln w="9525">
                      <a:noFill/>
                      <a:miter lim="800000"/>
                      <a:headEnd/>
                      <a:tailEnd/>
                    </a:ln>
                  </pic:spPr>
                </pic:pic>
              </a:graphicData>
            </a:graphic>
          </wp:inline>
        </w:drawing>
      </w:r>
    </w:p>
    <w:p w:rsidR="00C96A4B" w:rsidRDefault="00C96A4B" w:rsidP="00C96A4B">
      <w:pPr>
        <w:ind w:left="360" w:hanging="274"/>
        <w:jc w:val="center"/>
        <w:rPr>
          <w:b/>
          <w:sz w:val="18"/>
        </w:rPr>
      </w:pPr>
    </w:p>
    <w:p w:rsidR="00C96A4B" w:rsidRDefault="00C96A4B" w:rsidP="00C96A4B">
      <w:pPr>
        <w:ind w:left="360" w:hanging="274"/>
        <w:jc w:val="center"/>
        <w:rPr>
          <w:b/>
          <w:sz w:val="18"/>
        </w:rPr>
      </w:pPr>
    </w:p>
    <w:p w:rsidR="00C96A4B" w:rsidRDefault="00C96A4B" w:rsidP="00C96A4B">
      <w:pPr>
        <w:ind w:left="360" w:hanging="274"/>
        <w:jc w:val="center"/>
        <w:rPr>
          <w:b/>
          <w:sz w:val="18"/>
        </w:rPr>
      </w:pPr>
      <w:r w:rsidRPr="00E020C2">
        <w:rPr>
          <w:b/>
          <w:sz w:val="18"/>
        </w:rPr>
        <w:t>Figure I.</w:t>
      </w:r>
      <w:r>
        <w:rPr>
          <w:b/>
          <w:sz w:val="18"/>
        </w:rPr>
        <w:t>8</w:t>
      </w:r>
    </w:p>
    <w:p w:rsidR="00C96A4B" w:rsidRPr="00E020C2" w:rsidRDefault="00C96A4B" w:rsidP="00C96A4B">
      <w:pPr>
        <w:ind w:left="360" w:hanging="274"/>
        <w:jc w:val="center"/>
        <w:rPr>
          <w:b/>
          <w:sz w:val="18"/>
        </w:rPr>
      </w:pPr>
      <w:r>
        <w:rPr>
          <w:b/>
          <w:sz w:val="18"/>
        </w:rPr>
        <w:t>Income sources for deciles 5-6, all</w:t>
      </w:r>
      <w:r w:rsidRPr="00E020C2">
        <w:rPr>
          <w:b/>
          <w:sz w:val="18"/>
        </w:rPr>
        <w:t xml:space="preserve"> </w:t>
      </w:r>
      <w:r>
        <w:rPr>
          <w:b/>
          <w:sz w:val="18"/>
        </w:rPr>
        <w:t>66+ EFUs</w:t>
      </w:r>
    </w:p>
    <w:p w:rsidR="00C96A4B" w:rsidRPr="006605D6" w:rsidRDefault="00EC0BE0" w:rsidP="00C96A4B">
      <w:pPr>
        <w:ind w:left="360" w:hanging="274"/>
        <w:jc w:val="center"/>
      </w:pPr>
      <w:r>
        <w:rPr>
          <w:noProof/>
          <w:lang w:val="en-US"/>
        </w:rPr>
        <w:drawing>
          <wp:inline distT="0" distB="0" distL="0" distR="0">
            <wp:extent cx="3571875" cy="2219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srcRect/>
                    <a:stretch>
                      <a:fillRect/>
                    </a:stretch>
                  </pic:blipFill>
                  <pic:spPr bwMode="auto">
                    <a:xfrm>
                      <a:off x="0" y="0"/>
                      <a:ext cx="3571875" cy="2219325"/>
                    </a:xfrm>
                    <a:prstGeom prst="rect">
                      <a:avLst/>
                    </a:prstGeom>
                    <a:noFill/>
                    <a:ln w="9525">
                      <a:noFill/>
                      <a:miter lim="800000"/>
                      <a:headEnd/>
                      <a:tailEnd/>
                    </a:ln>
                  </pic:spPr>
                </pic:pic>
              </a:graphicData>
            </a:graphic>
          </wp:inline>
        </w:drawing>
      </w:r>
    </w:p>
    <w:p w:rsidR="00C96A4B" w:rsidRPr="00E020C2" w:rsidRDefault="00C96A4B" w:rsidP="00C96A4B">
      <w:pPr>
        <w:ind w:left="360" w:hanging="274"/>
        <w:jc w:val="center"/>
        <w:rPr>
          <w:b/>
          <w:sz w:val="18"/>
        </w:rPr>
      </w:pPr>
      <w:r>
        <w:rPr>
          <w:b/>
          <w:sz w:val="18"/>
        </w:rPr>
        <w:br w:type="page"/>
      </w:r>
      <w:r w:rsidRPr="00E020C2">
        <w:rPr>
          <w:b/>
          <w:sz w:val="18"/>
        </w:rPr>
        <w:lastRenderedPageBreak/>
        <w:t>Figure I.</w:t>
      </w:r>
      <w:r>
        <w:rPr>
          <w:b/>
          <w:sz w:val="18"/>
        </w:rPr>
        <w:t>9</w:t>
      </w:r>
    </w:p>
    <w:p w:rsidR="00C96A4B" w:rsidRDefault="00C96A4B" w:rsidP="00C96A4B">
      <w:pPr>
        <w:ind w:left="360" w:hanging="274"/>
        <w:jc w:val="center"/>
        <w:rPr>
          <w:b/>
          <w:sz w:val="18"/>
        </w:rPr>
      </w:pPr>
      <w:r>
        <w:rPr>
          <w:b/>
          <w:sz w:val="18"/>
        </w:rPr>
        <w:t>Proportion of gross income coming from government transfers (almost entirely NZS and VP):</w:t>
      </w:r>
    </w:p>
    <w:p w:rsidR="00C96A4B" w:rsidRDefault="00C96A4B" w:rsidP="00C96A4B">
      <w:pPr>
        <w:ind w:left="360" w:hanging="274"/>
        <w:jc w:val="center"/>
        <w:rPr>
          <w:b/>
          <w:sz w:val="18"/>
        </w:rPr>
      </w:pPr>
      <w:r>
        <w:rPr>
          <w:b/>
          <w:sz w:val="18"/>
        </w:rPr>
        <w:t>one person and couple EFUs compared, HES 2010</w:t>
      </w:r>
    </w:p>
    <w:p w:rsidR="00C96A4B" w:rsidRPr="00561026" w:rsidRDefault="00EC0BE0" w:rsidP="00C96A4B">
      <w:pPr>
        <w:ind w:left="360" w:hanging="274"/>
        <w:jc w:val="center"/>
      </w:pPr>
      <w:r>
        <w:rPr>
          <w:noProof/>
          <w:lang w:val="en-US"/>
        </w:rPr>
        <w:drawing>
          <wp:inline distT="0" distB="0" distL="0" distR="0">
            <wp:extent cx="4010025" cy="24860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4010025" cy="2486025"/>
                    </a:xfrm>
                    <a:prstGeom prst="rect">
                      <a:avLst/>
                    </a:prstGeom>
                    <a:noFill/>
                    <a:ln w="9525">
                      <a:noFill/>
                      <a:miter lim="800000"/>
                      <a:headEnd/>
                      <a:tailEnd/>
                    </a:ln>
                  </pic:spPr>
                </pic:pic>
              </a:graphicData>
            </a:graphic>
          </wp:inline>
        </w:drawing>
      </w:r>
    </w:p>
    <w:p w:rsidR="00C96A4B" w:rsidRDefault="00C96A4B" w:rsidP="00C96A4B">
      <w:pPr>
        <w:ind w:left="360" w:hanging="274"/>
        <w:rPr>
          <w:sz w:val="18"/>
        </w:rPr>
      </w:pPr>
    </w:p>
    <w:p w:rsidR="00C96A4B" w:rsidRDefault="00C96A4B" w:rsidP="00C96A4B">
      <w:pPr>
        <w:rPr>
          <w:sz w:val="18"/>
        </w:rPr>
      </w:pPr>
    </w:p>
    <w:p w:rsidR="00C96A4B" w:rsidRDefault="00C96A4B" w:rsidP="00C96A4B">
      <w:pPr>
        <w:rPr>
          <w:b/>
          <w:sz w:val="18"/>
        </w:rPr>
      </w:pPr>
    </w:p>
    <w:p w:rsidR="00C96A4B" w:rsidRDefault="00C96A4B" w:rsidP="00C96A4B">
      <w:pPr>
        <w:jc w:val="both"/>
        <w:rPr>
          <w:sz w:val="20"/>
        </w:rPr>
      </w:pPr>
      <w:r w:rsidRPr="00B177B2">
        <w:rPr>
          <w:b/>
          <w:sz w:val="20"/>
        </w:rPr>
        <w:t>Figure I.</w:t>
      </w:r>
      <w:r>
        <w:rPr>
          <w:b/>
          <w:sz w:val="20"/>
        </w:rPr>
        <w:t>10</w:t>
      </w:r>
      <w:r w:rsidRPr="00B177B2">
        <w:rPr>
          <w:b/>
          <w:sz w:val="20"/>
        </w:rPr>
        <w:t xml:space="preserve"> </w:t>
      </w:r>
      <w:r w:rsidRPr="00B177B2">
        <w:rPr>
          <w:sz w:val="20"/>
        </w:rPr>
        <w:t xml:space="preserve">shows that for a group of ‘younger’ couple EFUs (aged 66-75) there has been a strong and sustained increase in income from non-government sources in the decade from </w:t>
      </w:r>
      <w:r>
        <w:rPr>
          <w:sz w:val="20"/>
        </w:rPr>
        <w:t>2001</w:t>
      </w:r>
      <w:r w:rsidRPr="00B177B2">
        <w:rPr>
          <w:sz w:val="20"/>
        </w:rPr>
        <w:t xml:space="preserve"> to 20</w:t>
      </w:r>
      <w:r>
        <w:rPr>
          <w:sz w:val="20"/>
        </w:rPr>
        <w:t>10.  The proportion of their income which came from employment increased from 2009 to 2010, although the total dollar amount from employment remained much the same.  The proportion and dollar amount coming from other private sources (investment returns) fell.</w:t>
      </w:r>
    </w:p>
    <w:p w:rsidR="00C96A4B" w:rsidRDefault="00C96A4B" w:rsidP="00C96A4B">
      <w:pPr>
        <w:jc w:val="both"/>
        <w:rPr>
          <w:sz w:val="20"/>
        </w:rPr>
      </w:pPr>
    </w:p>
    <w:p w:rsidR="00C96A4B" w:rsidRPr="00B177B2" w:rsidRDefault="00C96A4B" w:rsidP="00C96A4B">
      <w:pPr>
        <w:jc w:val="both"/>
        <w:rPr>
          <w:sz w:val="20"/>
        </w:rPr>
      </w:pPr>
      <w:r w:rsidRPr="00B177B2">
        <w:rPr>
          <w:sz w:val="20"/>
        </w:rPr>
        <w:t>For</w:t>
      </w:r>
      <w:r>
        <w:rPr>
          <w:sz w:val="20"/>
        </w:rPr>
        <w:t xml:space="preserve"> these</w:t>
      </w:r>
      <w:r w:rsidRPr="00B177B2">
        <w:rPr>
          <w:sz w:val="20"/>
        </w:rPr>
        <w:t xml:space="preserve"> ‘younger’ couples in the middle quintile (deciles 5 and 6), there has been a reduction in the proportion of their income coming from NZS (80% to </w:t>
      </w:r>
      <w:r>
        <w:rPr>
          <w:sz w:val="20"/>
        </w:rPr>
        <w:t>5</w:t>
      </w:r>
      <w:r w:rsidRPr="00B177B2">
        <w:rPr>
          <w:sz w:val="20"/>
        </w:rPr>
        <w:t>0% from 2001 to 20</w:t>
      </w:r>
      <w:r>
        <w:rPr>
          <w:sz w:val="20"/>
        </w:rPr>
        <w:t>10</w:t>
      </w:r>
      <w:r w:rsidRPr="00B177B2">
        <w:rPr>
          <w:sz w:val="20"/>
        </w:rPr>
        <w:t xml:space="preserve">), but for </w:t>
      </w:r>
      <w:r>
        <w:rPr>
          <w:sz w:val="20"/>
        </w:rPr>
        <w:t>the lower two quintiles for this group dep</w:t>
      </w:r>
      <w:r w:rsidRPr="00B177B2">
        <w:rPr>
          <w:sz w:val="20"/>
        </w:rPr>
        <w:t>endence on NZS and other government transfers remains high (</w:t>
      </w:r>
      <w:r>
        <w:rPr>
          <w:sz w:val="20"/>
        </w:rPr>
        <w:t>87</w:t>
      </w:r>
      <w:r w:rsidRPr="00B177B2">
        <w:rPr>
          <w:sz w:val="20"/>
        </w:rPr>
        <w:t>%).</w:t>
      </w:r>
    </w:p>
    <w:p w:rsidR="00C96A4B" w:rsidRPr="00B177B2" w:rsidRDefault="00C96A4B" w:rsidP="00C96A4B">
      <w:pPr>
        <w:jc w:val="both"/>
        <w:rPr>
          <w:sz w:val="20"/>
        </w:rPr>
      </w:pPr>
    </w:p>
    <w:p w:rsidR="00C96A4B" w:rsidRDefault="00C96A4B" w:rsidP="00C96A4B">
      <w:pPr>
        <w:jc w:val="both"/>
        <w:rPr>
          <w:sz w:val="20"/>
        </w:rPr>
      </w:pPr>
      <w:r w:rsidRPr="00B177B2">
        <w:rPr>
          <w:sz w:val="20"/>
        </w:rPr>
        <w:t>There have been no comp</w:t>
      </w:r>
      <w:r>
        <w:rPr>
          <w:sz w:val="20"/>
        </w:rPr>
        <w:t>arable changes for those in one-</w:t>
      </w:r>
      <w:r w:rsidRPr="00B177B2">
        <w:rPr>
          <w:sz w:val="20"/>
        </w:rPr>
        <w:t>person EFUs.</w:t>
      </w:r>
    </w:p>
    <w:p w:rsidR="00C96A4B" w:rsidRPr="00B177B2" w:rsidRDefault="00C96A4B" w:rsidP="00C96A4B">
      <w:pPr>
        <w:jc w:val="both"/>
        <w:rPr>
          <w:sz w:val="20"/>
        </w:rPr>
      </w:pPr>
    </w:p>
    <w:p w:rsidR="00C96A4B" w:rsidRDefault="00C96A4B" w:rsidP="00C96A4B">
      <w:pPr>
        <w:ind w:left="360" w:hanging="274"/>
        <w:jc w:val="both"/>
        <w:rPr>
          <w:b/>
          <w:sz w:val="18"/>
        </w:rPr>
      </w:pPr>
    </w:p>
    <w:p w:rsidR="00C96A4B" w:rsidRPr="00E020C2" w:rsidRDefault="00C96A4B" w:rsidP="00C96A4B">
      <w:pPr>
        <w:ind w:left="360" w:hanging="274"/>
        <w:jc w:val="center"/>
        <w:rPr>
          <w:b/>
          <w:sz w:val="18"/>
        </w:rPr>
      </w:pPr>
      <w:r w:rsidRPr="00E020C2">
        <w:rPr>
          <w:b/>
          <w:sz w:val="18"/>
        </w:rPr>
        <w:t>Figure I.</w:t>
      </w:r>
      <w:r>
        <w:rPr>
          <w:b/>
          <w:sz w:val="18"/>
        </w:rPr>
        <w:t>10</w:t>
      </w:r>
    </w:p>
    <w:p w:rsidR="00C96A4B" w:rsidRPr="00E020C2" w:rsidRDefault="00C96A4B" w:rsidP="00C96A4B">
      <w:pPr>
        <w:ind w:left="360" w:hanging="274"/>
        <w:jc w:val="center"/>
        <w:rPr>
          <w:b/>
          <w:sz w:val="18"/>
        </w:rPr>
      </w:pPr>
      <w:r>
        <w:rPr>
          <w:b/>
          <w:sz w:val="18"/>
        </w:rPr>
        <w:t>Changing proportions from three sources</w:t>
      </w:r>
      <w:r w:rsidRPr="00E020C2">
        <w:rPr>
          <w:b/>
          <w:sz w:val="18"/>
        </w:rPr>
        <w:t xml:space="preserve"> for</w:t>
      </w:r>
      <w:r>
        <w:rPr>
          <w:b/>
          <w:sz w:val="18"/>
        </w:rPr>
        <w:t xml:space="preserve"> couples (aged 66-75) in deciles 5-6 for couples</w:t>
      </w:r>
    </w:p>
    <w:p w:rsidR="00C96A4B" w:rsidRPr="00561026" w:rsidRDefault="00EC0BE0" w:rsidP="00C96A4B">
      <w:pPr>
        <w:jc w:val="center"/>
      </w:pPr>
      <w:r>
        <w:rPr>
          <w:noProof/>
          <w:lang w:val="en-US"/>
        </w:rPr>
        <w:drawing>
          <wp:inline distT="0" distB="0" distL="0" distR="0">
            <wp:extent cx="3857625" cy="23907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srcRect/>
                    <a:stretch>
                      <a:fillRect/>
                    </a:stretch>
                  </pic:blipFill>
                  <pic:spPr bwMode="auto">
                    <a:xfrm>
                      <a:off x="0" y="0"/>
                      <a:ext cx="3857625" cy="2390775"/>
                    </a:xfrm>
                    <a:prstGeom prst="rect">
                      <a:avLst/>
                    </a:prstGeom>
                    <a:noFill/>
                    <a:ln w="9525">
                      <a:noFill/>
                      <a:miter lim="800000"/>
                      <a:headEnd/>
                      <a:tailEnd/>
                    </a:ln>
                  </pic:spPr>
                </pic:pic>
              </a:graphicData>
            </a:graphic>
          </wp:inline>
        </w:drawing>
      </w:r>
    </w:p>
    <w:p w:rsidR="00C96A4B" w:rsidRDefault="00C96A4B" w:rsidP="00C96A4B">
      <w:pPr>
        <w:jc w:val="center"/>
      </w:pPr>
    </w:p>
    <w:p w:rsidR="00C96A4B" w:rsidRDefault="00C96A4B" w:rsidP="00C96A4B">
      <w:pPr>
        <w:jc w:val="both"/>
        <w:rPr>
          <w:sz w:val="18"/>
        </w:rPr>
      </w:pPr>
    </w:p>
    <w:p w:rsidR="00C96A4B" w:rsidRDefault="00C96A4B" w:rsidP="00C96A4B">
      <w:pPr>
        <w:jc w:val="both"/>
        <w:rPr>
          <w:sz w:val="20"/>
        </w:rPr>
      </w:pPr>
    </w:p>
    <w:p w:rsidR="00C96A4B" w:rsidRPr="000156CC" w:rsidRDefault="00C96A4B" w:rsidP="00C96A4B">
      <w:pPr>
        <w:jc w:val="both"/>
        <w:rPr>
          <w:b/>
          <w:sz w:val="18"/>
        </w:rPr>
      </w:pPr>
      <w:r>
        <w:rPr>
          <w:sz w:val="20"/>
        </w:rPr>
        <w:br w:type="page"/>
      </w:r>
      <w:r w:rsidRPr="00722EC3">
        <w:rPr>
          <w:b/>
          <w:sz w:val="20"/>
        </w:rPr>
        <w:lastRenderedPageBreak/>
        <w:t>Table I.</w:t>
      </w:r>
      <w:r>
        <w:rPr>
          <w:b/>
          <w:sz w:val="20"/>
        </w:rPr>
        <w:t>5</w:t>
      </w:r>
      <w:r>
        <w:rPr>
          <w:sz w:val="20"/>
        </w:rPr>
        <w:t xml:space="preserve"> shows the amounts received by one person and couple EFUs (66+) from sources other than government transfers (ie from employment, self-employment, private superannuation and other investments).  Each </w:t>
      </w:r>
      <w:smartTag w:uri="urn:schemas-microsoft-com:office:smarttags" w:element="stockticker">
        <w:r>
          <w:rPr>
            <w:sz w:val="20"/>
          </w:rPr>
          <w:t>EFU</w:t>
        </w:r>
      </w:smartTag>
      <w:r>
        <w:rPr>
          <w:sz w:val="20"/>
        </w:rPr>
        <w:t xml:space="preserve"> type is ranked separately on their respective non-government incomes.  Decile means and decile upper boundaries are given.  </w:t>
      </w:r>
    </w:p>
    <w:p w:rsidR="00C96A4B" w:rsidRDefault="00C96A4B" w:rsidP="00C96A4B">
      <w:pPr>
        <w:ind w:left="360" w:hanging="274"/>
        <w:jc w:val="center"/>
        <w:rPr>
          <w:b/>
          <w:sz w:val="18"/>
        </w:rPr>
      </w:pPr>
    </w:p>
    <w:p w:rsidR="00C96A4B" w:rsidRDefault="00C96A4B" w:rsidP="00C96A4B">
      <w:pPr>
        <w:ind w:left="360" w:hanging="274"/>
        <w:jc w:val="center"/>
        <w:rPr>
          <w:b/>
          <w:sz w:val="18"/>
        </w:rPr>
      </w:pPr>
      <w:r>
        <w:rPr>
          <w:b/>
          <w:sz w:val="18"/>
        </w:rPr>
        <w:t>Table I.5</w:t>
      </w:r>
    </w:p>
    <w:p w:rsidR="00C96A4B" w:rsidRDefault="00C96A4B" w:rsidP="00C96A4B">
      <w:pPr>
        <w:ind w:left="360" w:hanging="274"/>
        <w:jc w:val="center"/>
        <w:rPr>
          <w:b/>
          <w:sz w:val="18"/>
        </w:rPr>
      </w:pPr>
      <w:r>
        <w:rPr>
          <w:b/>
          <w:sz w:val="18"/>
        </w:rPr>
        <w:t>Amount received per week by 66+ EFUs from non-government sources by decile, HES 2010</w:t>
      </w:r>
    </w:p>
    <w:p w:rsidR="00C96A4B" w:rsidRDefault="00C96A4B" w:rsidP="00C96A4B">
      <w:pPr>
        <w:spacing w:after="120"/>
        <w:ind w:left="360" w:hanging="274"/>
        <w:jc w:val="center"/>
        <w:rPr>
          <w:b/>
          <w:sz w:val="18"/>
        </w:rPr>
      </w:pPr>
      <w:r>
        <w:rPr>
          <w:b/>
          <w:sz w:val="18"/>
        </w:rPr>
        <w:t xml:space="preserve">(each </w:t>
      </w:r>
      <w:smartTag w:uri="urn:schemas-microsoft-com:office:smarttags" w:element="stockticker">
        <w:r>
          <w:rPr>
            <w:b/>
            <w:sz w:val="18"/>
          </w:rPr>
          <w:t>EFU</w:t>
        </w:r>
      </w:smartTag>
      <w:r>
        <w:rPr>
          <w:b/>
          <w:sz w:val="18"/>
        </w:rPr>
        <w:t xml:space="preserve"> type is ranked separately on their respective non-government incomes)</w:t>
      </w:r>
    </w:p>
    <w:tbl>
      <w:tblPr>
        <w:tblStyle w:val="TableGrid"/>
        <w:tblW w:w="8347" w:type="dxa"/>
        <w:jc w:val="center"/>
        <w:tblLayout w:type="fixed"/>
        <w:tblLook w:val="01E0"/>
      </w:tblPr>
      <w:tblGrid>
        <w:gridCol w:w="793"/>
        <w:gridCol w:w="720"/>
        <w:gridCol w:w="540"/>
        <w:gridCol w:w="540"/>
        <w:gridCol w:w="540"/>
        <w:gridCol w:w="540"/>
        <w:gridCol w:w="667"/>
        <w:gridCol w:w="668"/>
        <w:gridCol w:w="668"/>
        <w:gridCol w:w="667"/>
        <w:gridCol w:w="668"/>
        <w:gridCol w:w="668"/>
        <w:gridCol w:w="668"/>
      </w:tblGrid>
      <w:tr w:rsidR="00C96A4B">
        <w:trPr>
          <w:jc w:val="center"/>
        </w:trPr>
        <w:tc>
          <w:tcPr>
            <w:tcW w:w="793" w:type="dxa"/>
            <w:vAlign w:val="center"/>
          </w:tcPr>
          <w:p w:rsidR="00C96A4B" w:rsidRPr="00AD4630" w:rsidRDefault="00C96A4B" w:rsidP="00614C04">
            <w:pPr>
              <w:spacing w:before="40" w:after="40"/>
              <w:jc w:val="center"/>
              <w:rPr>
                <w:rFonts w:cs="Arial"/>
                <w:b/>
                <w:sz w:val="16"/>
                <w:szCs w:val="16"/>
              </w:rPr>
            </w:pPr>
          </w:p>
        </w:tc>
        <w:tc>
          <w:tcPr>
            <w:tcW w:w="720" w:type="dxa"/>
            <w:vAlign w:val="center"/>
          </w:tcPr>
          <w:p w:rsidR="00C96A4B" w:rsidRPr="00AD4630" w:rsidRDefault="00C96A4B" w:rsidP="00614C04">
            <w:pPr>
              <w:spacing w:before="40" w:after="40"/>
              <w:jc w:val="center"/>
              <w:rPr>
                <w:rFonts w:cs="Arial"/>
                <w:b/>
                <w:sz w:val="16"/>
                <w:szCs w:val="16"/>
              </w:rPr>
            </w:pPr>
          </w:p>
        </w:tc>
        <w:tc>
          <w:tcPr>
            <w:tcW w:w="540" w:type="dxa"/>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1</w:t>
            </w:r>
          </w:p>
        </w:tc>
        <w:tc>
          <w:tcPr>
            <w:tcW w:w="540" w:type="dxa"/>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2</w:t>
            </w:r>
          </w:p>
        </w:tc>
        <w:tc>
          <w:tcPr>
            <w:tcW w:w="540" w:type="dxa"/>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3</w:t>
            </w:r>
          </w:p>
        </w:tc>
        <w:tc>
          <w:tcPr>
            <w:tcW w:w="540" w:type="dxa"/>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4</w:t>
            </w:r>
          </w:p>
        </w:tc>
        <w:tc>
          <w:tcPr>
            <w:tcW w:w="667"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5</w:t>
            </w:r>
          </w:p>
        </w:tc>
        <w:tc>
          <w:tcPr>
            <w:tcW w:w="668"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6</w:t>
            </w:r>
          </w:p>
        </w:tc>
        <w:tc>
          <w:tcPr>
            <w:tcW w:w="668"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7</w:t>
            </w:r>
          </w:p>
        </w:tc>
        <w:tc>
          <w:tcPr>
            <w:tcW w:w="667"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8</w:t>
            </w:r>
          </w:p>
        </w:tc>
        <w:tc>
          <w:tcPr>
            <w:tcW w:w="668"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9</w:t>
            </w:r>
          </w:p>
        </w:tc>
        <w:tc>
          <w:tcPr>
            <w:tcW w:w="668" w:type="dxa"/>
            <w:tcMar>
              <w:left w:w="72" w:type="dxa"/>
              <w:right w:w="72" w:type="dxa"/>
            </w:tcMar>
            <w:vAlign w:val="center"/>
          </w:tcPr>
          <w:p w:rsidR="00C96A4B" w:rsidRPr="00AD4630" w:rsidRDefault="00C96A4B" w:rsidP="00614C04">
            <w:pPr>
              <w:spacing w:before="40" w:after="40"/>
              <w:jc w:val="center"/>
              <w:rPr>
                <w:rFonts w:cs="Arial"/>
                <w:b/>
                <w:sz w:val="16"/>
                <w:szCs w:val="16"/>
              </w:rPr>
            </w:pPr>
            <w:r w:rsidRPr="00AD4630">
              <w:rPr>
                <w:rFonts w:cs="Arial"/>
                <w:b/>
                <w:sz w:val="16"/>
                <w:szCs w:val="16"/>
              </w:rPr>
              <w:t>10</w:t>
            </w:r>
          </w:p>
        </w:tc>
        <w:tc>
          <w:tcPr>
            <w:tcW w:w="668" w:type="dxa"/>
            <w:tcMar>
              <w:left w:w="72" w:type="dxa"/>
              <w:right w:w="72" w:type="dxa"/>
            </w:tcMar>
            <w:vAlign w:val="center"/>
          </w:tcPr>
          <w:p w:rsidR="00C96A4B" w:rsidRPr="00AD4630" w:rsidRDefault="00C96A4B" w:rsidP="00614C04">
            <w:pPr>
              <w:spacing w:before="40" w:after="40"/>
              <w:jc w:val="center"/>
              <w:rPr>
                <w:rFonts w:cs="Arial"/>
                <w:b/>
                <w:sz w:val="16"/>
                <w:szCs w:val="16"/>
              </w:rPr>
            </w:pPr>
            <w:smartTag w:uri="urn:schemas-microsoft-com:office:smarttags" w:element="stockticker">
              <w:r w:rsidRPr="00AD4630">
                <w:rPr>
                  <w:rFonts w:cs="Arial"/>
                  <w:b/>
                  <w:sz w:val="16"/>
                  <w:szCs w:val="16"/>
                </w:rPr>
                <w:t>TOT</w:t>
              </w:r>
            </w:smartTag>
          </w:p>
        </w:tc>
      </w:tr>
      <w:tr w:rsidR="00C96A4B">
        <w:trPr>
          <w:trHeight w:val="260"/>
          <w:jc w:val="center"/>
        </w:trPr>
        <w:tc>
          <w:tcPr>
            <w:tcW w:w="793" w:type="dxa"/>
            <w:vMerge w:val="restart"/>
            <w:vAlign w:val="center"/>
          </w:tcPr>
          <w:p w:rsidR="00C96A4B" w:rsidRPr="00AD4630" w:rsidRDefault="00C96A4B" w:rsidP="00614C04">
            <w:pPr>
              <w:spacing w:before="40" w:after="40"/>
              <w:jc w:val="center"/>
              <w:rPr>
                <w:rFonts w:cs="Arial"/>
                <w:sz w:val="16"/>
                <w:szCs w:val="16"/>
              </w:rPr>
            </w:pPr>
            <w:r w:rsidRPr="00AD4630">
              <w:rPr>
                <w:rFonts w:cs="Arial"/>
                <w:sz w:val="16"/>
                <w:szCs w:val="16"/>
              </w:rPr>
              <w:t>one person EFUs</w:t>
            </w:r>
          </w:p>
        </w:tc>
        <w:tc>
          <w:tcPr>
            <w:tcW w:w="720" w:type="dxa"/>
            <w:vAlign w:val="center"/>
          </w:tcPr>
          <w:p w:rsidR="00C96A4B" w:rsidRPr="00AD4630" w:rsidRDefault="00C96A4B" w:rsidP="00614C04">
            <w:pPr>
              <w:jc w:val="center"/>
              <w:rPr>
                <w:rFonts w:cs="Arial"/>
                <w:sz w:val="16"/>
                <w:szCs w:val="16"/>
                <w:lang w:val="en-US"/>
              </w:rPr>
            </w:pPr>
            <w:r w:rsidRPr="00AD4630">
              <w:rPr>
                <w:rFonts w:cs="Arial"/>
                <w:sz w:val="16"/>
                <w:szCs w:val="16"/>
                <w:lang w:val="en-US"/>
              </w:rPr>
              <w:t>mean</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30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100</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240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500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1040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195</w:t>
            </w:r>
          </w:p>
        </w:tc>
      </w:tr>
      <w:tr w:rsidR="00C96A4B">
        <w:trPr>
          <w:trHeight w:val="260"/>
          <w:jc w:val="center"/>
        </w:trPr>
        <w:tc>
          <w:tcPr>
            <w:tcW w:w="793" w:type="dxa"/>
            <w:vMerge/>
            <w:vAlign w:val="center"/>
          </w:tcPr>
          <w:p w:rsidR="00C96A4B" w:rsidRPr="00AD4630" w:rsidRDefault="00C96A4B" w:rsidP="00614C04">
            <w:pPr>
              <w:spacing w:before="40" w:after="40"/>
              <w:jc w:val="center"/>
              <w:rPr>
                <w:rFonts w:cs="Arial"/>
                <w:sz w:val="16"/>
                <w:szCs w:val="16"/>
              </w:rPr>
            </w:pPr>
          </w:p>
        </w:tc>
        <w:tc>
          <w:tcPr>
            <w:tcW w:w="720" w:type="dxa"/>
            <w:vAlign w:val="center"/>
          </w:tcPr>
          <w:p w:rsidR="00C96A4B" w:rsidRPr="00AD4630" w:rsidRDefault="00C96A4B" w:rsidP="00614C04">
            <w:pPr>
              <w:jc w:val="center"/>
              <w:rPr>
                <w:rFonts w:cs="Arial"/>
                <w:sz w:val="16"/>
                <w:szCs w:val="16"/>
                <w:lang w:val="en-US"/>
              </w:rPr>
            </w:pPr>
            <w:r w:rsidRPr="00AD4630">
              <w:rPr>
                <w:rFonts w:cs="Arial"/>
                <w:sz w:val="16"/>
                <w:szCs w:val="16"/>
                <w:lang w:val="en-US"/>
              </w:rPr>
              <w:t>upper bndry</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2</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55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155</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325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675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w:t>
            </w:r>
          </w:p>
        </w:tc>
      </w:tr>
      <w:tr w:rsidR="00C96A4B">
        <w:trPr>
          <w:trHeight w:val="287"/>
          <w:jc w:val="center"/>
        </w:trPr>
        <w:tc>
          <w:tcPr>
            <w:tcW w:w="793" w:type="dxa"/>
            <w:vMerge w:val="restart"/>
            <w:vAlign w:val="center"/>
          </w:tcPr>
          <w:p w:rsidR="00C96A4B" w:rsidRPr="00AD4630" w:rsidRDefault="00C96A4B" w:rsidP="00614C04">
            <w:pPr>
              <w:spacing w:before="40" w:after="40"/>
              <w:jc w:val="center"/>
              <w:rPr>
                <w:rFonts w:cs="Arial"/>
                <w:sz w:val="16"/>
                <w:szCs w:val="16"/>
              </w:rPr>
            </w:pPr>
            <w:r w:rsidRPr="00AD4630">
              <w:rPr>
                <w:rFonts w:cs="Arial"/>
                <w:sz w:val="16"/>
                <w:szCs w:val="16"/>
              </w:rPr>
              <w:t>couple EFUs</w:t>
            </w:r>
          </w:p>
        </w:tc>
        <w:tc>
          <w:tcPr>
            <w:tcW w:w="720" w:type="dxa"/>
            <w:vAlign w:val="center"/>
          </w:tcPr>
          <w:p w:rsidR="00C96A4B" w:rsidRPr="00AD4630" w:rsidRDefault="00C96A4B" w:rsidP="00614C04">
            <w:pPr>
              <w:jc w:val="center"/>
              <w:rPr>
                <w:rFonts w:cs="Arial"/>
                <w:sz w:val="16"/>
                <w:szCs w:val="16"/>
                <w:lang w:val="en-US"/>
              </w:rPr>
            </w:pPr>
            <w:r w:rsidRPr="00AD4630">
              <w:rPr>
                <w:rFonts w:cs="Arial"/>
                <w:sz w:val="16"/>
                <w:szCs w:val="16"/>
                <w:lang w:val="en-US"/>
              </w:rPr>
              <w:t>mean</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6</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50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125</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280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485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735</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1090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1595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4170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855</w:t>
            </w:r>
          </w:p>
        </w:tc>
      </w:tr>
      <w:tr w:rsidR="00C96A4B">
        <w:trPr>
          <w:trHeight w:val="260"/>
          <w:jc w:val="center"/>
        </w:trPr>
        <w:tc>
          <w:tcPr>
            <w:tcW w:w="793" w:type="dxa"/>
            <w:vMerge/>
            <w:vAlign w:val="center"/>
          </w:tcPr>
          <w:p w:rsidR="00C96A4B" w:rsidRPr="00AD4630" w:rsidRDefault="00C96A4B" w:rsidP="00614C04">
            <w:pPr>
              <w:spacing w:before="40" w:after="40"/>
              <w:jc w:val="center"/>
              <w:rPr>
                <w:rFonts w:cs="Arial"/>
                <w:sz w:val="16"/>
                <w:szCs w:val="16"/>
              </w:rPr>
            </w:pPr>
          </w:p>
        </w:tc>
        <w:tc>
          <w:tcPr>
            <w:tcW w:w="720" w:type="dxa"/>
            <w:vAlign w:val="center"/>
          </w:tcPr>
          <w:p w:rsidR="00C96A4B" w:rsidRPr="00AD4630" w:rsidRDefault="00C96A4B" w:rsidP="00614C04">
            <w:pPr>
              <w:jc w:val="center"/>
              <w:rPr>
                <w:rFonts w:cs="Arial"/>
                <w:sz w:val="16"/>
                <w:szCs w:val="16"/>
                <w:lang w:val="en-US"/>
              </w:rPr>
            </w:pPr>
            <w:r w:rsidRPr="00AD4630">
              <w:rPr>
                <w:rFonts w:cs="Arial"/>
                <w:sz w:val="16"/>
                <w:szCs w:val="16"/>
                <w:lang w:val="en-US"/>
              </w:rPr>
              <w:t>upper bndry</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0</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25</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75</w:t>
            </w:r>
          </w:p>
        </w:tc>
        <w:tc>
          <w:tcPr>
            <w:tcW w:w="540"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185</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385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570</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900</w:t>
            </w:r>
          </w:p>
        </w:tc>
        <w:tc>
          <w:tcPr>
            <w:tcW w:w="667"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1285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2045</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w:t>
            </w:r>
          </w:p>
        </w:tc>
        <w:tc>
          <w:tcPr>
            <w:tcW w:w="668" w:type="dxa"/>
            <w:tcMar>
              <w:left w:w="14" w:type="dxa"/>
              <w:right w:w="14" w:type="dxa"/>
            </w:tcMar>
            <w:vAlign w:val="center"/>
          </w:tcPr>
          <w:p w:rsidR="00C96A4B" w:rsidRPr="00AD4630" w:rsidRDefault="00C96A4B" w:rsidP="00614C04">
            <w:pPr>
              <w:jc w:val="center"/>
              <w:rPr>
                <w:rFonts w:cs="Arial"/>
                <w:sz w:val="16"/>
                <w:szCs w:val="16"/>
                <w:lang w:val="en-US"/>
              </w:rPr>
            </w:pPr>
            <w:r w:rsidRPr="00AD4630">
              <w:rPr>
                <w:rFonts w:cs="Arial"/>
                <w:sz w:val="16"/>
                <w:szCs w:val="16"/>
                <w:lang w:val="en-US"/>
              </w:rPr>
              <w:t>-</w:t>
            </w:r>
          </w:p>
        </w:tc>
      </w:tr>
    </w:tbl>
    <w:p w:rsidR="00C96A4B" w:rsidRDefault="00C96A4B" w:rsidP="00C96A4B">
      <w:pPr>
        <w:ind w:left="360" w:hanging="274"/>
        <w:jc w:val="center"/>
        <w:rPr>
          <w:b/>
          <w:sz w:val="18"/>
        </w:rPr>
      </w:pPr>
    </w:p>
    <w:p w:rsidR="00C96A4B" w:rsidRPr="00B76913" w:rsidRDefault="00C96A4B" w:rsidP="00C96A4B">
      <w:pPr>
        <w:pStyle w:val="Heading3"/>
        <w:ind w:left="720" w:hanging="540"/>
        <w:rPr>
          <w:b w:val="0"/>
          <w:sz w:val="16"/>
          <w:szCs w:val="16"/>
        </w:rPr>
      </w:pPr>
      <w:r>
        <w:rPr>
          <w:b w:val="0"/>
          <w:sz w:val="16"/>
          <w:szCs w:val="16"/>
        </w:rPr>
        <w:t xml:space="preserve">Note: </w:t>
      </w:r>
      <w:r>
        <w:rPr>
          <w:b w:val="0"/>
          <w:sz w:val="16"/>
          <w:szCs w:val="16"/>
        </w:rPr>
        <w:tab/>
        <w:t>W</w:t>
      </w:r>
      <w:r w:rsidRPr="00B76913">
        <w:rPr>
          <w:b w:val="0"/>
          <w:sz w:val="16"/>
          <w:szCs w:val="16"/>
        </w:rPr>
        <w:t>hen making estimates of the number or proportion of individuals (rather than EFUs) receiving less than or more than a given amount from non-government sources, note that there are around 50% more individuals in couple EFUs than in single EFUs (ie the relative weighting is</w:t>
      </w:r>
      <w:r>
        <w:rPr>
          <w:b w:val="0"/>
          <w:sz w:val="16"/>
          <w:szCs w:val="16"/>
        </w:rPr>
        <w:t xml:space="preserve"> around</w:t>
      </w:r>
      <w:r w:rsidRPr="00B76913">
        <w:rPr>
          <w:b w:val="0"/>
          <w:sz w:val="16"/>
          <w:szCs w:val="16"/>
        </w:rPr>
        <w:t xml:space="preserve"> 3:2)</w:t>
      </w:r>
      <w:r>
        <w:rPr>
          <w:b w:val="0"/>
          <w:sz w:val="16"/>
          <w:szCs w:val="16"/>
        </w:rPr>
        <w:t>.</w:t>
      </w:r>
    </w:p>
    <w:p w:rsidR="00C96A4B" w:rsidRDefault="00C96A4B" w:rsidP="00C96A4B">
      <w:pPr>
        <w:ind w:left="360" w:hanging="274"/>
        <w:jc w:val="center"/>
        <w:rPr>
          <w:b/>
          <w:sz w:val="18"/>
        </w:rPr>
      </w:pPr>
    </w:p>
    <w:p w:rsidR="00C96A4B" w:rsidRDefault="00C96A4B" w:rsidP="00C96A4B">
      <w:pPr>
        <w:ind w:left="360" w:hanging="274"/>
        <w:jc w:val="center"/>
        <w:rPr>
          <w:b/>
          <w:sz w:val="18"/>
        </w:rPr>
      </w:pPr>
    </w:p>
    <w:p w:rsidR="00C96A4B" w:rsidRDefault="00C96A4B" w:rsidP="00C96A4B">
      <w:pPr>
        <w:jc w:val="both"/>
        <w:rPr>
          <w:sz w:val="20"/>
        </w:rPr>
      </w:pPr>
      <w:r w:rsidRPr="005D60DA">
        <w:rPr>
          <w:b/>
          <w:sz w:val="20"/>
        </w:rPr>
        <w:t>Figure I.</w:t>
      </w:r>
      <w:r>
        <w:rPr>
          <w:b/>
          <w:sz w:val="20"/>
        </w:rPr>
        <w:t>11</w:t>
      </w:r>
      <w:r>
        <w:rPr>
          <w:sz w:val="20"/>
        </w:rPr>
        <w:t xml:space="preserve"> plots the upper boundaries from Table I.5 for deciles 1-8 and interpolates to provide a simple means of estimating proportions of older New Zealanders with non-government incomes above or below selected amounts.  For couple EFUs, the Table I.4 amounts are halved to convert them to per capita amounts.  The top two deciles are omitted to enable a sensible vertical scale to be used. </w:t>
      </w:r>
    </w:p>
    <w:p w:rsidR="00C96A4B" w:rsidRDefault="00C96A4B" w:rsidP="00C96A4B">
      <w:pPr>
        <w:jc w:val="both"/>
        <w:rPr>
          <w:sz w:val="20"/>
        </w:rPr>
      </w:pPr>
    </w:p>
    <w:p w:rsidR="00C96A4B" w:rsidRPr="00E020C2" w:rsidRDefault="00C96A4B" w:rsidP="00C96A4B">
      <w:pPr>
        <w:ind w:left="360" w:hanging="274"/>
        <w:jc w:val="center"/>
        <w:rPr>
          <w:b/>
          <w:sz w:val="18"/>
        </w:rPr>
      </w:pPr>
      <w:r w:rsidRPr="00E020C2">
        <w:rPr>
          <w:b/>
          <w:sz w:val="18"/>
        </w:rPr>
        <w:t>Figure I.</w:t>
      </w:r>
      <w:r>
        <w:rPr>
          <w:b/>
          <w:sz w:val="18"/>
        </w:rPr>
        <w:t>11</w:t>
      </w:r>
    </w:p>
    <w:p w:rsidR="00C96A4B" w:rsidRDefault="00C96A4B" w:rsidP="00C96A4B">
      <w:pPr>
        <w:ind w:left="360" w:hanging="274"/>
        <w:jc w:val="center"/>
        <w:rPr>
          <w:b/>
          <w:sz w:val="18"/>
        </w:rPr>
      </w:pPr>
      <w:r>
        <w:rPr>
          <w:b/>
          <w:sz w:val="18"/>
        </w:rPr>
        <w:t>Income from non-government sources for one person and couple EFUs (66+):</w:t>
      </w:r>
    </w:p>
    <w:p w:rsidR="00C96A4B" w:rsidRDefault="00C96A4B" w:rsidP="00C96A4B">
      <w:pPr>
        <w:ind w:left="360" w:hanging="274"/>
        <w:jc w:val="center"/>
        <w:rPr>
          <w:sz w:val="20"/>
        </w:rPr>
      </w:pPr>
      <w:r>
        <w:rPr>
          <w:b/>
          <w:sz w:val="18"/>
        </w:rPr>
        <w:t xml:space="preserve">weekly amounts per person, decile upper boundaries, deciles 1-8, HES 2010 </w:t>
      </w:r>
    </w:p>
    <w:p w:rsidR="00C96A4B" w:rsidRPr="00771625" w:rsidRDefault="00EC0BE0" w:rsidP="00C96A4B">
      <w:pPr>
        <w:jc w:val="center"/>
        <w:rPr>
          <w:sz w:val="20"/>
        </w:rPr>
      </w:pPr>
      <w:r>
        <w:rPr>
          <w:noProof/>
          <w:lang w:val="en-US"/>
        </w:rPr>
        <w:drawing>
          <wp:inline distT="0" distB="0" distL="0" distR="0">
            <wp:extent cx="4181475" cy="2600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srcRect/>
                    <a:stretch>
                      <a:fillRect/>
                    </a:stretch>
                  </pic:blipFill>
                  <pic:spPr bwMode="auto">
                    <a:xfrm>
                      <a:off x="0" y="0"/>
                      <a:ext cx="4181475" cy="2600325"/>
                    </a:xfrm>
                    <a:prstGeom prst="rect">
                      <a:avLst/>
                    </a:prstGeom>
                    <a:noFill/>
                    <a:ln w="9525">
                      <a:noFill/>
                      <a:miter lim="800000"/>
                      <a:headEnd/>
                      <a:tailEnd/>
                    </a:ln>
                  </pic:spPr>
                </pic:pic>
              </a:graphicData>
            </a:graphic>
          </wp:inline>
        </w:drawing>
      </w:r>
    </w:p>
    <w:p w:rsidR="00C96A4B" w:rsidRDefault="00C96A4B" w:rsidP="00C96A4B">
      <w:pPr>
        <w:ind w:left="360" w:hanging="274"/>
        <w:jc w:val="center"/>
        <w:rPr>
          <w:sz w:val="20"/>
        </w:rPr>
      </w:pPr>
    </w:p>
    <w:p w:rsidR="00C96A4B" w:rsidRDefault="00C96A4B" w:rsidP="00C96A4B">
      <w:pPr>
        <w:jc w:val="both"/>
        <w:rPr>
          <w:b/>
          <w:sz w:val="18"/>
        </w:rPr>
      </w:pPr>
      <w:r>
        <w:rPr>
          <w:sz w:val="20"/>
        </w:rPr>
        <w:t>For example, for those in couple EFUs, 42% have less than $100 pw, and for one person EFUs, around 65% have less than $100 pw.  There are around 50% more people in couple EFUs than in one person EFUs (3:2 ratio).  The weighted average of 42% and 65% is 51%.  So, in 2010, around half of older New Zealanders had income of less than $100 pw over and above government transfers, similar to 2009, but down from 56% in 2008 and 60% in 2007.</w:t>
      </w:r>
      <w:r>
        <w:rPr>
          <w:rStyle w:val="FootnoteReference"/>
          <w:sz w:val="20"/>
        </w:rPr>
        <w:footnoteReference w:id="82"/>
      </w:r>
    </w:p>
    <w:p w:rsidR="00C96A4B" w:rsidRPr="00BC4ED9" w:rsidRDefault="00C96A4B" w:rsidP="00C96A4B">
      <w:pPr>
        <w:pStyle w:val="Heading1"/>
        <w:jc w:val="center"/>
      </w:pPr>
      <w:r>
        <w:t xml:space="preserve"> </w:t>
      </w:r>
    </w:p>
    <w:p w:rsidR="00E46063" w:rsidRPr="001D47DC" w:rsidRDefault="00E46063" w:rsidP="00E46063"/>
    <w:p w:rsidR="00E018D9" w:rsidRDefault="00E018D9" w:rsidP="00E46063">
      <w:pPr>
        <w:jc w:val="center"/>
        <w:sectPr w:rsidR="00E018D9" w:rsidSect="005A3E8C">
          <w:headerReference w:type="default" r:id="rId108"/>
          <w:pgSz w:w="11909" w:h="16834" w:code="9"/>
          <w:pgMar w:top="1440" w:right="1584" w:bottom="1440" w:left="1584" w:header="706" w:footer="706" w:gutter="0"/>
          <w:cols w:space="720"/>
        </w:sectPr>
      </w:pPr>
      <w:bookmarkStart w:id="110" w:name="_Toc115142526"/>
    </w:p>
    <w:p w:rsidR="00EE3232" w:rsidRPr="001F6116" w:rsidRDefault="00EE3232" w:rsidP="00EE3232">
      <w:pPr>
        <w:pStyle w:val="Heading1"/>
        <w:jc w:val="center"/>
        <w:rPr>
          <w:b w:val="0"/>
          <w:sz w:val="32"/>
          <w:lang w:val="en-GB"/>
        </w:rPr>
      </w:pPr>
      <w:r w:rsidRPr="001F6116">
        <w:rPr>
          <w:sz w:val="32"/>
        </w:rPr>
        <w:lastRenderedPageBreak/>
        <w:t>Section J</w:t>
      </w:r>
    </w:p>
    <w:p w:rsidR="00EE3232" w:rsidRDefault="00EE3232" w:rsidP="00EE3232">
      <w:pPr>
        <w:pStyle w:val="Heading3"/>
        <w:jc w:val="center"/>
        <w:rPr>
          <w:sz w:val="32"/>
          <w:szCs w:val="32"/>
        </w:rPr>
      </w:pPr>
      <w:r w:rsidRPr="001F6116">
        <w:rPr>
          <w:sz w:val="32"/>
          <w:szCs w:val="32"/>
          <w:lang w:val="en-NZ"/>
        </w:rPr>
        <w:t xml:space="preserve">International </w:t>
      </w:r>
      <w:r>
        <w:rPr>
          <w:sz w:val="32"/>
          <w:szCs w:val="32"/>
        </w:rPr>
        <w:t xml:space="preserve">comparisons </w:t>
      </w:r>
    </w:p>
    <w:p w:rsidR="00EE3232" w:rsidRPr="001F6116" w:rsidRDefault="00EE3232" w:rsidP="00EE3232">
      <w:pPr>
        <w:pStyle w:val="Heading3"/>
        <w:jc w:val="center"/>
        <w:rPr>
          <w:sz w:val="32"/>
          <w:szCs w:val="32"/>
          <w:u w:val="single"/>
        </w:rPr>
      </w:pPr>
      <w:r>
        <w:rPr>
          <w:sz w:val="32"/>
          <w:szCs w:val="32"/>
        </w:rPr>
        <w:t xml:space="preserve">for income poverty, </w:t>
      </w:r>
      <w:r w:rsidRPr="001F6116">
        <w:rPr>
          <w:sz w:val="32"/>
          <w:szCs w:val="32"/>
        </w:rPr>
        <w:t>inequality</w:t>
      </w:r>
      <w:r>
        <w:rPr>
          <w:sz w:val="32"/>
          <w:szCs w:val="32"/>
        </w:rPr>
        <w:t xml:space="preserve"> and wealth</w:t>
      </w:r>
    </w:p>
    <w:p w:rsidR="00EE3232" w:rsidRDefault="00EE3232" w:rsidP="00EE3232">
      <w:pPr>
        <w:jc w:val="both"/>
        <w:rPr>
          <w:rFonts w:cs="Arial"/>
          <w:szCs w:val="22"/>
        </w:rPr>
      </w:pPr>
    </w:p>
    <w:p w:rsidR="00EE3232" w:rsidRDefault="00EE3232" w:rsidP="00EE3232">
      <w:pPr>
        <w:jc w:val="both"/>
        <w:rPr>
          <w:rFonts w:cs="Arial"/>
          <w:szCs w:val="22"/>
        </w:rPr>
      </w:pPr>
    </w:p>
    <w:p w:rsidR="00EE3232" w:rsidRPr="00A21EFF" w:rsidRDefault="00EE3232" w:rsidP="00EE3232">
      <w:pPr>
        <w:jc w:val="both"/>
        <w:rPr>
          <w:rFonts w:cs="Arial"/>
          <w:sz w:val="20"/>
        </w:rPr>
      </w:pPr>
      <w:r w:rsidRPr="00A21EFF">
        <w:rPr>
          <w:rFonts w:cs="Arial"/>
          <w:sz w:val="20"/>
        </w:rPr>
        <w:t xml:space="preserve">The information for the international comparisons </w:t>
      </w:r>
      <w:r>
        <w:rPr>
          <w:rFonts w:cs="Arial"/>
          <w:sz w:val="20"/>
        </w:rPr>
        <w:t xml:space="preserve">of income poverty and inequality </w:t>
      </w:r>
      <w:r w:rsidRPr="00A21EFF">
        <w:rPr>
          <w:rFonts w:cs="Arial"/>
          <w:sz w:val="20"/>
        </w:rPr>
        <w:t>in this section comes from two sources.</w:t>
      </w:r>
    </w:p>
    <w:p w:rsidR="00EE3232" w:rsidRPr="00A21EFF" w:rsidRDefault="00EE3232" w:rsidP="00EE3232">
      <w:pPr>
        <w:jc w:val="both"/>
        <w:rPr>
          <w:rFonts w:cs="Arial"/>
          <w:sz w:val="20"/>
        </w:rPr>
      </w:pPr>
    </w:p>
    <w:p w:rsidR="00EE3232" w:rsidRPr="00A21EFF" w:rsidRDefault="00EE3232" w:rsidP="00EE3232">
      <w:pPr>
        <w:jc w:val="both"/>
        <w:rPr>
          <w:rFonts w:cs="Arial"/>
          <w:sz w:val="20"/>
        </w:rPr>
      </w:pPr>
      <w:r w:rsidRPr="00A21EFF">
        <w:rPr>
          <w:rFonts w:cs="Arial"/>
          <w:sz w:val="20"/>
        </w:rPr>
        <w:t xml:space="preserve">The </w:t>
      </w:r>
      <w:r w:rsidRPr="00A21EFF">
        <w:rPr>
          <w:rFonts w:cs="Arial"/>
          <w:sz w:val="20"/>
          <w:u w:val="single"/>
        </w:rPr>
        <w:t xml:space="preserve">OECD </w:t>
      </w:r>
      <w:r>
        <w:rPr>
          <w:rFonts w:cs="Arial"/>
          <w:sz w:val="20"/>
          <w:u w:val="single"/>
        </w:rPr>
        <w:t xml:space="preserve">income inequality and poverty </w:t>
      </w:r>
      <w:r w:rsidRPr="00A21EFF">
        <w:rPr>
          <w:rFonts w:cs="Arial"/>
          <w:sz w:val="20"/>
          <w:u w:val="single"/>
        </w:rPr>
        <w:t>comparisons</w:t>
      </w:r>
      <w:r w:rsidRPr="00A21EFF">
        <w:rPr>
          <w:rFonts w:cs="Arial"/>
          <w:sz w:val="20"/>
        </w:rPr>
        <w:t xml:space="preserve"> come from information sent to the OECD by national experts using national datasets and based on common assumptions and definitions.  The OECD analysis for </w:t>
      </w:r>
      <w:smartTag w:uri="urn:schemas-microsoft-com:office:smarttags" w:element="place">
        <w:smartTag w:uri="urn:schemas-microsoft-com:office:smarttags" w:element="country-region">
          <w:r w:rsidRPr="00A21EFF">
            <w:rPr>
              <w:rFonts w:cs="Arial"/>
              <w:sz w:val="20"/>
            </w:rPr>
            <w:t>New Zealand</w:t>
          </w:r>
        </w:smartTag>
      </w:smartTag>
      <w:r w:rsidRPr="00A21EFF">
        <w:rPr>
          <w:rFonts w:cs="Arial"/>
          <w:sz w:val="20"/>
        </w:rPr>
        <w:t xml:space="preserve"> uses information supplied by Statistics New Zealand based on the </w:t>
      </w:r>
      <w:r>
        <w:rPr>
          <w:rFonts w:cs="Arial"/>
          <w:sz w:val="20"/>
        </w:rPr>
        <w:t>2008</w:t>
      </w:r>
      <w:r w:rsidRPr="00A21EFF">
        <w:rPr>
          <w:sz w:val="20"/>
        </w:rPr>
        <w:t>–</w:t>
      </w:r>
      <w:r>
        <w:rPr>
          <w:rFonts w:cs="Arial"/>
          <w:sz w:val="20"/>
        </w:rPr>
        <w:t xml:space="preserve">2009 </w:t>
      </w:r>
      <w:r w:rsidRPr="00A21EFF">
        <w:rPr>
          <w:rFonts w:cs="Arial"/>
          <w:sz w:val="20"/>
        </w:rPr>
        <w:t>HES</w:t>
      </w:r>
      <w:r>
        <w:rPr>
          <w:rFonts w:cs="Arial"/>
          <w:sz w:val="20"/>
        </w:rPr>
        <w:t>.</w:t>
      </w:r>
      <w:r w:rsidRPr="00A21EFF">
        <w:rPr>
          <w:rFonts w:cs="Arial"/>
          <w:sz w:val="20"/>
        </w:rPr>
        <w:t xml:space="preserve"> </w:t>
      </w:r>
      <w:r>
        <w:rPr>
          <w:rFonts w:cs="Arial"/>
          <w:sz w:val="20"/>
        </w:rPr>
        <w:t>The</w:t>
      </w:r>
      <w:r w:rsidRPr="00A21EFF">
        <w:rPr>
          <w:rFonts w:cs="Arial"/>
          <w:sz w:val="20"/>
        </w:rPr>
        <w:t xml:space="preserve"> latest comparisons across the OECD as a whole are available </w:t>
      </w:r>
      <w:r>
        <w:rPr>
          <w:rFonts w:cs="Arial"/>
          <w:sz w:val="20"/>
        </w:rPr>
        <w:t>for most countries for c 2008 and 2009.</w:t>
      </w:r>
      <w:r w:rsidRPr="00A21EFF">
        <w:rPr>
          <w:rStyle w:val="FootnoteReference"/>
          <w:rFonts w:cs="Arial"/>
          <w:sz w:val="20"/>
        </w:rPr>
        <w:footnoteReference w:id="83"/>
      </w:r>
    </w:p>
    <w:p w:rsidR="00EE3232" w:rsidRPr="00A21EFF" w:rsidRDefault="00EE3232" w:rsidP="00EE3232">
      <w:pPr>
        <w:jc w:val="both"/>
        <w:rPr>
          <w:rFonts w:cs="Arial"/>
          <w:sz w:val="20"/>
        </w:rPr>
      </w:pPr>
    </w:p>
    <w:p w:rsidR="00EE3232" w:rsidRPr="00A21EFF" w:rsidRDefault="00EE3232" w:rsidP="00EE3232">
      <w:pPr>
        <w:jc w:val="both"/>
        <w:rPr>
          <w:rFonts w:cs="Arial"/>
          <w:sz w:val="20"/>
        </w:rPr>
      </w:pPr>
      <w:r w:rsidRPr="00A21EFF">
        <w:rPr>
          <w:rFonts w:cs="Arial"/>
          <w:sz w:val="20"/>
        </w:rPr>
        <w:t xml:space="preserve">The only significant difference between the OECD assumptions and definitions and those used in the rest of this report for </w:t>
      </w:r>
      <w:r>
        <w:rPr>
          <w:rFonts w:cs="Arial"/>
          <w:sz w:val="20"/>
        </w:rPr>
        <w:t xml:space="preserve">New Zealand </w:t>
      </w:r>
      <w:smartTag w:uri="urn:schemas-microsoft-com:office:smarttags" w:element="stockticker">
        <w:r w:rsidRPr="00A21EFF">
          <w:rPr>
            <w:rFonts w:cs="Arial"/>
            <w:sz w:val="20"/>
          </w:rPr>
          <w:t>BHC</w:t>
        </w:r>
      </w:smartTag>
      <w:r w:rsidRPr="00A21EFF">
        <w:rPr>
          <w:rFonts w:cs="Arial"/>
          <w:sz w:val="20"/>
        </w:rPr>
        <w:t xml:space="preserve"> analysis is that the OECD work uses an equivalence scale that treats children as costing the same as adults</w:t>
      </w:r>
      <w:r>
        <w:rPr>
          <w:rFonts w:cs="Arial"/>
          <w:sz w:val="20"/>
        </w:rPr>
        <w:t xml:space="preserve"> (the ‘square root scale’)</w:t>
      </w:r>
      <w:r w:rsidRPr="00A21EFF">
        <w:rPr>
          <w:rFonts w:cs="Arial"/>
          <w:sz w:val="20"/>
        </w:rPr>
        <w:t xml:space="preserve">.  This difference generally has only a small to modest impact on the level of various indicators at a given time, and </w:t>
      </w:r>
      <w:r>
        <w:rPr>
          <w:rFonts w:cs="Arial"/>
          <w:sz w:val="20"/>
        </w:rPr>
        <w:t xml:space="preserve">a quite </w:t>
      </w:r>
      <w:r w:rsidRPr="00A21EFF">
        <w:rPr>
          <w:rFonts w:cs="Arial"/>
          <w:sz w:val="20"/>
        </w:rPr>
        <w:t>limited impact on trend analysis over time.  The use of different equivalence scales can produce different directions for changes from one survey to the next when the changes are small</w:t>
      </w:r>
      <w:r>
        <w:rPr>
          <w:rFonts w:cs="Arial"/>
          <w:sz w:val="20"/>
        </w:rPr>
        <w:t>.  Long-</w:t>
      </w:r>
      <w:r w:rsidRPr="00A21EFF">
        <w:rPr>
          <w:rFonts w:cs="Arial"/>
          <w:sz w:val="20"/>
        </w:rPr>
        <w:t>term trends are not affected.</w:t>
      </w:r>
      <w:r w:rsidRPr="00A21EFF">
        <w:rPr>
          <w:rStyle w:val="FootnoteReference"/>
          <w:rFonts w:cs="Arial"/>
          <w:sz w:val="20"/>
        </w:rPr>
        <w:t xml:space="preserve"> </w:t>
      </w:r>
      <w:r w:rsidRPr="00A21EFF">
        <w:rPr>
          <w:rStyle w:val="FootnoteReference"/>
          <w:rFonts w:cs="Arial"/>
          <w:sz w:val="20"/>
        </w:rPr>
        <w:footnoteReference w:id="84"/>
      </w:r>
    </w:p>
    <w:p w:rsidR="00EE3232" w:rsidRPr="00A21EFF" w:rsidRDefault="00EE3232" w:rsidP="00EE3232">
      <w:pPr>
        <w:jc w:val="both"/>
        <w:rPr>
          <w:rFonts w:cs="Arial"/>
          <w:sz w:val="20"/>
        </w:rPr>
      </w:pPr>
    </w:p>
    <w:p w:rsidR="00EE3232" w:rsidRDefault="00EE3232" w:rsidP="00EE3232">
      <w:pPr>
        <w:jc w:val="both"/>
        <w:rPr>
          <w:rFonts w:cs="Arial"/>
          <w:sz w:val="20"/>
        </w:rPr>
      </w:pPr>
      <w:r w:rsidRPr="00A21EFF">
        <w:rPr>
          <w:rFonts w:cs="Arial"/>
          <w:sz w:val="20"/>
        </w:rPr>
        <w:t>The comparisons with the EU an</w:t>
      </w:r>
      <w:r>
        <w:rPr>
          <w:rFonts w:cs="Arial"/>
          <w:sz w:val="20"/>
        </w:rPr>
        <w:t>d other European countries draw</w:t>
      </w:r>
      <w:r w:rsidRPr="00A21EFF">
        <w:rPr>
          <w:rFonts w:cs="Arial"/>
          <w:sz w:val="20"/>
        </w:rPr>
        <w:t xml:space="preserve"> mainly on information compiled by </w:t>
      </w:r>
      <w:r w:rsidRPr="00A21EFF">
        <w:rPr>
          <w:rFonts w:cs="Arial"/>
          <w:sz w:val="20"/>
          <w:u w:val="single"/>
        </w:rPr>
        <w:t>Eurostat for the EU</w:t>
      </w:r>
      <w:r w:rsidRPr="00A21EFF">
        <w:rPr>
          <w:rFonts w:cs="Arial"/>
          <w:sz w:val="20"/>
        </w:rPr>
        <w:t xml:space="preserve"> and other European countries.  The equivalence scale used in this source is almost identical to the Revised J</w:t>
      </w:r>
      <w:r>
        <w:rPr>
          <w:rFonts w:cs="Arial"/>
          <w:sz w:val="20"/>
        </w:rPr>
        <w:t xml:space="preserve">ensen Scale used in this report for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analysis.</w:t>
      </w:r>
    </w:p>
    <w:p w:rsidR="00EE3232" w:rsidRDefault="00EE3232" w:rsidP="00EE3232">
      <w:pPr>
        <w:jc w:val="both"/>
        <w:rPr>
          <w:rFonts w:cs="Arial"/>
          <w:sz w:val="20"/>
        </w:rPr>
      </w:pPr>
    </w:p>
    <w:p w:rsidR="00EE3232" w:rsidRPr="00A21EFF" w:rsidRDefault="00EE3232" w:rsidP="00EE3232">
      <w:pPr>
        <w:jc w:val="both"/>
        <w:rPr>
          <w:rFonts w:cs="Arial"/>
          <w:sz w:val="20"/>
        </w:rPr>
      </w:pPr>
      <w:r>
        <w:rPr>
          <w:rFonts w:cs="Arial"/>
          <w:sz w:val="20"/>
        </w:rPr>
        <w:t xml:space="preserve">The information for international comparisons of wealth inequality comes from the </w:t>
      </w:r>
      <w:r>
        <w:rPr>
          <w:rFonts w:cs="Arial"/>
          <w:sz w:val="20"/>
          <w:u w:val="single"/>
        </w:rPr>
        <w:t>Luxembo</w:t>
      </w:r>
      <w:r w:rsidRPr="00110C1A">
        <w:rPr>
          <w:rFonts w:cs="Arial"/>
          <w:sz w:val="20"/>
          <w:u w:val="single"/>
        </w:rPr>
        <w:t>urg Wealth Study</w:t>
      </w:r>
      <w:r>
        <w:rPr>
          <w:rFonts w:cs="Arial"/>
          <w:sz w:val="20"/>
        </w:rPr>
        <w:t>, and New Zealand Treasury analysis of the 2003</w:t>
      </w:r>
      <w:r w:rsidRPr="00A21EFF">
        <w:rPr>
          <w:sz w:val="20"/>
        </w:rPr>
        <w:t>–</w:t>
      </w:r>
      <w:r>
        <w:rPr>
          <w:rFonts w:cs="Arial"/>
          <w:sz w:val="20"/>
        </w:rPr>
        <w:t xml:space="preserve">2004 wave of the Statistics New Zealand’s Survey of Family Income and Employment (SoFIE) dataset. </w:t>
      </w:r>
    </w:p>
    <w:p w:rsidR="00EE3232" w:rsidRDefault="00EE3232" w:rsidP="00EE3232">
      <w:pPr>
        <w:jc w:val="both"/>
        <w:rPr>
          <w:rFonts w:cs="Arial"/>
          <w:szCs w:val="22"/>
        </w:rPr>
      </w:pPr>
    </w:p>
    <w:p w:rsidR="00EE3232" w:rsidRDefault="00EE3232" w:rsidP="00EE3232">
      <w:pPr>
        <w:jc w:val="both"/>
        <w:rPr>
          <w:sz w:val="28"/>
          <w:szCs w:val="28"/>
        </w:rPr>
      </w:pPr>
    </w:p>
    <w:p w:rsidR="00EE3232" w:rsidRPr="00A21EFF" w:rsidRDefault="00EE3232" w:rsidP="00EE3232">
      <w:pPr>
        <w:jc w:val="both"/>
        <w:rPr>
          <w:b/>
          <w:sz w:val="24"/>
          <w:szCs w:val="28"/>
        </w:rPr>
      </w:pPr>
      <w:r w:rsidRPr="00A21EFF">
        <w:rPr>
          <w:b/>
          <w:sz w:val="24"/>
          <w:szCs w:val="28"/>
        </w:rPr>
        <w:t>International comparisons of income poverty</w:t>
      </w:r>
    </w:p>
    <w:p w:rsidR="00EE3232" w:rsidRPr="00A21EFF" w:rsidRDefault="00EE3232" w:rsidP="00EE3232">
      <w:pPr>
        <w:jc w:val="both"/>
        <w:rPr>
          <w:rFonts w:cs="Arial"/>
          <w:sz w:val="20"/>
          <w:szCs w:val="22"/>
        </w:rPr>
      </w:pPr>
    </w:p>
    <w:p w:rsidR="00EE3232" w:rsidRDefault="00EE3232" w:rsidP="00EE3232">
      <w:pPr>
        <w:jc w:val="both"/>
        <w:rPr>
          <w:rFonts w:cs="Arial"/>
          <w:sz w:val="20"/>
          <w:szCs w:val="22"/>
        </w:rPr>
      </w:pPr>
      <w:r w:rsidRPr="00A21EFF">
        <w:rPr>
          <w:rFonts w:cs="Arial"/>
          <w:sz w:val="20"/>
          <w:szCs w:val="22"/>
        </w:rPr>
        <w:t xml:space="preserve">The OECD poverty indicator uses a moving line approach with a 50% of median </w:t>
      </w:r>
      <w:smartTag w:uri="urn:schemas-microsoft-com:office:smarttags" w:element="stockticker">
        <w:r w:rsidRPr="00A21EFF">
          <w:rPr>
            <w:rFonts w:cs="Arial"/>
            <w:sz w:val="20"/>
            <w:szCs w:val="22"/>
          </w:rPr>
          <w:t>BHC</w:t>
        </w:r>
      </w:smartTag>
      <w:r w:rsidRPr="00A21EFF">
        <w:rPr>
          <w:rFonts w:cs="Arial"/>
          <w:sz w:val="20"/>
          <w:szCs w:val="22"/>
        </w:rPr>
        <w:t xml:space="preserve"> threshold.</w:t>
      </w:r>
      <w:r>
        <w:rPr>
          <w:rFonts w:cs="Arial"/>
          <w:sz w:val="20"/>
          <w:szCs w:val="22"/>
        </w:rPr>
        <w:t xml:space="preserve"> </w:t>
      </w:r>
      <w:r w:rsidRPr="00A21EFF">
        <w:rPr>
          <w:rFonts w:cs="Arial"/>
          <w:sz w:val="20"/>
          <w:szCs w:val="22"/>
        </w:rPr>
        <w:t xml:space="preserve">The EU poverty indicator uses a moving line 60% of median </w:t>
      </w:r>
      <w:smartTag w:uri="urn:schemas-microsoft-com:office:smarttags" w:element="stockticker">
        <w:r w:rsidRPr="00A21EFF">
          <w:rPr>
            <w:rFonts w:cs="Arial"/>
            <w:sz w:val="20"/>
            <w:szCs w:val="22"/>
          </w:rPr>
          <w:t>BHC</w:t>
        </w:r>
      </w:smartTag>
      <w:r w:rsidRPr="00A21EFF">
        <w:rPr>
          <w:rFonts w:cs="Arial"/>
          <w:sz w:val="20"/>
          <w:szCs w:val="22"/>
        </w:rPr>
        <w:t xml:space="preserve"> threshold.</w:t>
      </w:r>
    </w:p>
    <w:p w:rsidR="00EE3232" w:rsidRDefault="00EE3232" w:rsidP="00EE3232">
      <w:pPr>
        <w:jc w:val="both"/>
        <w:rPr>
          <w:rFonts w:cs="Arial"/>
          <w:sz w:val="20"/>
          <w:szCs w:val="22"/>
        </w:rPr>
      </w:pPr>
    </w:p>
    <w:p w:rsidR="00EE3232" w:rsidRDefault="00EE3232" w:rsidP="00EE3232">
      <w:pPr>
        <w:pStyle w:val="ReportBody"/>
        <w:numPr>
          <w:ilvl w:val="0"/>
          <w:numId w:val="0"/>
        </w:numPr>
        <w:spacing w:after="0" w:line="240" w:lineRule="auto"/>
        <w:rPr>
          <w:sz w:val="20"/>
        </w:rPr>
      </w:pPr>
      <w:r>
        <w:rPr>
          <w:sz w:val="20"/>
        </w:rPr>
        <w:t xml:space="preserve">Comparing poverty rates across countries using the OECD or EU approaches is essentially a comparison of the proportion of households that have incomes more than a defined distance from middle incomes for each country.   This is consistent with the relative disadvantage notion of poverty and can be useful when looking at trends and relativities within a country.  If understood properly, it can also be a useful way of comparing how dispersed or compressed the income distribution is below the median on a country by country basis.    </w:t>
      </w:r>
    </w:p>
    <w:p w:rsidR="00EE3232" w:rsidRDefault="00EE3232" w:rsidP="00EE3232">
      <w:pPr>
        <w:pStyle w:val="ReportBody"/>
        <w:numPr>
          <w:ilvl w:val="0"/>
          <w:numId w:val="0"/>
        </w:numPr>
        <w:spacing w:after="0" w:line="240" w:lineRule="auto"/>
        <w:rPr>
          <w:sz w:val="20"/>
        </w:rPr>
      </w:pPr>
    </w:p>
    <w:p w:rsidR="00EE3232" w:rsidRDefault="00EE3232" w:rsidP="00EE3232">
      <w:pPr>
        <w:pStyle w:val="ReportBody"/>
        <w:numPr>
          <w:ilvl w:val="0"/>
          <w:numId w:val="0"/>
        </w:numPr>
        <w:spacing w:after="0" w:line="240" w:lineRule="auto"/>
        <w:rPr>
          <w:sz w:val="20"/>
        </w:rPr>
      </w:pPr>
      <w:r>
        <w:rPr>
          <w:sz w:val="20"/>
        </w:rPr>
        <w:t xml:space="preserve">A major difficulty arises, however, when international league tables of poverty rates are seen as ranking countries by their poverty rates understood in terms of the proportion of the population experiencing poor material living conditions assessed against some common international standard.   This is still a relative perspective, but the reference is no longer the middle incomes of a particular country, but some notion of minimum acceptable living conditions that is the same for each country.  </w:t>
      </w:r>
    </w:p>
    <w:p w:rsidR="00EE3232" w:rsidRDefault="00EE3232" w:rsidP="00EE3232">
      <w:pPr>
        <w:pStyle w:val="ReportBody"/>
        <w:numPr>
          <w:ilvl w:val="0"/>
          <w:numId w:val="0"/>
        </w:numPr>
        <w:spacing w:after="0" w:line="240" w:lineRule="auto"/>
        <w:rPr>
          <w:sz w:val="20"/>
        </w:rPr>
      </w:pPr>
    </w:p>
    <w:p w:rsidR="00EE3232" w:rsidRDefault="00EE3232" w:rsidP="00EE3232">
      <w:pPr>
        <w:pStyle w:val="Heading2"/>
        <w:jc w:val="both"/>
        <w:rPr>
          <w:b w:val="0"/>
          <w:sz w:val="20"/>
          <w:szCs w:val="22"/>
        </w:rPr>
      </w:pPr>
      <w:r>
        <w:rPr>
          <w:b w:val="0"/>
          <w:sz w:val="20"/>
          <w:szCs w:val="22"/>
        </w:rPr>
        <w:t xml:space="preserve">For example, using the 60% of median EU measure, the </w:t>
      </w:r>
      <w:smartTag w:uri="urn:schemas-microsoft-com:office:smarttags" w:element="PlaceName">
        <w:r>
          <w:rPr>
            <w:b w:val="0"/>
            <w:sz w:val="20"/>
            <w:szCs w:val="22"/>
          </w:rPr>
          <w:t>Czech</w:t>
        </w:r>
      </w:smartTag>
      <w:r>
        <w:rPr>
          <w:b w:val="0"/>
          <w:sz w:val="20"/>
          <w:szCs w:val="22"/>
        </w:rPr>
        <w:t xml:space="preserve"> </w:t>
      </w:r>
      <w:smartTag w:uri="urn:schemas-microsoft-com:office:smarttags" w:element="PlaceType">
        <w:r>
          <w:rPr>
            <w:b w:val="0"/>
            <w:sz w:val="20"/>
            <w:szCs w:val="22"/>
          </w:rPr>
          <w:t>Republic</w:t>
        </w:r>
      </w:smartTag>
      <w:r>
        <w:rPr>
          <w:b w:val="0"/>
          <w:sz w:val="20"/>
          <w:szCs w:val="22"/>
        </w:rPr>
        <w:t xml:space="preserve"> has a poverty rate (10%) that is lower than the rates for </w:t>
      </w:r>
      <w:smartTag w:uri="urn:schemas-microsoft-com:office:smarttags" w:element="country-region">
        <w:r>
          <w:rPr>
            <w:b w:val="0"/>
            <w:sz w:val="20"/>
            <w:szCs w:val="22"/>
          </w:rPr>
          <w:t>Denmark</w:t>
        </w:r>
      </w:smartTag>
      <w:r>
        <w:rPr>
          <w:b w:val="0"/>
          <w:sz w:val="20"/>
          <w:szCs w:val="22"/>
        </w:rPr>
        <w:t xml:space="preserve">, </w:t>
      </w:r>
      <w:smartTag w:uri="urn:schemas-microsoft-com:office:smarttags" w:element="country-region">
        <w:r>
          <w:rPr>
            <w:b w:val="0"/>
            <w:sz w:val="20"/>
            <w:szCs w:val="22"/>
          </w:rPr>
          <w:t>Sweden</w:t>
        </w:r>
      </w:smartTag>
      <w:r>
        <w:rPr>
          <w:b w:val="0"/>
          <w:sz w:val="20"/>
          <w:szCs w:val="22"/>
        </w:rPr>
        <w:t xml:space="preserve"> and </w:t>
      </w:r>
      <w:smartTag w:uri="urn:schemas-microsoft-com:office:smarttags" w:element="country-region">
        <w:r>
          <w:rPr>
            <w:b w:val="0"/>
            <w:sz w:val="20"/>
            <w:szCs w:val="22"/>
          </w:rPr>
          <w:t>France</w:t>
        </w:r>
      </w:smartTag>
      <w:r>
        <w:rPr>
          <w:b w:val="0"/>
          <w:sz w:val="20"/>
          <w:szCs w:val="22"/>
        </w:rPr>
        <w:t xml:space="preserve"> (13%), yet the poverty lines in each </w:t>
      </w:r>
      <w:r>
        <w:rPr>
          <w:b w:val="0"/>
          <w:sz w:val="20"/>
          <w:szCs w:val="22"/>
        </w:rPr>
        <w:lastRenderedPageBreak/>
        <w:t xml:space="preserve">of the latter three countries are all above the median household income level for the </w:t>
      </w:r>
      <w:smartTag w:uri="urn:schemas-microsoft-com:office:smarttags" w:element="place">
        <w:smartTag w:uri="urn:schemas-microsoft-com:office:smarttags" w:element="country-region">
          <w:r>
            <w:rPr>
              <w:b w:val="0"/>
              <w:sz w:val="20"/>
              <w:szCs w:val="22"/>
            </w:rPr>
            <w:t>Czech Republic</w:t>
          </w:r>
        </w:smartTag>
      </w:smartTag>
      <w:r>
        <w:rPr>
          <w:b w:val="0"/>
          <w:sz w:val="20"/>
          <w:szCs w:val="22"/>
        </w:rPr>
        <w:t xml:space="preserve">.  What this means is that the </w:t>
      </w:r>
      <w:smartTag w:uri="urn:schemas-microsoft-com:office:smarttags" w:element="place">
        <w:smartTag w:uri="urn:schemas-microsoft-com:office:smarttags" w:element="PlaceName">
          <w:r>
            <w:rPr>
              <w:b w:val="0"/>
              <w:sz w:val="20"/>
              <w:szCs w:val="22"/>
            </w:rPr>
            <w:t>Czech</w:t>
          </w:r>
        </w:smartTag>
        <w:r>
          <w:rPr>
            <w:b w:val="0"/>
            <w:sz w:val="20"/>
            <w:szCs w:val="22"/>
          </w:rPr>
          <w:t xml:space="preserve"> </w:t>
        </w:r>
        <w:smartTag w:uri="urn:schemas-microsoft-com:office:smarttags" w:element="PlaceType">
          <w:r>
            <w:rPr>
              <w:b w:val="0"/>
              <w:sz w:val="20"/>
              <w:szCs w:val="22"/>
            </w:rPr>
            <w:t>Republic</w:t>
          </w:r>
        </w:smartTag>
      </w:smartTag>
      <w:r>
        <w:rPr>
          <w:b w:val="0"/>
          <w:sz w:val="20"/>
          <w:szCs w:val="22"/>
        </w:rPr>
        <w:t xml:space="preserve"> has less inequality in the lower half of the income distribution than the others </w:t>
      </w:r>
      <w:r w:rsidRPr="00A21EFF">
        <w:rPr>
          <w:sz w:val="20"/>
        </w:rPr>
        <w:t>–</w:t>
      </w:r>
      <w:r>
        <w:rPr>
          <w:b w:val="0"/>
          <w:sz w:val="20"/>
          <w:szCs w:val="22"/>
        </w:rPr>
        <w:t xml:space="preserve"> a smaller proportion more than 40% below the Czech median than other countries.  The figures are often mistakenly interpreted, however, as if the league table ranking means that the </w:t>
      </w:r>
      <w:smartTag w:uri="urn:schemas-microsoft-com:office:smarttags" w:element="place">
        <w:smartTag w:uri="urn:schemas-microsoft-com:office:smarttags" w:element="country-region">
          <w:r>
            <w:rPr>
              <w:b w:val="0"/>
              <w:sz w:val="20"/>
              <w:szCs w:val="22"/>
            </w:rPr>
            <w:t>Czech Republic</w:t>
          </w:r>
        </w:smartTag>
      </w:smartTag>
      <w:r>
        <w:rPr>
          <w:b w:val="0"/>
          <w:sz w:val="20"/>
          <w:szCs w:val="22"/>
        </w:rPr>
        <w:t xml:space="preserve"> is doing better than the others for less well-off citizens against some unstated international reference level. </w:t>
      </w:r>
    </w:p>
    <w:p w:rsidR="00EE3232" w:rsidRDefault="00EE3232" w:rsidP="00EE3232">
      <w:pPr>
        <w:rPr>
          <w:lang w:val="en-NZ"/>
        </w:rPr>
      </w:pPr>
    </w:p>
    <w:p w:rsidR="00EE3232" w:rsidRDefault="00EE3232" w:rsidP="00EE3232">
      <w:pPr>
        <w:jc w:val="both"/>
        <w:rPr>
          <w:sz w:val="20"/>
          <w:lang w:val="en-NZ"/>
        </w:rPr>
      </w:pPr>
      <w:r>
        <w:rPr>
          <w:sz w:val="20"/>
          <w:lang w:val="en-NZ"/>
        </w:rPr>
        <w:t xml:space="preserve">The issues are well </w:t>
      </w:r>
      <w:r w:rsidRPr="005A113A">
        <w:rPr>
          <w:sz w:val="20"/>
          <w:lang w:val="en-NZ"/>
        </w:rPr>
        <w:t>illustrated in the two scatter-plots below.</w:t>
      </w:r>
      <w:r>
        <w:rPr>
          <w:sz w:val="20"/>
          <w:lang w:val="en-NZ"/>
        </w:rPr>
        <w:t xml:space="preserve">  The charts draw on data from the OECD’s 2011 </w:t>
      </w:r>
      <w:r w:rsidRPr="005A113A">
        <w:rPr>
          <w:i/>
          <w:sz w:val="20"/>
          <w:lang w:val="en-NZ"/>
        </w:rPr>
        <w:t>Society at a G</w:t>
      </w:r>
      <w:r>
        <w:rPr>
          <w:i/>
          <w:sz w:val="20"/>
          <w:lang w:val="en-NZ"/>
        </w:rPr>
        <w:t>lan</w:t>
      </w:r>
      <w:r w:rsidRPr="005A113A">
        <w:rPr>
          <w:i/>
          <w:sz w:val="20"/>
          <w:lang w:val="en-NZ"/>
        </w:rPr>
        <w:t>ce</w:t>
      </w:r>
      <w:r>
        <w:rPr>
          <w:sz w:val="20"/>
          <w:lang w:val="en-NZ"/>
        </w:rPr>
        <w:t xml:space="preserve"> publication.  </w:t>
      </w:r>
      <w:r w:rsidRPr="00C62084">
        <w:rPr>
          <w:b/>
          <w:sz w:val="20"/>
          <w:lang w:val="en-NZ"/>
        </w:rPr>
        <w:t>Figure J.1</w:t>
      </w:r>
      <w:r>
        <w:rPr>
          <w:sz w:val="20"/>
          <w:lang w:val="en-NZ"/>
        </w:rPr>
        <w:t xml:space="preserve"> shows that there is very little relationship between income poverty rates for OECD countries and the proportion who report in </w:t>
      </w:r>
      <w:smartTag w:uri="urn:schemas-microsoft-com:office:smarttags" w:element="place">
        <w:smartTag w:uri="urn:schemas-microsoft-com:office:smarttags" w:element="City">
          <w:r>
            <w:rPr>
              <w:sz w:val="20"/>
              <w:lang w:val="en-NZ"/>
            </w:rPr>
            <w:t>Gallup</w:t>
          </w:r>
        </w:smartTag>
      </w:smartTag>
      <w:r>
        <w:rPr>
          <w:sz w:val="20"/>
          <w:lang w:val="en-NZ"/>
        </w:rPr>
        <w:t xml:space="preserve"> polls that they are finding it difficult or very difficult on their current income.  On the other hand </w:t>
      </w:r>
      <w:r w:rsidRPr="005D4101">
        <w:rPr>
          <w:b/>
          <w:sz w:val="20"/>
          <w:lang w:val="en-NZ"/>
        </w:rPr>
        <w:t>Figure J.2</w:t>
      </w:r>
      <w:r>
        <w:rPr>
          <w:sz w:val="20"/>
          <w:lang w:val="en-NZ"/>
        </w:rPr>
        <w:t xml:space="preserve"> shows that there is a reasonably strong relationship between median household incomes (made comparable through the use of USD Purchasing Power Parities) and the proportion reporting income difficulties.  </w:t>
      </w:r>
    </w:p>
    <w:p w:rsidR="00EE3232" w:rsidRDefault="00EE3232" w:rsidP="00EE3232">
      <w:pPr>
        <w:jc w:val="both"/>
        <w:rPr>
          <w:sz w:val="20"/>
          <w:lang w:val="en-NZ"/>
        </w:rPr>
      </w:pPr>
    </w:p>
    <w:p w:rsidR="00EE3232" w:rsidRPr="005A113A" w:rsidRDefault="00EE3232" w:rsidP="00EE3232">
      <w:pPr>
        <w:jc w:val="both"/>
        <w:rPr>
          <w:sz w:val="20"/>
          <w:lang w:val="en-NZ"/>
        </w:rPr>
      </w:pPr>
      <w:r>
        <w:rPr>
          <w:sz w:val="20"/>
          <w:lang w:val="en-NZ"/>
        </w:rPr>
        <w:t xml:space="preserve">It appears as if respondents to the </w:t>
      </w:r>
      <w:smartTag w:uri="urn:schemas-microsoft-com:office:smarttags" w:element="place">
        <w:smartTag w:uri="urn:schemas-microsoft-com:office:smarttags" w:element="City">
          <w:r>
            <w:rPr>
              <w:sz w:val="20"/>
              <w:lang w:val="en-NZ"/>
            </w:rPr>
            <w:t>Gallup</w:t>
          </w:r>
        </w:smartTag>
      </w:smartTag>
      <w:r>
        <w:rPr>
          <w:sz w:val="20"/>
          <w:lang w:val="en-NZ"/>
        </w:rPr>
        <w:t xml:space="preserve"> polls have in mind some notion of an internationally comparable minimum standard of living when they give their answers.  In contrast, income poverty rates use the median income levels within countries as the benchmarks.  The problem arises when people interpret the international income poverty league tables as if they were using a common cross-country standard and give an indication of ‘income difficulties’.  The EU faces this challenge even more pointedly than the OECD – for income poverty measurement, is the reference society the EU or the individual member country?</w:t>
      </w:r>
      <w:r>
        <w:rPr>
          <w:rStyle w:val="FootnoteReference"/>
          <w:sz w:val="20"/>
          <w:lang w:val="en-NZ"/>
        </w:rPr>
        <w:footnoteReference w:id="85"/>
      </w:r>
    </w:p>
    <w:p w:rsidR="00EE3232" w:rsidRDefault="00EE3232" w:rsidP="00EE3232">
      <w:pPr>
        <w:rPr>
          <w:lang w:val="en-NZ"/>
        </w:rPr>
      </w:pPr>
    </w:p>
    <w:p w:rsidR="00EE3232" w:rsidRPr="00385190" w:rsidRDefault="00EE3232" w:rsidP="00EE3232">
      <w:pPr>
        <w:jc w:val="center"/>
        <w:rPr>
          <w:rFonts w:cs="Arial"/>
          <w:b/>
          <w:sz w:val="18"/>
        </w:rPr>
      </w:pPr>
      <w:r w:rsidRPr="00385190">
        <w:rPr>
          <w:rFonts w:cs="Arial"/>
          <w:b/>
          <w:sz w:val="18"/>
        </w:rPr>
        <w:t>Figure J.</w:t>
      </w:r>
      <w:r>
        <w:rPr>
          <w:rFonts w:cs="Arial"/>
          <w:b/>
          <w:sz w:val="18"/>
        </w:rPr>
        <w:t>1</w:t>
      </w:r>
    </w:p>
    <w:p w:rsidR="00EE3232" w:rsidRDefault="00EE3232" w:rsidP="00EE3232">
      <w:pPr>
        <w:jc w:val="center"/>
        <w:rPr>
          <w:rFonts w:cs="Arial"/>
          <w:b/>
          <w:sz w:val="18"/>
        </w:rPr>
      </w:pPr>
      <w:r>
        <w:rPr>
          <w:rFonts w:cs="Arial"/>
          <w:b/>
          <w:sz w:val="18"/>
        </w:rPr>
        <w:t>Very weak relationship between income poverty and reported income difficulties</w:t>
      </w:r>
    </w:p>
    <w:p w:rsidR="00EE3232" w:rsidRPr="000921BD" w:rsidRDefault="00EC0BE0" w:rsidP="00EE3232">
      <w:pPr>
        <w:jc w:val="center"/>
        <w:rPr>
          <w:rFonts w:cs="Arial"/>
          <w:sz w:val="18"/>
          <w:u w:val="single"/>
        </w:rPr>
      </w:pPr>
      <w:r>
        <w:rPr>
          <w:noProof/>
          <w:lang w:val="en-US"/>
        </w:rPr>
        <w:drawing>
          <wp:inline distT="0" distB="0" distL="0" distR="0">
            <wp:extent cx="3114675" cy="19335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EE3232" w:rsidRDefault="00EE3232" w:rsidP="00EE3232">
      <w:pPr>
        <w:pStyle w:val="Heading2"/>
        <w:jc w:val="both"/>
        <w:rPr>
          <w:sz w:val="20"/>
          <w:szCs w:val="22"/>
        </w:rPr>
      </w:pPr>
    </w:p>
    <w:p w:rsidR="00EE3232" w:rsidRPr="00385190" w:rsidRDefault="00EE3232" w:rsidP="00EE3232">
      <w:pPr>
        <w:jc w:val="center"/>
        <w:rPr>
          <w:rFonts w:cs="Arial"/>
          <w:b/>
          <w:sz w:val="18"/>
        </w:rPr>
      </w:pPr>
      <w:r w:rsidRPr="00385190">
        <w:rPr>
          <w:rFonts w:cs="Arial"/>
          <w:b/>
          <w:sz w:val="18"/>
        </w:rPr>
        <w:t>Figure J.</w:t>
      </w:r>
      <w:r>
        <w:rPr>
          <w:rFonts w:cs="Arial"/>
          <w:b/>
          <w:sz w:val="18"/>
        </w:rPr>
        <w:t>2</w:t>
      </w:r>
    </w:p>
    <w:p w:rsidR="00EE3232" w:rsidRDefault="00EE3232" w:rsidP="00EE3232">
      <w:pPr>
        <w:jc w:val="center"/>
        <w:rPr>
          <w:rFonts w:cs="Arial"/>
          <w:b/>
          <w:sz w:val="18"/>
        </w:rPr>
      </w:pPr>
      <w:r>
        <w:rPr>
          <w:rFonts w:cs="Arial"/>
          <w:b/>
          <w:sz w:val="18"/>
        </w:rPr>
        <w:t>Strong negative relationship between median household incomes and reported income difficulties</w:t>
      </w:r>
    </w:p>
    <w:p w:rsidR="00EE3232" w:rsidRPr="000921BD" w:rsidRDefault="00EC0BE0" w:rsidP="00EE3232">
      <w:pPr>
        <w:pStyle w:val="Heading2"/>
        <w:jc w:val="center"/>
      </w:pPr>
      <w:r>
        <w:rPr>
          <w:noProof/>
          <w:lang w:val="en-US"/>
        </w:rPr>
        <w:drawing>
          <wp:inline distT="0" distB="0" distL="0" distR="0">
            <wp:extent cx="3162300" cy="1962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srcRect/>
                    <a:stretch>
                      <a:fillRect/>
                    </a:stretch>
                  </pic:blipFill>
                  <pic:spPr bwMode="auto">
                    <a:xfrm>
                      <a:off x="0" y="0"/>
                      <a:ext cx="3162300" cy="1962150"/>
                    </a:xfrm>
                    <a:prstGeom prst="rect">
                      <a:avLst/>
                    </a:prstGeom>
                    <a:noFill/>
                    <a:ln w="9525">
                      <a:noFill/>
                      <a:miter lim="800000"/>
                      <a:headEnd/>
                      <a:tailEnd/>
                    </a:ln>
                  </pic:spPr>
                </pic:pic>
              </a:graphicData>
            </a:graphic>
          </wp:inline>
        </w:drawing>
      </w:r>
    </w:p>
    <w:p w:rsidR="00EE3232" w:rsidRPr="004055FD" w:rsidRDefault="00EE3232" w:rsidP="00EE3232">
      <w:pPr>
        <w:spacing w:before="120"/>
        <w:ind w:left="2073" w:right="1627" w:hanging="446"/>
        <w:jc w:val="both"/>
        <w:rPr>
          <w:sz w:val="16"/>
          <w:szCs w:val="16"/>
          <w:lang w:val="en-NZ"/>
        </w:rPr>
      </w:pPr>
      <w:r>
        <w:rPr>
          <w:sz w:val="16"/>
          <w:szCs w:val="16"/>
          <w:lang w:val="en-NZ"/>
        </w:rPr>
        <w:t>Note</w:t>
      </w:r>
      <w:r w:rsidRPr="004055FD">
        <w:rPr>
          <w:sz w:val="16"/>
          <w:szCs w:val="16"/>
          <w:lang w:val="en-NZ"/>
        </w:rPr>
        <w:t xml:space="preserve">: </w:t>
      </w:r>
      <w:r>
        <w:rPr>
          <w:sz w:val="16"/>
          <w:szCs w:val="16"/>
          <w:lang w:val="en-NZ"/>
        </w:rPr>
        <w:tab/>
        <w:t>Two outliers (</w:t>
      </w:r>
      <w:smartTag w:uri="urn:schemas-microsoft-com:office:smarttags" w:element="country-region">
        <w:r>
          <w:rPr>
            <w:sz w:val="16"/>
            <w:szCs w:val="16"/>
            <w:lang w:val="en-NZ"/>
          </w:rPr>
          <w:t>Hungary</w:t>
        </w:r>
      </w:smartTag>
      <w:r>
        <w:rPr>
          <w:sz w:val="16"/>
          <w:szCs w:val="16"/>
          <w:lang w:val="en-NZ"/>
        </w:rPr>
        <w:t xml:space="preserve"> and </w:t>
      </w:r>
      <w:smartTag w:uri="urn:schemas-microsoft-com:office:smarttags" w:element="place">
        <w:smartTag w:uri="urn:schemas-microsoft-com:office:smarttags" w:element="country-region">
          <w:r>
            <w:rPr>
              <w:sz w:val="16"/>
              <w:szCs w:val="16"/>
              <w:lang w:val="en-NZ"/>
            </w:rPr>
            <w:t>Greece</w:t>
          </w:r>
        </w:smartTag>
      </w:smartTag>
      <w:r>
        <w:rPr>
          <w:sz w:val="16"/>
          <w:szCs w:val="16"/>
          <w:lang w:val="en-NZ"/>
        </w:rPr>
        <w:t>) have been removed.  When they are included the R-2 value drops to 0.61 – still a reasonably strong relationship.</w:t>
      </w:r>
    </w:p>
    <w:p w:rsidR="00EE3232" w:rsidRDefault="00EE3232" w:rsidP="00EE3232">
      <w:pPr>
        <w:pStyle w:val="Heading2"/>
        <w:jc w:val="center"/>
        <w:rPr>
          <w:sz w:val="20"/>
          <w:szCs w:val="22"/>
        </w:rPr>
      </w:pPr>
    </w:p>
    <w:p w:rsidR="00EE3232" w:rsidRDefault="00EE3232" w:rsidP="00EE3232">
      <w:pPr>
        <w:pStyle w:val="Heading2"/>
        <w:jc w:val="both"/>
        <w:rPr>
          <w:sz w:val="20"/>
          <w:szCs w:val="22"/>
        </w:rPr>
      </w:pPr>
      <w:r>
        <w:rPr>
          <w:sz w:val="20"/>
          <w:szCs w:val="22"/>
        </w:rPr>
        <w:br w:type="page"/>
      </w:r>
      <w:r w:rsidRPr="00A21EFF">
        <w:rPr>
          <w:sz w:val="20"/>
          <w:szCs w:val="22"/>
        </w:rPr>
        <w:lastRenderedPageBreak/>
        <w:t>International comparisons using non-monetary indicators</w:t>
      </w:r>
    </w:p>
    <w:p w:rsidR="00EE3232" w:rsidRDefault="00EE3232" w:rsidP="00EE3232">
      <w:pPr>
        <w:pStyle w:val="Heading2"/>
        <w:jc w:val="both"/>
        <w:rPr>
          <w:b w:val="0"/>
          <w:sz w:val="20"/>
          <w:szCs w:val="22"/>
        </w:rPr>
      </w:pPr>
    </w:p>
    <w:p w:rsidR="00EE3232" w:rsidRDefault="00EE3232" w:rsidP="00EE3232">
      <w:pPr>
        <w:pStyle w:val="Heading2"/>
        <w:jc w:val="both"/>
        <w:rPr>
          <w:b w:val="0"/>
          <w:sz w:val="20"/>
          <w:szCs w:val="22"/>
        </w:rPr>
      </w:pPr>
      <w:r>
        <w:rPr>
          <w:b w:val="0"/>
          <w:sz w:val="20"/>
          <w:szCs w:val="22"/>
        </w:rPr>
        <w:t>Partly in response to these concerns, the EU has developed and recently adopted a 9-item deprivation index based on non-monetary indicators as one of its primary social inclusion indicators.  T</w:t>
      </w:r>
      <w:r w:rsidRPr="00A21EFF">
        <w:rPr>
          <w:b w:val="0"/>
          <w:sz w:val="20"/>
          <w:szCs w:val="22"/>
        </w:rPr>
        <w:t xml:space="preserve">he OECD </w:t>
      </w:r>
      <w:r>
        <w:rPr>
          <w:b w:val="0"/>
          <w:sz w:val="20"/>
          <w:szCs w:val="22"/>
        </w:rPr>
        <w:t>is also</w:t>
      </w:r>
      <w:r w:rsidRPr="00A21EFF">
        <w:rPr>
          <w:b w:val="0"/>
          <w:sz w:val="20"/>
          <w:szCs w:val="22"/>
        </w:rPr>
        <w:t xml:space="preserve"> taking steps to develop international comparisons of material hardship based on non-monetary indicators.</w:t>
      </w:r>
      <w:r w:rsidRPr="00A21EFF">
        <w:rPr>
          <w:rStyle w:val="FootnoteReference"/>
          <w:b w:val="0"/>
          <w:sz w:val="20"/>
          <w:szCs w:val="22"/>
        </w:rPr>
        <w:footnoteReference w:id="86"/>
      </w:r>
      <w:r w:rsidRPr="00A21EFF">
        <w:rPr>
          <w:b w:val="0"/>
          <w:sz w:val="20"/>
          <w:szCs w:val="22"/>
        </w:rPr>
        <w:t xml:space="preserve">  </w:t>
      </w:r>
      <w:r>
        <w:rPr>
          <w:b w:val="0"/>
          <w:sz w:val="20"/>
          <w:szCs w:val="22"/>
        </w:rPr>
        <w:t xml:space="preserve"> </w:t>
      </w:r>
    </w:p>
    <w:p w:rsidR="00EE3232" w:rsidRDefault="00EE3232" w:rsidP="00EE3232">
      <w:pPr>
        <w:pStyle w:val="Heading2"/>
        <w:jc w:val="both"/>
        <w:rPr>
          <w:b w:val="0"/>
          <w:sz w:val="20"/>
          <w:szCs w:val="22"/>
        </w:rPr>
      </w:pPr>
    </w:p>
    <w:p w:rsidR="00EE3232" w:rsidRDefault="00EE3232" w:rsidP="00EE3232">
      <w:pPr>
        <w:pStyle w:val="Heading2"/>
        <w:jc w:val="both"/>
        <w:rPr>
          <w:b w:val="0"/>
          <w:sz w:val="20"/>
          <w:szCs w:val="22"/>
        </w:rPr>
      </w:pPr>
      <w:r w:rsidRPr="00A21EFF">
        <w:rPr>
          <w:b w:val="0"/>
          <w:sz w:val="20"/>
          <w:szCs w:val="22"/>
        </w:rPr>
        <w:t xml:space="preserve">Although these too have their challenges and limitations, they have the potential to provide another useful perspective to set alongside the comparisons based on income.  </w:t>
      </w:r>
    </w:p>
    <w:p w:rsidR="00EE3232" w:rsidRDefault="00EE3232" w:rsidP="00EE3232">
      <w:pPr>
        <w:pStyle w:val="Heading2"/>
        <w:jc w:val="both"/>
        <w:rPr>
          <w:b w:val="0"/>
          <w:sz w:val="20"/>
          <w:szCs w:val="22"/>
        </w:rPr>
      </w:pPr>
    </w:p>
    <w:p w:rsidR="00EE3232" w:rsidRPr="00995562" w:rsidRDefault="00EE3232" w:rsidP="00EE3232">
      <w:pPr>
        <w:pStyle w:val="Heading2"/>
        <w:jc w:val="both"/>
        <w:rPr>
          <w:b w:val="0"/>
          <w:sz w:val="20"/>
          <w:szCs w:val="22"/>
        </w:rPr>
      </w:pPr>
      <w:r w:rsidRPr="00A21EFF">
        <w:rPr>
          <w:b w:val="0"/>
          <w:sz w:val="20"/>
          <w:szCs w:val="22"/>
        </w:rPr>
        <w:t>The Ministry of Social Development’</w:t>
      </w:r>
      <w:r>
        <w:rPr>
          <w:b w:val="0"/>
          <w:sz w:val="20"/>
          <w:szCs w:val="22"/>
        </w:rPr>
        <w:t xml:space="preserve">s 2008 Living Standards Survey </w:t>
      </w:r>
      <w:r w:rsidRPr="00A21EFF">
        <w:rPr>
          <w:b w:val="0"/>
          <w:sz w:val="20"/>
          <w:szCs w:val="22"/>
        </w:rPr>
        <w:t>has items in it that allow comparisons of material deprivation with EU countries using non-monetary indicators.</w:t>
      </w:r>
      <w:r>
        <w:rPr>
          <w:b w:val="0"/>
          <w:sz w:val="20"/>
          <w:szCs w:val="22"/>
        </w:rPr>
        <w:t xml:space="preserve">  The findings from this stream of work are commended to readers.</w:t>
      </w:r>
      <w:r>
        <w:rPr>
          <w:rStyle w:val="FootnoteReference"/>
          <w:b w:val="0"/>
          <w:sz w:val="20"/>
          <w:szCs w:val="22"/>
        </w:rPr>
        <w:footnoteReference w:id="87"/>
      </w:r>
    </w:p>
    <w:p w:rsidR="00EE3232" w:rsidRPr="00A21EFF" w:rsidRDefault="00EE3232" w:rsidP="00EE3232">
      <w:pPr>
        <w:pStyle w:val="Heading2"/>
        <w:rPr>
          <w:sz w:val="20"/>
          <w:szCs w:val="22"/>
          <w:lang w:val="en-GB"/>
        </w:rPr>
      </w:pPr>
    </w:p>
    <w:p w:rsidR="00EE3232" w:rsidRDefault="00EE3232" w:rsidP="00EE3232">
      <w:pPr>
        <w:pStyle w:val="Heading2"/>
        <w:rPr>
          <w:sz w:val="20"/>
          <w:szCs w:val="22"/>
        </w:rPr>
      </w:pPr>
    </w:p>
    <w:p w:rsidR="00EE3232" w:rsidRPr="00A21EFF" w:rsidRDefault="00EE3232" w:rsidP="00EE3232">
      <w:pPr>
        <w:pStyle w:val="Heading2"/>
        <w:rPr>
          <w:sz w:val="20"/>
          <w:szCs w:val="22"/>
        </w:rPr>
      </w:pPr>
      <w:r w:rsidRPr="00A21EFF">
        <w:rPr>
          <w:sz w:val="20"/>
          <w:szCs w:val="22"/>
        </w:rPr>
        <w:t>Cautions when making comparisons between poverty figures across countries</w:t>
      </w:r>
      <w:r>
        <w:rPr>
          <w:sz w:val="20"/>
          <w:szCs w:val="22"/>
        </w:rPr>
        <w:t>: summary</w:t>
      </w:r>
    </w:p>
    <w:p w:rsidR="00EE3232" w:rsidRPr="00A21EFF" w:rsidRDefault="00EE3232" w:rsidP="00EE3232">
      <w:pPr>
        <w:pStyle w:val="ReportBody"/>
        <w:numPr>
          <w:ilvl w:val="0"/>
          <w:numId w:val="0"/>
        </w:numPr>
        <w:spacing w:after="0"/>
        <w:rPr>
          <w:sz w:val="20"/>
        </w:rPr>
      </w:pPr>
    </w:p>
    <w:p w:rsidR="00EE3232" w:rsidRPr="00A21EFF" w:rsidRDefault="00EE3232" w:rsidP="00EE3232">
      <w:pPr>
        <w:pStyle w:val="ReportBody"/>
        <w:numPr>
          <w:ilvl w:val="0"/>
          <w:numId w:val="0"/>
        </w:numPr>
        <w:spacing w:after="120"/>
        <w:rPr>
          <w:sz w:val="20"/>
        </w:rPr>
      </w:pPr>
      <w:r w:rsidRPr="00A21EFF">
        <w:rPr>
          <w:sz w:val="20"/>
        </w:rPr>
        <w:t>International league tables such as those produced by the OECD, Eurostat and UNICEF have a popular appeal, but need to be treated with considerable caution for several reasons:</w:t>
      </w:r>
    </w:p>
    <w:p w:rsidR="00EE3232" w:rsidRPr="00A21EFF" w:rsidRDefault="00EE3232" w:rsidP="00614C04">
      <w:pPr>
        <w:pStyle w:val="ReportBody"/>
        <w:numPr>
          <w:ilvl w:val="0"/>
          <w:numId w:val="49"/>
        </w:numPr>
        <w:tabs>
          <w:tab w:val="clear" w:pos="540"/>
        </w:tabs>
        <w:spacing w:after="120" w:line="240" w:lineRule="auto"/>
        <w:ind w:hanging="266"/>
        <w:rPr>
          <w:sz w:val="20"/>
        </w:rPr>
      </w:pPr>
      <w:r w:rsidRPr="00A21EFF">
        <w:rPr>
          <w:sz w:val="20"/>
        </w:rPr>
        <w:t>those identified as ‘poor’ in two countries which have the same or similar reported income poverty rates may have quite different actual day-to-day living standards</w:t>
      </w:r>
      <w:r>
        <w:rPr>
          <w:sz w:val="20"/>
        </w:rPr>
        <w:t xml:space="preserve"> (as discussed above)</w:t>
      </w:r>
    </w:p>
    <w:p w:rsidR="00EE3232" w:rsidRPr="00A21EFF" w:rsidRDefault="00EE3232" w:rsidP="00614C04">
      <w:pPr>
        <w:pStyle w:val="ReportBody"/>
        <w:numPr>
          <w:ilvl w:val="0"/>
          <w:numId w:val="49"/>
        </w:numPr>
        <w:tabs>
          <w:tab w:val="clear" w:pos="540"/>
        </w:tabs>
        <w:spacing w:after="120" w:line="240" w:lineRule="auto"/>
        <w:ind w:hanging="266"/>
        <w:rPr>
          <w:sz w:val="20"/>
        </w:rPr>
      </w:pPr>
      <w:r w:rsidRPr="00A21EFF">
        <w:rPr>
          <w:sz w:val="20"/>
        </w:rPr>
        <w:t>poverty rates for countries can bunch together, and small differences in rates can mean very large differences in rankings – comparison with the median or average is therefore often more useful than the ranking itself</w:t>
      </w:r>
      <w:r>
        <w:rPr>
          <w:sz w:val="20"/>
        </w:rPr>
        <w:t xml:space="preserve"> for assessing or summarising relative performance</w:t>
      </w:r>
    </w:p>
    <w:p w:rsidR="00EE3232" w:rsidRDefault="00EE3232" w:rsidP="00614C04">
      <w:pPr>
        <w:pStyle w:val="ReportBody"/>
        <w:numPr>
          <w:ilvl w:val="0"/>
          <w:numId w:val="49"/>
        </w:numPr>
        <w:tabs>
          <w:tab w:val="clear" w:pos="540"/>
        </w:tabs>
        <w:spacing w:after="0" w:line="240" w:lineRule="auto"/>
        <w:ind w:hanging="266"/>
        <w:rPr>
          <w:sz w:val="20"/>
        </w:rPr>
      </w:pPr>
      <w:r w:rsidRPr="00A21EFF">
        <w:rPr>
          <w:sz w:val="20"/>
        </w:rPr>
        <w:t>some countries’ reported rates can change significantly from year to year on a moving line (</w:t>
      </w:r>
      <w:smartTag w:uri="urn:schemas-microsoft-com:office:smarttags" w:element="stockticker">
        <w:r w:rsidRPr="00A21EFF">
          <w:rPr>
            <w:sz w:val="20"/>
          </w:rPr>
          <w:t>REL</w:t>
        </w:r>
      </w:smartTag>
      <w:r w:rsidRPr="00A21EFF">
        <w:rPr>
          <w:sz w:val="20"/>
        </w:rPr>
        <w:t>) approach, thus making the choice of comparison years crucial when reporting rankings.</w:t>
      </w:r>
      <w:r w:rsidRPr="00A21EFF">
        <w:rPr>
          <w:rStyle w:val="FootnoteReference"/>
          <w:sz w:val="20"/>
        </w:rPr>
        <w:footnoteReference w:id="88"/>
      </w:r>
    </w:p>
    <w:p w:rsidR="00EE3232" w:rsidRDefault="00EE3232" w:rsidP="00EE3232">
      <w:pPr>
        <w:jc w:val="both"/>
        <w:rPr>
          <w:rFonts w:cs="Arial"/>
          <w:b/>
          <w:sz w:val="20"/>
          <w:szCs w:val="22"/>
        </w:rPr>
      </w:pPr>
    </w:p>
    <w:p w:rsidR="00EE3232" w:rsidRPr="00A21EFF" w:rsidRDefault="00EE3232" w:rsidP="00EE3232">
      <w:pPr>
        <w:jc w:val="both"/>
        <w:rPr>
          <w:rFonts w:cs="Arial"/>
          <w:b/>
          <w:sz w:val="20"/>
          <w:szCs w:val="22"/>
        </w:rPr>
      </w:pPr>
      <w:r>
        <w:rPr>
          <w:rFonts w:cs="Arial"/>
          <w:b/>
          <w:sz w:val="20"/>
          <w:szCs w:val="22"/>
        </w:rPr>
        <w:br w:type="page"/>
      </w:r>
      <w:r w:rsidRPr="00A21EFF">
        <w:rPr>
          <w:rFonts w:cs="Arial"/>
          <w:b/>
          <w:sz w:val="20"/>
          <w:szCs w:val="22"/>
        </w:rPr>
        <w:lastRenderedPageBreak/>
        <w:t xml:space="preserve">Population poverty using a 50% </w:t>
      </w:r>
      <w:smartTag w:uri="urn:schemas-microsoft-com:office:smarttags" w:element="stockticker">
        <w:r w:rsidRPr="00A21EFF">
          <w:rPr>
            <w:rFonts w:cs="Arial"/>
            <w:b/>
            <w:sz w:val="20"/>
            <w:szCs w:val="22"/>
          </w:rPr>
          <w:t>BHC</w:t>
        </w:r>
      </w:smartTag>
      <w:r w:rsidRPr="00A21EFF">
        <w:rPr>
          <w:rFonts w:cs="Arial"/>
          <w:b/>
          <w:sz w:val="20"/>
          <w:szCs w:val="22"/>
        </w:rPr>
        <w:t xml:space="preserve"> threshold</w:t>
      </w:r>
    </w:p>
    <w:p w:rsidR="00EE3232" w:rsidRPr="00A21EFF" w:rsidRDefault="00EE3232" w:rsidP="00EE3232">
      <w:pPr>
        <w:tabs>
          <w:tab w:val="left" w:pos="540"/>
        </w:tabs>
        <w:ind w:left="180"/>
        <w:jc w:val="both"/>
        <w:rPr>
          <w:rFonts w:cs="Arial"/>
          <w:sz w:val="20"/>
          <w:szCs w:val="22"/>
        </w:rPr>
      </w:pPr>
    </w:p>
    <w:p w:rsidR="00EE3232" w:rsidRPr="00A21EFF" w:rsidRDefault="00EE3232" w:rsidP="00614C04">
      <w:pPr>
        <w:numPr>
          <w:ilvl w:val="0"/>
          <w:numId w:val="47"/>
        </w:numPr>
        <w:tabs>
          <w:tab w:val="clear" w:pos="720"/>
          <w:tab w:val="left" w:pos="540"/>
        </w:tabs>
        <w:spacing w:after="120"/>
        <w:ind w:left="547"/>
        <w:jc w:val="both"/>
        <w:rPr>
          <w:rFonts w:cs="Arial"/>
          <w:sz w:val="20"/>
          <w:szCs w:val="22"/>
        </w:rPr>
      </w:pPr>
      <w:r w:rsidRPr="00A21EFF">
        <w:rPr>
          <w:rFonts w:cs="Arial"/>
          <w:sz w:val="20"/>
          <w:szCs w:val="22"/>
        </w:rPr>
        <w:t xml:space="preserve">On the OECD 50% </w:t>
      </w:r>
      <w:r>
        <w:rPr>
          <w:rFonts w:cs="Arial"/>
          <w:sz w:val="20"/>
          <w:szCs w:val="22"/>
        </w:rPr>
        <w:t>of median moving line (</w:t>
      </w:r>
      <w:smartTag w:uri="urn:schemas-microsoft-com:office:smarttags" w:element="stockticker">
        <w:r>
          <w:rPr>
            <w:rFonts w:cs="Arial"/>
            <w:sz w:val="20"/>
            <w:szCs w:val="22"/>
          </w:rPr>
          <w:t>REL</w:t>
        </w:r>
      </w:smartTag>
      <w:r>
        <w:rPr>
          <w:rFonts w:cs="Arial"/>
          <w:sz w:val="20"/>
          <w:szCs w:val="22"/>
        </w:rPr>
        <w:t>)</w:t>
      </w:r>
      <w:r w:rsidRPr="00A21EFF">
        <w:rPr>
          <w:rFonts w:cs="Arial"/>
          <w:sz w:val="20"/>
          <w:szCs w:val="22"/>
        </w:rPr>
        <w:t xml:space="preserve"> measure, the average New Zealand rate through the mid 1990s (1994 to 1996) was 9%, which was at the OECD median. </w:t>
      </w:r>
    </w:p>
    <w:p w:rsidR="00EE3232" w:rsidRPr="00A21EFF" w:rsidRDefault="00EE3232" w:rsidP="00614C04">
      <w:pPr>
        <w:numPr>
          <w:ilvl w:val="0"/>
          <w:numId w:val="47"/>
        </w:numPr>
        <w:tabs>
          <w:tab w:val="clear" w:pos="720"/>
          <w:tab w:val="left" w:pos="540"/>
        </w:tabs>
        <w:spacing w:after="120"/>
        <w:ind w:left="547"/>
        <w:jc w:val="both"/>
        <w:rPr>
          <w:rFonts w:cs="Arial"/>
          <w:sz w:val="20"/>
          <w:szCs w:val="22"/>
        </w:rPr>
      </w:pPr>
      <w:r w:rsidRPr="00A21EFF">
        <w:rPr>
          <w:rFonts w:cs="Arial"/>
          <w:sz w:val="20"/>
          <w:szCs w:val="22"/>
        </w:rPr>
        <w:t>By the time of the 200</w:t>
      </w:r>
      <w:r>
        <w:rPr>
          <w:rFonts w:cs="Arial"/>
          <w:sz w:val="20"/>
          <w:szCs w:val="22"/>
        </w:rPr>
        <w:t>9</w:t>
      </w:r>
      <w:r w:rsidRPr="00A21EFF">
        <w:rPr>
          <w:rFonts w:cs="Arial"/>
          <w:sz w:val="20"/>
          <w:szCs w:val="22"/>
        </w:rPr>
        <w:t xml:space="preserve"> HES the rate was 11%. </w:t>
      </w:r>
      <w:r w:rsidRPr="00A21EFF">
        <w:rPr>
          <w:rFonts w:cs="Arial"/>
          <w:b/>
          <w:sz w:val="20"/>
          <w:szCs w:val="22"/>
        </w:rPr>
        <w:t>Table J.1</w:t>
      </w:r>
      <w:r w:rsidRPr="00A21EFF">
        <w:rPr>
          <w:rFonts w:cs="Arial"/>
          <w:sz w:val="20"/>
          <w:szCs w:val="22"/>
        </w:rPr>
        <w:t xml:space="preserve"> shows that this still places New Zealand in the middle of the OECD ranking (1</w:t>
      </w:r>
      <w:r>
        <w:rPr>
          <w:rFonts w:cs="Arial"/>
          <w:sz w:val="20"/>
          <w:szCs w:val="22"/>
        </w:rPr>
        <w:t>8</w:t>
      </w:r>
      <w:r w:rsidRPr="00A21EFF">
        <w:rPr>
          <w:rFonts w:cs="Arial"/>
          <w:sz w:val="20"/>
          <w:szCs w:val="22"/>
        </w:rPr>
        <w:t>th out of 3</w:t>
      </w:r>
      <w:r>
        <w:rPr>
          <w:rFonts w:cs="Arial"/>
          <w:sz w:val="20"/>
          <w:szCs w:val="22"/>
        </w:rPr>
        <w:t>4</w:t>
      </w:r>
      <w:r w:rsidRPr="00A21EFF">
        <w:rPr>
          <w:rFonts w:cs="Arial"/>
          <w:sz w:val="20"/>
          <w:szCs w:val="22"/>
        </w:rPr>
        <w:t xml:space="preserve">), with a rate </w:t>
      </w:r>
      <w:r>
        <w:rPr>
          <w:rFonts w:cs="Arial"/>
          <w:sz w:val="20"/>
          <w:szCs w:val="22"/>
        </w:rPr>
        <w:t xml:space="preserve">very close to those of Italy, Canada, the United Kingdom and Ireland, lower than Australia (15%), </w:t>
      </w:r>
      <w:r w:rsidRPr="00A21EFF">
        <w:rPr>
          <w:rFonts w:cs="Arial"/>
          <w:sz w:val="20"/>
          <w:szCs w:val="22"/>
        </w:rPr>
        <w:t xml:space="preserve">and well below the United States (17%).  </w:t>
      </w:r>
      <w:smartTag w:uri="urn:schemas-microsoft-com:office:smarttags" w:element="country-region">
        <w:r>
          <w:rPr>
            <w:rFonts w:cs="Arial"/>
            <w:sz w:val="20"/>
            <w:szCs w:val="22"/>
          </w:rPr>
          <w:t>Hungary</w:t>
        </w:r>
      </w:smartTag>
      <w:r w:rsidRPr="00A21EFF">
        <w:rPr>
          <w:rFonts w:cs="Arial"/>
          <w:sz w:val="20"/>
          <w:szCs w:val="22"/>
        </w:rPr>
        <w:t xml:space="preserve">, </w:t>
      </w:r>
      <w:smartTag w:uri="urn:schemas-microsoft-com:office:smarttags" w:element="country-region">
        <w:r w:rsidRPr="00A21EFF">
          <w:rPr>
            <w:rFonts w:cs="Arial"/>
            <w:sz w:val="20"/>
            <w:szCs w:val="22"/>
          </w:rPr>
          <w:t>Denmark</w:t>
        </w:r>
      </w:smartTag>
      <w:r w:rsidRPr="00A21EFF">
        <w:rPr>
          <w:rFonts w:cs="Arial"/>
          <w:sz w:val="20"/>
          <w:szCs w:val="22"/>
        </w:rPr>
        <w:t xml:space="preserve"> and the </w:t>
      </w:r>
      <w:smartTag w:uri="urn:schemas-microsoft-com:office:smarttags" w:element="place">
        <w:smartTag w:uri="urn:schemas-microsoft-com:office:smarttags" w:element="PlaceName">
          <w:r w:rsidRPr="00A21EFF">
            <w:rPr>
              <w:rFonts w:cs="Arial"/>
              <w:sz w:val="20"/>
              <w:szCs w:val="22"/>
            </w:rPr>
            <w:t>Czech</w:t>
          </w:r>
        </w:smartTag>
        <w:r w:rsidRPr="00A21EFF">
          <w:rPr>
            <w:rFonts w:cs="Arial"/>
            <w:sz w:val="20"/>
            <w:szCs w:val="22"/>
          </w:rPr>
          <w:t xml:space="preserve"> </w:t>
        </w:r>
        <w:smartTag w:uri="urn:schemas-microsoft-com:office:smarttags" w:element="PlaceType">
          <w:r w:rsidRPr="00A21EFF">
            <w:rPr>
              <w:rFonts w:cs="Arial"/>
              <w:sz w:val="20"/>
              <w:szCs w:val="22"/>
            </w:rPr>
            <w:t>Republic</w:t>
          </w:r>
        </w:smartTag>
      </w:smartTag>
      <w:r w:rsidRPr="00A21EFF">
        <w:rPr>
          <w:rFonts w:cs="Arial"/>
          <w:sz w:val="20"/>
          <w:szCs w:val="22"/>
        </w:rPr>
        <w:t xml:space="preserve"> have the lowest proportion with incomes below the 50% line (5% to 6%).</w:t>
      </w:r>
    </w:p>
    <w:p w:rsidR="00EE3232" w:rsidRPr="00A21EFF" w:rsidRDefault="00EE3232" w:rsidP="00614C04">
      <w:pPr>
        <w:numPr>
          <w:ilvl w:val="0"/>
          <w:numId w:val="47"/>
        </w:numPr>
        <w:tabs>
          <w:tab w:val="clear" w:pos="720"/>
          <w:tab w:val="left" w:pos="540"/>
        </w:tabs>
        <w:ind w:left="540"/>
        <w:jc w:val="both"/>
        <w:rPr>
          <w:rFonts w:cs="Arial"/>
          <w:b/>
          <w:sz w:val="20"/>
          <w:szCs w:val="22"/>
        </w:rPr>
      </w:pPr>
      <w:r>
        <w:rPr>
          <w:rFonts w:cs="Arial"/>
          <w:sz w:val="20"/>
          <w:szCs w:val="22"/>
        </w:rPr>
        <w:t>In the 2010 HES</w:t>
      </w:r>
      <w:r w:rsidRPr="00A21EFF">
        <w:rPr>
          <w:rFonts w:cs="Arial"/>
          <w:sz w:val="20"/>
          <w:szCs w:val="22"/>
        </w:rPr>
        <w:t xml:space="preserve"> the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rate was </w:t>
      </w:r>
      <w:r>
        <w:rPr>
          <w:rFonts w:cs="Arial"/>
          <w:sz w:val="20"/>
          <w:szCs w:val="22"/>
        </w:rPr>
        <w:t xml:space="preserve">still </w:t>
      </w:r>
      <w:r w:rsidRPr="00A21EFF">
        <w:rPr>
          <w:rFonts w:cs="Arial"/>
          <w:sz w:val="20"/>
          <w:szCs w:val="22"/>
        </w:rPr>
        <w:t>1</w:t>
      </w:r>
      <w:r>
        <w:rPr>
          <w:rFonts w:cs="Arial"/>
          <w:sz w:val="20"/>
          <w:szCs w:val="22"/>
        </w:rPr>
        <w:t>1</w:t>
      </w:r>
      <w:r w:rsidRPr="00A21EFF">
        <w:rPr>
          <w:rFonts w:cs="Arial"/>
          <w:sz w:val="20"/>
          <w:szCs w:val="22"/>
        </w:rPr>
        <w:t>%</w:t>
      </w:r>
      <w:r>
        <w:rPr>
          <w:rFonts w:cs="Arial"/>
          <w:sz w:val="20"/>
          <w:szCs w:val="22"/>
        </w:rPr>
        <w:t>, and in 2011, 10%.  The small decline is simply a reflection of the falling median.  This lowers the dollar value of the relative poverty line and therefore the poverty rate, all else being equal.</w:t>
      </w:r>
    </w:p>
    <w:p w:rsidR="00EE3232" w:rsidRPr="00A21EFF" w:rsidRDefault="00EE3232" w:rsidP="00EE3232">
      <w:pPr>
        <w:jc w:val="both"/>
        <w:rPr>
          <w:rFonts w:cs="Arial"/>
          <w:b/>
          <w:sz w:val="20"/>
          <w:szCs w:val="22"/>
        </w:rPr>
      </w:pPr>
    </w:p>
    <w:p w:rsidR="00EE3232" w:rsidRPr="00A21EFF" w:rsidRDefault="00EE3232" w:rsidP="00EE3232">
      <w:pPr>
        <w:jc w:val="center"/>
        <w:rPr>
          <w:rFonts w:cs="Arial"/>
          <w:b/>
          <w:sz w:val="18"/>
        </w:rPr>
      </w:pPr>
      <w:r w:rsidRPr="00A21EFF">
        <w:rPr>
          <w:rFonts w:cs="Arial"/>
          <w:b/>
          <w:sz w:val="18"/>
        </w:rPr>
        <w:t>Table J.1</w:t>
      </w:r>
    </w:p>
    <w:p w:rsidR="00EE3232" w:rsidRPr="00A21EFF" w:rsidRDefault="00EE3232" w:rsidP="00EE3232">
      <w:pPr>
        <w:jc w:val="center"/>
        <w:rPr>
          <w:rFonts w:cs="Arial"/>
          <w:b/>
          <w:sz w:val="18"/>
        </w:rPr>
      </w:pPr>
      <w:r w:rsidRPr="00A21EFF">
        <w:rPr>
          <w:rFonts w:cs="Arial"/>
          <w:b/>
          <w:sz w:val="18"/>
        </w:rPr>
        <w:t>Population poverty rates</w:t>
      </w:r>
      <w:r>
        <w:rPr>
          <w:rFonts w:cs="Arial"/>
          <w:b/>
          <w:sz w:val="18"/>
        </w:rPr>
        <w:t xml:space="preserve"> (%) in the OECD-34,</w:t>
      </w:r>
      <w:r w:rsidRPr="00A21EFF">
        <w:rPr>
          <w:rFonts w:cs="Arial"/>
          <w:b/>
          <w:sz w:val="18"/>
        </w:rPr>
        <w:t xml:space="preserve"> c</w:t>
      </w:r>
      <w:r>
        <w:rPr>
          <w:rFonts w:cs="Arial"/>
          <w:b/>
          <w:sz w:val="18"/>
        </w:rPr>
        <w:t xml:space="preserve"> </w:t>
      </w:r>
      <w:r w:rsidRPr="00A21EFF">
        <w:rPr>
          <w:rFonts w:cs="Arial"/>
          <w:b/>
          <w:sz w:val="18"/>
        </w:rPr>
        <w:t>200</w:t>
      </w:r>
      <w:r>
        <w:rPr>
          <w:rFonts w:cs="Arial"/>
          <w:b/>
          <w:sz w:val="18"/>
        </w:rPr>
        <w:t>8-09</w:t>
      </w:r>
      <w:r w:rsidRPr="00A21EFF">
        <w:rPr>
          <w:rFonts w:cs="Arial"/>
          <w:b/>
          <w:sz w:val="18"/>
        </w:rPr>
        <w:t xml:space="preserve">: </w:t>
      </w:r>
    </w:p>
    <w:p w:rsidR="00EE3232" w:rsidRPr="00A21EFF" w:rsidRDefault="00EE3232" w:rsidP="00EE3232">
      <w:pPr>
        <w:spacing w:after="120"/>
        <w:jc w:val="center"/>
        <w:rPr>
          <w:rFonts w:cs="Arial"/>
          <w:b/>
          <w:sz w:val="18"/>
        </w:rPr>
      </w:pPr>
      <w:r w:rsidRPr="00A21EFF">
        <w:rPr>
          <w:rFonts w:cs="Arial"/>
          <w:b/>
          <w:sz w:val="18"/>
        </w:rPr>
        <w:t>50% of median threshold (</w:t>
      </w:r>
      <w:smartTag w:uri="urn:schemas-microsoft-com:office:smarttags" w:element="stockticker">
        <w:r w:rsidRPr="00A21EFF">
          <w:rPr>
            <w:rFonts w:cs="Arial"/>
            <w:b/>
            <w:sz w:val="18"/>
          </w:rPr>
          <w:t>BHC</w:t>
        </w:r>
      </w:smartTag>
      <w:r w:rsidRPr="00A21EFF">
        <w:rPr>
          <w:rFonts w:cs="Arial"/>
          <w:b/>
          <w:sz w:val="18"/>
        </w:rPr>
        <w:t>)</w:t>
      </w:r>
    </w:p>
    <w:tbl>
      <w:tblPr>
        <w:tblStyle w:val="TableGrid"/>
        <w:tblW w:w="0" w:type="auto"/>
        <w:jc w:val="center"/>
        <w:tblInd w:w="165" w:type="dxa"/>
        <w:tblLook w:val="01E0"/>
      </w:tblPr>
      <w:tblGrid>
        <w:gridCol w:w="2054"/>
        <w:gridCol w:w="671"/>
        <w:gridCol w:w="1759"/>
        <w:gridCol w:w="624"/>
      </w:tblGrid>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Mexico</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21</w:t>
            </w:r>
          </w:p>
        </w:tc>
        <w:tc>
          <w:tcPr>
            <w:tcW w:w="1759" w:type="dxa"/>
            <w:vAlign w:val="center"/>
          </w:tcPr>
          <w:p w:rsidR="00EE3232" w:rsidRPr="00D50FB9"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Poland</w:t>
                </w:r>
              </w:smartTag>
            </w:smartTag>
            <w:r>
              <w:rPr>
                <w:rFonts w:cs="Arial"/>
                <w:sz w:val="16"/>
                <w:szCs w:val="16"/>
              </w:rPr>
              <w:t xml:space="preserve"> </w:t>
            </w:r>
          </w:p>
        </w:tc>
        <w:tc>
          <w:tcPr>
            <w:tcW w:w="624" w:type="dxa"/>
            <w:vAlign w:val="center"/>
          </w:tcPr>
          <w:p w:rsidR="00EE3232" w:rsidRPr="00D50FB9"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Israel</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20</w:t>
            </w:r>
          </w:p>
        </w:tc>
        <w:tc>
          <w:tcPr>
            <w:tcW w:w="1759" w:type="dxa"/>
            <w:vAlign w:val="center"/>
          </w:tcPr>
          <w:p w:rsidR="00EE3232" w:rsidRPr="008B2647"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Ireland</w:t>
                </w:r>
              </w:smartTag>
            </w:smartTag>
          </w:p>
        </w:tc>
        <w:tc>
          <w:tcPr>
            <w:tcW w:w="624" w:type="dxa"/>
            <w:vAlign w:val="center"/>
          </w:tcPr>
          <w:p w:rsidR="00EE3232" w:rsidRPr="008B2647"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Chile</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19</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Belgium</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9</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United States</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17</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Germany</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9</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Turkey</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17</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Switzerland</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9</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Japan</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16</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Sweden</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Korea</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15</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Finland</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Australia</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15</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Norway</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054" w:type="dxa"/>
            <w:vAlign w:val="center"/>
          </w:tcPr>
          <w:p w:rsidR="00EE3232" w:rsidRPr="00360770"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Estonia</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14</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Slovenia</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Spain</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14</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France</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Portugal</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14</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Luxembourg</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Greece</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13</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Netherlands</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Italy</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11</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Austria</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Canada</w:t>
                </w:r>
              </w:smartTag>
            </w:smartTag>
          </w:p>
        </w:tc>
        <w:tc>
          <w:tcPr>
            <w:tcW w:w="671" w:type="dxa"/>
            <w:vAlign w:val="center"/>
          </w:tcPr>
          <w:p w:rsidR="00EE3232" w:rsidRDefault="00EE3232" w:rsidP="00614C04">
            <w:pPr>
              <w:spacing w:before="60" w:after="60"/>
              <w:jc w:val="center"/>
              <w:rPr>
                <w:rFonts w:cs="Arial"/>
                <w:sz w:val="16"/>
                <w:szCs w:val="16"/>
              </w:rPr>
            </w:pPr>
            <w:r>
              <w:rPr>
                <w:rFonts w:cs="Arial"/>
                <w:sz w:val="16"/>
                <w:szCs w:val="16"/>
              </w:rPr>
              <w:t>11</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Slovak</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7</w:t>
            </w:r>
          </w:p>
        </w:tc>
      </w:tr>
      <w:tr w:rsidR="00EE3232">
        <w:trPr>
          <w:trHeight w:val="278"/>
          <w:jc w:val="center"/>
        </w:trPr>
        <w:tc>
          <w:tcPr>
            <w:tcW w:w="205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United Kingdom</w:t>
                </w:r>
              </w:smartTag>
            </w:smartTag>
          </w:p>
        </w:tc>
        <w:tc>
          <w:tcPr>
            <w:tcW w:w="671" w:type="dxa"/>
            <w:vAlign w:val="center"/>
          </w:tcPr>
          <w:p w:rsidR="00EE3232" w:rsidRPr="00360770" w:rsidRDefault="00EE3232" w:rsidP="00614C04">
            <w:pPr>
              <w:spacing w:before="60" w:after="60"/>
              <w:jc w:val="center"/>
              <w:rPr>
                <w:rFonts w:cs="Arial"/>
                <w:sz w:val="16"/>
                <w:szCs w:val="16"/>
              </w:rPr>
            </w:pPr>
            <w:r>
              <w:rPr>
                <w:rFonts w:cs="Arial"/>
                <w:sz w:val="16"/>
                <w:szCs w:val="16"/>
              </w:rPr>
              <w:t>11</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Iceland</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7</w:t>
            </w:r>
          </w:p>
        </w:tc>
      </w:tr>
      <w:tr w:rsidR="00EE3232">
        <w:trPr>
          <w:trHeight w:val="278"/>
          <w:jc w:val="center"/>
        </w:trPr>
        <w:tc>
          <w:tcPr>
            <w:tcW w:w="2054" w:type="dxa"/>
            <w:vAlign w:val="center"/>
          </w:tcPr>
          <w:p w:rsidR="00EE3232" w:rsidRPr="008B2647" w:rsidRDefault="00EE3232" w:rsidP="00614C04">
            <w:pPr>
              <w:tabs>
                <w:tab w:val="left" w:pos="1677"/>
              </w:tabs>
              <w:spacing w:before="60" w:after="60"/>
              <w:rPr>
                <w:rFonts w:cs="Arial"/>
                <w:b/>
                <w:sz w:val="16"/>
                <w:szCs w:val="16"/>
              </w:rPr>
            </w:pPr>
            <w:smartTag w:uri="urn:schemas-microsoft-com:office:smarttags" w:element="place">
              <w:smartTag w:uri="urn:schemas-microsoft-com:office:smarttags" w:element="country-region">
                <w:r w:rsidRPr="008B2647">
                  <w:rPr>
                    <w:rFonts w:cs="Arial"/>
                    <w:b/>
                    <w:sz w:val="16"/>
                    <w:szCs w:val="16"/>
                  </w:rPr>
                  <w:t>New Zealand</w:t>
                </w:r>
              </w:smartTag>
            </w:smartTag>
          </w:p>
        </w:tc>
        <w:tc>
          <w:tcPr>
            <w:tcW w:w="671" w:type="dxa"/>
            <w:vAlign w:val="center"/>
          </w:tcPr>
          <w:p w:rsidR="00EE3232" w:rsidRPr="008B2647" w:rsidRDefault="00EE3232" w:rsidP="00614C04">
            <w:pPr>
              <w:spacing w:before="60" w:after="60"/>
              <w:jc w:val="center"/>
              <w:rPr>
                <w:rFonts w:cs="Arial"/>
                <w:b/>
                <w:sz w:val="16"/>
                <w:szCs w:val="16"/>
              </w:rPr>
            </w:pPr>
            <w:r w:rsidRPr="008B2647">
              <w:rPr>
                <w:rFonts w:cs="Arial"/>
                <w:b/>
                <w:sz w:val="16"/>
                <w:szCs w:val="16"/>
              </w:rPr>
              <w:t>11</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Hungary</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6</w:t>
            </w:r>
          </w:p>
        </w:tc>
      </w:tr>
      <w:tr w:rsidR="00EE3232">
        <w:trPr>
          <w:trHeight w:val="278"/>
          <w:jc w:val="center"/>
        </w:trPr>
        <w:tc>
          <w:tcPr>
            <w:tcW w:w="2054" w:type="dxa"/>
            <w:vAlign w:val="center"/>
          </w:tcPr>
          <w:p w:rsidR="00EE3232" w:rsidRPr="00D50FB9" w:rsidRDefault="00EE3232" w:rsidP="00614C04">
            <w:pPr>
              <w:tabs>
                <w:tab w:val="left" w:pos="1677"/>
              </w:tabs>
              <w:spacing w:before="60" w:after="60"/>
              <w:rPr>
                <w:rFonts w:cs="Arial"/>
                <w:sz w:val="16"/>
                <w:szCs w:val="16"/>
              </w:rPr>
            </w:pPr>
          </w:p>
        </w:tc>
        <w:tc>
          <w:tcPr>
            <w:tcW w:w="671" w:type="dxa"/>
            <w:vAlign w:val="center"/>
          </w:tcPr>
          <w:p w:rsidR="00EE3232" w:rsidRPr="00D50FB9" w:rsidRDefault="00EE3232" w:rsidP="00614C04">
            <w:pPr>
              <w:spacing w:before="60" w:after="60"/>
              <w:jc w:val="center"/>
              <w:rPr>
                <w:rFonts w:cs="Arial"/>
                <w:sz w:val="16"/>
                <w:szCs w:val="16"/>
              </w:rPr>
            </w:pP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Denmark</w:t>
                </w:r>
              </w:smartTag>
            </w:smartTag>
          </w:p>
        </w:tc>
        <w:tc>
          <w:tcPr>
            <w:tcW w:w="624" w:type="dxa"/>
            <w:vAlign w:val="center"/>
          </w:tcPr>
          <w:p w:rsidR="00EE3232" w:rsidRPr="00360770" w:rsidRDefault="00EE3232" w:rsidP="00614C04">
            <w:pPr>
              <w:spacing w:before="60" w:after="60"/>
              <w:jc w:val="center"/>
              <w:rPr>
                <w:rFonts w:cs="Arial"/>
                <w:sz w:val="16"/>
                <w:szCs w:val="16"/>
              </w:rPr>
            </w:pPr>
            <w:r>
              <w:rPr>
                <w:rFonts w:cs="Arial"/>
                <w:sz w:val="16"/>
                <w:szCs w:val="16"/>
              </w:rPr>
              <w:t>6</w:t>
            </w:r>
          </w:p>
        </w:tc>
      </w:tr>
      <w:tr w:rsidR="00EE3232">
        <w:trPr>
          <w:trHeight w:val="278"/>
          <w:jc w:val="center"/>
        </w:trPr>
        <w:tc>
          <w:tcPr>
            <w:tcW w:w="2054" w:type="dxa"/>
            <w:vAlign w:val="center"/>
          </w:tcPr>
          <w:p w:rsidR="00EE3232" w:rsidRPr="00D50FB9" w:rsidRDefault="00EE3232" w:rsidP="00614C04">
            <w:pPr>
              <w:tabs>
                <w:tab w:val="left" w:pos="1677"/>
              </w:tabs>
              <w:spacing w:before="60" w:after="60"/>
              <w:rPr>
                <w:rFonts w:cs="Arial"/>
                <w:sz w:val="16"/>
                <w:szCs w:val="16"/>
              </w:rPr>
            </w:pPr>
            <w:r>
              <w:rPr>
                <w:rFonts w:cs="Arial"/>
                <w:sz w:val="16"/>
                <w:szCs w:val="16"/>
              </w:rPr>
              <w:t>OECD median</w:t>
            </w:r>
          </w:p>
        </w:tc>
        <w:tc>
          <w:tcPr>
            <w:tcW w:w="671" w:type="dxa"/>
            <w:vAlign w:val="center"/>
          </w:tcPr>
          <w:p w:rsidR="00EE3232" w:rsidRPr="00D50FB9" w:rsidRDefault="00EE3232" w:rsidP="00614C04">
            <w:pPr>
              <w:spacing w:before="60" w:after="60"/>
              <w:jc w:val="center"/>
              <w:rPr>
                <w:rFonts w:cs="Arial"/>
                <w:sz w:val="16"/>
                <w:szCs w:val="16"/>
              </w:rPr>
            </w:pPr>
            <w:r>
              <w:rPr>
                <w:rFonts w:cs="Arial"/>
                <w:sz w:val="16"/>
                <w:szCs w:val="16"/>
              </w:rPr>
              <w:t>11</w:t>
            </w:r>
          </w:p>
        </w:tc>
        <w:tc>
          <w:tcPr>
            <w:tcW w:w="1759"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Czech</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24" w:type="dxa"/>
            <w:vAlign w:val="center"/>
          </w:tcPr>
          <w:p w:rsidR="00EE3232" w:rsidRDefault="00EE3232" w:rsidP="00614C04">
            <w:pPr>
              <w:spacing w:before="60" w:after="60"/>
              <w:jc w:val="center"/>
              <w:rPr>
                <w:rFonts w:cs="Arial"/>
                <w:sz w:val="16"/>
                <w:szCs w:val="16"/>
              </w:rPr>
            </w:pPr>
            <w:r>
              <w:rPr>
                <w:rFonts w:cs="Arial"/>
                <w:sz w:val="16"/>
                <w:szCs w:val="16"/>
              </w:rPr>
              <w:t>5</w:t>
            </w:r>
          </w:p>
        </w:tc>
      </w:tr>
    </w:tbl>
    <w:p w:rsidR="00EE3232" w:rsidRDefault="00EE3232" w:rsidP="00EE3232">
      <w:pPr>
        <w:ind w:left="1800" w:right="1195" w:hanging="720"/>
        <w:jc w:val="both"/>
        <w:rPr>
          <w:rFonts w:cs="Arial"/>
          <w:sz w:val="18"/>
          <w:szCs w:val="18"/>
          <w:u w:val="single"/>
        </w:rPr>
      </w:pPr>
    </w:p>
    <w:p w:rsidR="00EE3232" w:rsidRDefault="00EE3232" w:rsidP="00EE3232">
      <w:pPr>
        <w:ind w:left="1800" w:right="1195" w:hanging="720"/>
        <w:jc w:val="both"/>
        <w:rPr>
          <w:rFonts w:cs="Arial"/>
          <w:b/>
          <w:szCs w:val="22"/>
        </w:rPr>
      </w:pPr>
      <w:r w:rsidRPr="00EF7BC7">
        <w:rPr>
          <w:rFonts w:cs="Arial"/>
          <w:sz w:val="18"/>
          <w:szCs w:val="18"/>
          <w:u w:val="single"/>
        </w:rPr>
        <w:t>Source</w:t>
      </w:r>
      <w:r>
        <w:rPr>
          <w:rFonts w:cs="Arial"/>
          <w:sz w:val="18"/>
          <w:szCs w:val="18"/>
          <w:u w:val="single"/>
        </w:rPr>
        <w:t>:</w:t>
      </w:r>
      <w:r>
        <w:rPr>
          <w:rFonts w:cs="Arial"/>
          <w:sz w:val="18"/>
          <w:szCs w:val="18"/>
        </w:rPr>
        <w:tab/>
        <w:t>OECD (2011b</w:t>
      </w:r>
      <w:r w:rsidRPr="00FD6FF5">
        <w:rPr>
          <w:rFonts w:cs="Arial"/>
          <w:sz w:val="18"/>
          <w:szCs w:val="18"/>
        </w:rPr>
        <w:t>)</w:t>
      </w:r>
      <w:r>
        <w:rPr>
          <w:rFonts w:cs="Arial"/>
          <w:sz w:val="18"/>
          <w:szCs w:val="18"/>
        </w:rPr>
        <w:t xml:space="preserve">, Table EQ2.1   </w:t>
      </w:r>
    </w:p>
    <w:p w:rsidR="00EE3232" w:rsidRDefault="00EE3232" w:rsidP="00EE3232">
      <w:pPr>
        <w:jc w:val="both"/>
        <w:rPr>
          <w:rFonts w:cs="Arial"/>
          <w:b/>
          <w:szCs w:val="22"/>
        </w:rPr>
      </w:pPr>
    </w:p>
    <w:p w:rsidR="00EE3232" w:rsidRDefault="00EE3232" w:rsidP="00EE3232">
      <w:pPr>
        <w:jc w:val="both"/>
        <w:rPr>
          <w:rFonts w:cs="Arial"/>
          <w:b/>
          <w:szCs w:val="22"/>
        </w:rPr>
      </w:pPr>
    </w:p>
    <w:p w:rsidR="00EE3232" w:rsidRDefault="00EE3232" w:rsidP="00EE3232">
      <w:pPr>
        <w:jc w:val="both"/>
        <w:rPr>
          <w:rFonts w:cs="Arial"/>
          <w:b/>
          <w:sz w:val="20"/>
          <w:szCs w:val="22"/>
        </w:rPr>
      </w:pPr>
    </w:p>
    <w:p w:rsidR="00EE3232" w:rsidRDefault="00EE3232" w:rsidP="00EE3232">
      <w:pPr>
        <w:jc w:val="both"/>
        <w:rPr>
          <w:rFonts w:cs="Arial"/>
          <w:b/>
          <w:sz w:val="20"/>
          <w:szCs w:val="22"/>
        </w:rPr>
      </w:pPr>
    </w:p>
    <w:p w:rsidR="00EE3232" w:rsidRPr="00A21EFF" w:rsidRDefault="00EE3232" w:rsidP="00EE3232">
      <w:pPr>
        <w:jc w:val="both"/>
        <w:rPr>
          <w:rFonts w:cs="Arial"/>
          <w:b/>
          <w:sz w:val="20"/>
          <w:szCs w:val="22"/>
        </w:rPr>
      </w:pPr>
      <w:r>
        <w:rPr>
          <w:rFonts w:cs="Arial"/>
          <w:b/>
          <w:sz w:val="20"/>
          <w:szCs w:val="22"/>
        </w:rPr>
        <w:br w:type="page"/>
      </w:r>
      <w:r w:rsidRPr="00A21EFF">
        <w:rPr>
          <w:rFonts w:cs="Arial"/>
          <w:b/>
          <w:sz w:val="20"/>
          <w:szCs w:val="22"/>
        </w:rPr>
        <w:lastRenderedPageBreak/>
        <w:t xml:space="preserve">Population poverty using a 60% </w:t>
      </w:r>
      <w:smartTag w:uri="urn:schemas-microsoft-com:office:smarttags" w:element="stockticker">
        <w:r w:rsidRPr="00A21EFF">
          <w:rPr>
            <w:rFonts w:cs="Arial"/>
            <w:b/>
            <w:sz w:val="20"/>
            <w:szCs w:val="22"/>
          </w:rPr>
          <w:t>BHC</w:t>
        </w:r>
      </w:smartTag>
      <w:r w:rsidRPr="00A21EFF">
        <w:rPr>
          <w:rFonts w:cs="Arial"/>
          <w:b/>
          <w:sz w:val="20"/>
          <w:szCs w:val="22"/>
        </w:rPr>
        <w:t xml:space="preserve"> threshold</w:t>
      </w:r>
    </w:p>
    <w:p w:rsidR="00EE3232" w:rsidRPr="00A21EFF" w:rsidRDefault="00EE3232" w:rsidP="00EE3232">
      <w:pPr>
        <w:tabs>
          <w:tab w:val="left" w:pos="540"/>
        </w:tabs>
        <w:ind w:left="180"/>
        <w:jc w:val="both"/>
        <w:rPr>
          <w:rFonts w:cs="Arial"/>
          <w:sz w:val="20"/>
          <w:szCs w:val="22"/>
        </w:rPr>
      </w:pP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b/>
          <w:sz w:val="20"/>
          <w:szCs w:val="22"/>
        </w:rPr>
        <w:t>Table J.2</w:t>
      </w:r>
      <w:r w:rsidRPr="00A21EFF">
        <w:rPr>
          <w:rFonts w:cs="Arial"/>
          <w:sz w:val="20"/>
          <w:szCs w:val="22"/>
        </w:rPr>
        <w:t xml:space="preserve"> shows </w:t>
      </w:r>
      <w:smartTag w:uri="urn:schemas-microsoft-com:office:smarttags" w:element="country-region">
        <w:r w:rsidRPr="00A21EFF">
          <w:rPr>
            <w:rFonts w:cs="Arial"/>
            <w:sz w:val="20"/>
            <w:szCs w:val="22"/>
          </w:rPr>
          <w:t>New Zealand</w:t>
        </w:r>
      </w:smartTag>
      <w:r w:rsidRPr="00A21EFF">
        <w:rPr>
          <w:rFonts w:cs="Arial"/>
          <w:sz w:val="20"/>
          <w:szCs w:val="22"/>
        </w:rPr>
        <w:t xml:space="preserve">’s relative position among selected European countries, </w:t>
      </w:r>
      <w:smartTag w:uri="urn:schemas-microsoft-com:office:smarttags" w:element="country-region">
        <w:r w:rsidRPr="00A21EFF">
          <w:rPr>
            <w:rFonts w:cs="Arial"/>
            <w:sz w:val="20"/>
            <w:szCs w:val="22"/>
          </w:rPr>
          <w:t>Canada</w:t>
        </w:r>
      </w:smartTag>
      <w:r w:rsidRPr="00A21EFF">
        <w:rPr>
          <w:rFonts w:cs="Arial"/>
          <w:sz w:val="20"/>
          <w:szCs w:val="22"/>
        </w:rPr>
        <w:t xml:space="preserve">, the </w:t>
      </w:r>
      <w:smartTag w:uri="urn:schemas-microsoft-com:office:smarttags" w:element="country-region">
        <w:r w:rsidRPr="00A21EFF">
          <w:rPr>
            <w:rFonts w:cs="Arial"/>
            <w:sz w:val="20"/>
            <w:szCs w:val="22"/>
          </w:rPr>
          <w:t>United States</w:t>
        </w:r>
      </w:smartTag>
      <w:r w:rsidRPr="00A21EFF">
        <w:rPr>
          <w:rFonts w:cs="Arial"/>
          <w:sz w:val="20"/>
          <w:szCs w:val="22"/>
        </w:rPr>
        <w:t xml:space="preserve">, </w:t>
      </w:r>
      <w:smartTag w:uri="urn:schemas-microsoft-com:office:smarttags" w:element="country-region">
        <w:r w:rsidRPr="00A21EFF">
          <w:rPr>
            <w:rFonts w:cs="Arial"/>
            <w:sz w:val="20"/>
            <w:szCs w:val="22"/>
          </w:rPr>
          <w:t>Mexico</w:t>
        </w:r>
      </w:smartTag>
      <w:r w:rsidRPr="00A21EFF">
        <w:rPr>
          <w:rFonts w:cs="Arial"/>
          <w:sz w:val="20"/>
          <w:szCs w:val="22"/>
        </w:rPr>
        <w:t xml:space="preserve"> and </w:t>
      </w:r>
      <w:smartTag w:uri="urn:schemas-microsoft-com:office:smarttags" w:element="place">
        <w:smartTag w:uri="urn:schemas-microsoft-com:office:smarttags" w:element="country-region">
          <w:r w:rsidRPr="00A21EFF">
            <w:rPr>
              <w:rFonts w:cs="Arial"/>
              <w:sz w:val="20"/>
              <w:szCs w:val="22"/>
            </w:rPr>
            <w:t>Australia</w:t>
          </w:r>
        </w:smartTag>
      </w:smartTag>
      <w:r w:rsidRPr="00A21EFF">
        <w:rPr>
          <w:rFonts w:cs="Arial"/>
          <w:sz w:val="20"/>
          <w:szCs w:val="22"/>
        </w:rPr>
        <w:t xml:space="preserve"> using a 60% </w:t>
      </w:r>
      <w:smartTag w:uri="urn:schemas-microsoft-com:office:smarttags" w:element="stockticker">
        <w:r w:rsidRPr="00A21EFF">
          <w:rPr>
            <w:rFonts w:cs="Arial"/>
            <w:sz w:val="20"/>
            <w:szCs w:val="22"/>
          </w:rPr>
          <w:t>BHC</w:t>
        </w:r>
      </w:smartTag>
      <w:r w:rsidRPr="00A21EFF">
        <w:rPr>
          <w:rFonts w:cs="Arial"/>
          <w:sz w:val="20"/>
          <w:szCs w:val="22"/>
        </w:rPr>
        <w:t xml:space="preserve"> threshold.  The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figures are derived using the same equivalence scale as in the Eurostat analysis.</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 xml:space="preserve">For comparison purposes the figures for Canada, the US, Mexico and Australia (from the Luxembourg Income Study (LIS) database) should be reduced by one or two percentage points as the equivalence scale used in the LIS analysis gives population poverty rates approximately that much higher than the one used in the Eurostat analysis.  </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 xml:space="preserve">Using a 60% threshold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’s rate in 20</w:t>
      </w:r>
      <w:r>
        <w:rPr>
          <w:rFonts w:cs="Arial"/>
          <w:sz w:val="20"/>
          <w:szCs w:val="22"/>
        </w:rPr>
        <w:t>10</w:t>
      </w:r>
      <w:r w:rsidRPr="00A21EFF">
        <w:rPr>
          <w:rFonts w:cs="Arial"/>
          <w:sz w:val="20"/>
          <w:szCs w:val="22"/>
        </w:rPr>
        <w:t xml:space="preserve"> (</w:t>
      </w:r>
      <w:r>
        <w:rPr>
          <w:rFonts w:cs="Arial"/>
          <w:sz w:val="20"/>
          <w:szCs w:val="22"/>
        </w:rPr>
        <w:t>17</w:t>
      </w:r>
      <w:r w:rsidRPr="00A21EFF">
        <w:rPr>
          <w:rFonts w:cs="Arial"/>
          <w:sz w:val="20"/>
          <w:szCs w:val="22"/>
        </w:rPr>
        <w:t>%) was</w:t>
      </w:r>
      <w:r>
        <w:rPr>
          <w:rFonts w:cs="Arial"/>
          <w:sz w:val="20"/>
          <w:szCs w:val="22"/>
        </w:rPr>
        <w:t xml:space="preserve"> very close to the EU </w:t>
      </w:r>
      <w:r w:rsidRPr="00A21EFF">
        <w:rPr>
          <w:rFonts w:cs="Arial"/>
          <w:sz w:val="20"/>
          <w:szCs w:val="22"/>
        </w:rPr>
        <w:t xml:space="preserve">average (16%).   </w:t>
      </w:r>
      <w:r>
        <w:rPr>
          <w:rFonts w:cs="Arial"/>
          <w:sz w:val="20"/>
          <w:szCs w:val="22"/>
        </w:rPr>
        <w:t xml:space="preserve">In 2004, the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rate was 21% and the EU average was 16%.</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Pr>
          <w:rFonts w:cs="Arial"/>
          <w:sz w:val="20"/>
          <w:szCs w:val="22"/>
        </w:rPr>
        <w:t>New Zealand’s movement from 2004 to 2009 to be closer to the EU average reflects the impact of the Working for Families package in raising the incomes of many (working) families up from the 50% to 60% of median band to above the 60% of median threshold.</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In the 20</w:t>
      </w:r>
      <w:r>
        <w:rPr>
          <w:rFonts w:cs="Arial"/>
          <w:sz w:val="20"/>
          <w:szCs w:val="22"/>
        </w:rPr>
        <w:t>11</w:t>
      </w:r>
      <w:r w:rsidRPr="00A21EFF">
        <w:rPr>
          <w:rFonts w:cs="Arial"/>
          <w:sz w:val="20"/>
          <w:szCs w:val="22"/>
        </w:rPr>
        <w:t xml:space="preserve"> HES, the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rate was </w:t>
      </w:r>
      <w:r>
        <w:rPr>
          <w:rFonts w:cs="Arial"/>
          <w:sz w:val="20"/>
          <w:szCs w:val="22"/>
        </w:rPr>
        <w:t>17%.</w:t>
      </w:r>
    </w:p>
    <w:p w:rsidR="00EE3232" w:rsidRPr="00A21EFF" w:rsidRDefault="00EE3232" w:rsidP="00EE3232">
      <w:pPr>
        <w:jc w:val="both"/>
        <w:rPr>
          <w:rFonts w:cs="Arial"/>
          <w:b/>
          <w:sz w:val="20"/>
          <w:szCs w:val="22"/>
        </w:rPr>
      </w:pPr>
    </w:p>
    <w:p w:rsidR="00EE3232" w:rsidRPr="00A21EFF" w:rsidRDefault="00EE3232" w:rsidP="00EE3232">
      <w:pPr>
        <w:jc w:val="center"/>
        <w:rPr>
          <w:rFonts w:cs="Arial"/>
          <w:b/>
          <w:sz w:val="18"/>
        </w:rPr>
      </w:pPr>
      <w:r w:rsidRPr="00A21EFF">
        <w:rPr>
          <w:rFonts w:cs="Arial"/>
          <w:b/>
          <w:sz w:val="18"/>
        </w:rPr>
        <w:t>Table J.2</w:t>
      </w:r>
    </w:p>
    <w:p w:rsidR="00EE3232" w:rsidRDefault="00EE3232" w:rsidP="00EE3232">
      <w:pPr>
        <w:jc w:val="center"/>
        <w:rPr>
          <w:rFonts w:cs="Arial"/>
          <w:b/>
          <w:sz w:val="18"/>
        </w:rPr>
      </w:pPr>
      <w:r w:rsidRPr="00A21EFF">
        <w:rPr>
          <w:rFonts w:cs="Arial"/>
          <w:b/>
          <w:sz w:val="18"/>
        </w:rPr>
        <w:t>Population poverty rates</w:t>
      </w:r>
      <w:r>
        <w:rPr>
          <w:rFonts w:cs="Arial"/>
          <w:b/>
          <w:sz w:val="18"/>
        </w:rPr>
        <w:t xml:space="preserve"> (%)</w:t>
      </w:r>
      <w:r w:rsidRPr="00A21EFF">
        <w:rPr>
          <w:rFonts w:cs="Arial"/>
          <w:b/>
          <w:sz w:val="18"/>
        </w:rPr>
        <w:t xml:space="preserve"> in selected European countries, </w:t>
      </w:r>
      <w:smartTag w:uri="urn:schemas-microsoft-com:office:smarttags" w:element="country-region">
        <w:r w:rsidRPr="00A21EFF">
          <w:rPr>
            <w:rFonts w:cs="Arial"/>
            <w:b/>
            <w:sz w:val="18"/>
          </w:rPr>
          <w:t>Canada</w:t>
        </w:r>
      </w:smartTag>
      <w:r w:rsidRPr="00A21EFF">
        <w:rPr>
          <w:rFonts w:cs="Arial"/>
          <w:b/>
          <w:sz w:val="18"/>
        </w:rPr>
        <w:t xml:space="preserve">, the </w:t>
      </w:r>
      <w:smartTag w:uri="urn:schemas-microsoft-com:office:smarttags" w:element="country-region">
        <w:r w:rsidRPr="00A21EFF">
          <w:rPr>
            <w:rFonts w:cs="Arial"/>
            <w:b/>
            <w:sz w:val="18"/>
          </w:rPr>
          <w:t>US</w:t>
        </w:r>
      </w:smartTag>
      <w:r w:rsidRPr="00A21EFF">
        <w:rPr>
          <w:rFonts w:cs="Arial"/>
          <w:b/>
          <w:sz w:val="18"/>
        </w:rPr>
        <w:t xml:space="preserve">, </w:t>
      </w:r>
      <w:smartTag w:uri="urn:schemas-microsoft-com:office:smarttags" w:element="country-region">
        <w:r w:rsidRPr="00A21EFF">
          <w:rPr>
            <w:rFonts w:cs="Arial"/>
            <w:b/>
            <w:sz w:val="18"/>
          </w:rPr>
          <w:t>Mexico</w:t>
        </w:r>
      </w:smartTag>
      <w:r w:rsidRPr="00A21EFF">
        <w:rPr>
          <w:rFonts w:cs="Arial"/>
          <w:b/>
          <w:sz w:val="18"/>
        </w:rPr>
        <w:t xml:space="preserve"> </w:t>
      </w:r>
      <w:r>
        <w:rPr>
          <w:rFonts w:cs="Arial"/>
          <w:b/>
          <w:sz w:val="18"/>
        </w:rPr>
        <w:t>and</w:t>
      </w:r>
      <w:r w:rsidRPr="00A21EFF">
        <w:rPr>
          <w:rFonts w:cs="Arial"/>
          <w:b/>
          <w:sz w:val="18"/>
        </w:rPr>
        <w:t xml:space="preserve"> </w:t>
      </w:r>
      <w:smartTag w:uri="urn:schemas-microsoft-com:office:smarttags" w:element="place">
        <w:smartTag w:uri="urn:schemas-microsoft-com:office:smarttags" w:element="country-region">
          <w:r w:rsidRPr="00A21EFF">
            <w:rPr>
              <w:rFonts w:cs="Arial"/>
              <w:b/>
              <w:sz w:val="18"/>
            </w:rPr>
            <w:t>Australia</w:t>
          </w:r>
        </w:smartTag>
      </w:smartTag>
      <w:r w:rsidRPr="00A21EFF">
        <w:rPr>
          <w:rFonts w:cs="Arial"/>
          <w:b/>
          <w:sz w:val="18"/>
        </w:rPr>
        <w:t xml:space="preserve"> </w:t>
      </w:r>
    </w:p>
    <w:p w:rsidR="00EE3232" w:rsidRPr="00A21EFF" w:rsidRDefault="00EE3232" w:rsidP="00EE3232">
      <w:pPr>
        <w:jc w:val="center"/>
        <w:rPr>
          <w:rFonts w:cs="Arial"/>
          <w:b/>
          <w:sz w:val="18"/>
        </w:rPr>
      </w:pPr>
      <w:r w:rsidRPr="00A21EFF">
        <w:rPr>
          <w:rFonts w:cs="Arial"/>
          <w:b/>
          <w:sz w:val="18"/>
        </w:rPr>
        <w:t>c 20</w:t>
      </w:r>
      <w:r>
        <w:rPr>
          <w:rFonts w:cs="Arial"/>
          <w:b/>
          <w:sz w:val="18"/>
        </w:rPr>
        <w:t>10</w:t>
      </w:r>
      <w:r w:rsidRPr="00A21EFF">
        <w:rPr>
          <w:rFonts w:cs="Arial"/>
          <w:b/>
          <w:sz w:val="18"/>
        </w:rPr>
        <w:t xml:space="preserve">: </w:t>
      </w:r>
    </w:p>
    <w:p w:rsidR="00EE3232" w:rsidRPr="00A21EFF" w:rsidRDefault="00EE3232" w:rsidP="00EE3232">
      <w:pPr>
        <w:spacing w:after="120"/>
        <w:jc w:val="center"/>
        <w:rPr>
          <w:rFonts w:cs="Arial"/>
          <w:b/>
          <w:sz w:val="18"/>
        </w:rPr>
      </w:pPr>
      <w:r w:rsidRPr="00A21EFF">
        <w:rPr>
          <w:rFonts w:cs="Arial"/>
          <w:b/>
          <w:sz w:val="18"/>
        </w:rPr>
        <w:t>60% of median threshold (</w:t>
      </w:r>
      <w:smartTag w:uri="urn:schemas-microsoft-com:office:smarttags" w:element="stockticker">
        <w:r w:rsidRPr="00A21EFF">
          <w:rPr>
            <w:rFonts w:cs="Arial"/>
            <w:b/>
            <w:sz w:val="18"/>
          </w:rPr>
          <w:t>BHC</w:t>
        </w:r>
      </w:smartTag>
      <w:r w:rsidRPr="00A21EFF">
        <w:rPr>
          <w:rFonts w:cs="Arial"/>
          <w:b/>
          <w:sz w:val="18"/>
        </w:rPr>
        <w:t>)</w:t>
      </w:r>
    </w:p>
    <w:tbl>
      <w:tblPr>
        <w:tblStyle w:val="TableGrid"/>
        <w:tblW w:w="0" w:type="auto"/>
        <w:jc w:val="center"/>
        <w:tblInd w:w="124" w:type="dxa"/>
        <w:tblLook w:val="01E0"/>
      </w:tblPr>
      <w:tblGrid>
        <w:gridCol w:w="2078"/>
        <w:gridCol w:w="716"/>
        <w:gridCol w:w="1548"/>
        <w:gridCol w:w="651"/>
      </w:tblGrid>
      <w:tr w:rsidR="00EE3232">
        <w:trPr>
          <w:jc w:val="center"/>
        </w:trPr>
        <w:tc>
          <w:tcPr>
            <w:tcW w:w="2078" w:type="dxa"/>
          </w:tcPr>
          <w:p w:rsidR="00EE3232" w:rsidRPr="00BB2B20" w:rsidRDefault="00EE3232" w:rsidP="00614C04">
            <w:pPr>
              <w:spacing w:before="60" w:after="60"/>
              <w:rPr>
                <w:rFonts w:cs="Arial"/>
                <w:sz w:val="16"/>
                <w:szCs w:val="16"/>
              </w:rPr>
            </w:pPr>
            <w:r>
              <w:rPr>
                <w:rFonts w:cs="Arial"/>
                <w:sz w:val="16"/>
                <w:szCs w:val="16"/>
              </w:rPr>
              <w:t>Turkey 2004</w:t>
            </w:r>
          </w:p>
        </w:tc>
        <w:tc>
          <w:tcPr>
            <w:tcW w:w="716" w:type="dxa"/>
          </w:tcPr>
          <w:p w:rsidR="00EE3232" w:rsidRPr="00BB2B20" w:rsidRDefault="00EE3232" w:rsidP="00614C04">
            <w:pPr>
              <w:spacing w:before="60" w:after="60"/>
              <w:jc w:val="center"/>
              <w:rPr>
                <w:rFonts w:cs="Arial"/>
                <w:sz w:val="16"/>
                <w:szCs w:val="16"/>
              </w:rPr>
            </w:pPr>
            <w:r>
              <w:rPr>
                <w:rFonts w:cs="Arial"/>
                <w:sz w:val="16"/>
                <w:szCs w:val="16"/>
              </w:rPr>
              <w:t>26</w:t>
            </w:r>
          </w:p>
        </w:tc>
        <w:tc>
          <w:tcPr>
            <w:tcW w:w="1548" w:type="dxa"/>
          </w:tcPr>
          <w:p w:rsidR="00EE3232" w:rsidRPr="00BB2B20" w:rsidRDefault="00EE3232" w:rsidP="00614C04">
            <w:pPr>
              <w:spacing w:before="60" w:after="60"/>
              <w:rPr>
                <w:rFonts w:cs="Arial"/>
                <w:sz w:val="16"/>
                <w:szCs w:val="16"/>
              </w:rPr>
            </w:pPr>
            <w:r>
              <w:rPr>
                <w:rFonts w:cs="Arial"/>
                <w:sz w:val="16"/>
                <w:szCs w:val="16"/>
              </w:rPr>
              <w:t>EU -27</w:t>
            </w:r>
          </w:p>
        </w:tc>
        <w:tc>
          <w:tcPr>
            <w:tcW w:w="651" w:type="dxa"/>
          </w:tcPr>
          <w:p w:rsidR="00EE3232" w:rsidRPr="00BB2B20" w:rsidRDefault="00EE3232" w:rsidP="00614C04">
            <w:pPr>
              <w:spacing w:before="60" w:after="60"/>
              <w:jc w:val="center"/>
              <w:rPr>
                <w:rFonts w:cs="Arial"/>
                <w:sz w:val="16"/>
                <w:szCs w:val="16"/>
              </w:rPr>
            </w:pPr>
            <w:r>
              <w:rPr>
                <w:rFonts w:cs="Arial"/>
                <w:sz w:val="16"/>
                <w:szCs w:val="16"/>
              </w:rPr>
              <w:t>16</w:t>
            </w:r>
          </w:p>
        </w:tc>
      </w:tr>
      <w:tr w:rsidR="00EE3232">
        <w:trPr>
          <w:jc w:val="center"/>
        </w:trPr>
        <w:tc>
          <w:tcPr>
            <w:tcW w:w="2078" w:type="dxa"/>
          </w:tcPr>
          <w:p w:rsidR="00EE3232" w:rsidRPr="00BB2B20" w:rsidRDefault="00EE3232" w:rsidP="00614C04">
            <w:pPr>
              <w:spacing w:before="60" w:after="60"/>
              <w:rPr>
                <w:rFonts w:cs="Arial"/>
                <w:sz w:val="16"/>
                <w:szCs w:val="16"/>
              </w:rPr>
            </w:pPr>
            <w:r>
              <w:rPr>
                <w:rFonts w:cs="Arial"/>
                <w:sz w:val="16"/>
                <w:szCs w:val="16"/>
              </w:rPr>
              <w:t>Mexico 2004*</w:t>
            </w:r>
          </w:p>
        </w:tc>
        <w:tc>
          <w:tcPr>
            <w:tcW w:w="716" w:type="dxa"/>
          </w:tcPr>
          <w:p w:rsidR="00EE3232" w:rsidRDefault="00EE3232" w:rsidP="00614C04">
            <w:pPr>
              <w:spacing w:before="60" w:after="60"/>
              <w:jc w:val="center"/>
              <w:rPr>
                <w:rFonts w:cs="Arial"/>
                <w:sz w:val="16"/>
                <w:szCs w:val="16"/>
              </w:rPr>
            </w:pPr>
            <w:r>
              <w:rPr>
                <w:rFonts w:cs="Arial"/>
                <w:sz w:val="16"/>
                <w:szCs w:val="16"/>
              </w:rPr>
              <w:t>25</w:t>
            </w:r>
          </w:p>
        </w:tc>
        <w:tc>
          <w:tcPr>
            <w:tcW w:w="1548" w:type="dxa"/>
          </w:tcPr>
          <w:p w:rsidR="00EE3232" w:rsidRPr="00BB2B20" w:rsidRDefault="00EE3232" w:rsidP="00614C04">
            <w:pPr>
              <w:spacing w:before="60" w:after="60"/>
              <w:rPr>
                <w:rFonts w:cs="Arial"/>
                <w:sz w:val="16"/>
                <w:szCs w:val="16"/>
              </w:rPr>
            </w:pPr>
            <w:r>
              <w:rPr>
                <w:rFonts w:cs="Arial"/>
                <w:sz w:val="16"/>
                <w:szCs w:val="16"/>
              </w:rPr>
              <w:t>EU-15</w:t>
            </w:r>
          </w:p>
        </w:tc>
        <w:tc>
          <w:tcPr>
            <w:tcW w:w="651" w:type="dxa"/>
          </w:tcPr>
          <w:p w:rsidR="00EE3232" w:rsidRPr="00BB2B20" w:rsidRDefault="00EE3232" w:rsidP="00614C04">
            <w:pPr>
              <w:spacing w:before="60" w:after="60"/>
              <w:jc w:val="center"/>
              <w:rPr>
                <w:rFonts w:cs="Arial"/>
                <w:sz w:val="16"/>
                <w:szCs w:val="16"/>
              </w:rPr>
            </w:pPr>
            <w:r>
              <w:rPr>
                <w:rFonts w:cs="Arial"/>
                <w:sz w:val="16"/>
                <w:szCs w:val="16"/>
              </w:rPr>
              <w:t>16</w:t>
            </w:r>
          </w:p>
        </w:tc>
      </w:tr>
      <w:tr w:rsidR="00EE3232">
        <w:trPr>
          <w:jc w:val="center"/>
        </w:trPr>
        <w:tc>
          <w:tcPr>
            <w:tcW w:w="2078" w:type="dxa"/>
          </w:tcPr>
          <w:p w:rsidR="00EE3232" w:rsidRPr="00BB2B20" w:rsidRDefault="00EE3232" w:rsidP="00614C04">
            <w:pPr>
              <w:spacing w:before="60" w:after="60"/>
              <w:rPr>
                <w:rFonts w:cs="Arial"/>
                <w:sz w:val="16"/>
                <w:szCs w:val="16"/>
              </w:rPr>
            </w:pPr>
            <w:r w:rsidRPr="00BB2B20">
              <w:rPr>
                <w:rFonts w:cs="Arial"/>
                <w:sz w:val="16"/>
                <w:szCs w:val="16"/>
              </w:rPr>
              <w:t>United States</w:t>
            </w:r>
            <w:r>
              <w:rPr>
                <w:rFonts w:cs="Arial"/>
                <w:sz w:val="16"/>
                <w:szCs w:val="16"/>
              </w:rPr>
              <w:t xml:space="preserve"> 2004 *</w:t>
            </w:r>
          </w:p>
        </w:tc>
        <w:tc>
          <w:tcPr>
            <w:tcW w:w="716" w:type="dxa"/>
          </w:tcPr>
          <w:p w:rsidR="00EE3232" w:rsidRPr="00BB2B20" w:rsidRDefault="00EE3232" w:rsidP="00614C04">
            <w:pPr>
              <w:spacing w:before="60" w:after="60"/>
              <w:jc w:val="center"/>
              <w:rPr>
                <w:rFonts w:cs="Arial"/>
                <w:sz w:val="16"/>
                <w:szCs w:val="16"/>
              </w:rPr>
            </w:pPr>
            <w:r>
              <w:rPr>
                <w:rFonts w:cs="Arial"/>
                <w:sz w:val="16"/>
                <w:szCs w:val="16"/>
              </w:rPr>
              <w:t>24</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Belgium</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15</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Latvia</w:t>
                </w:r>
              </w:smartTag>
            </w:smartTag>
          </w:p>
        </w:tc>
        <w:tc>
          <w:tcPr>
            <w:tcW w:w="716" w:type="dxa"/>
          </w:tcPr>
          <w:p w:rsidR="00EE3232" w:rsidRDefault="00EE3232" w:rsidP="00614C04">
            <w:pPr>
              <w:spacing w:before="60" w:after="60"/>
              <w:jc w:val="center"/>
              <w:rPr>
                <w:rFonts w:cs="Arial"/>
                <w:sz w:val="16"/>
                <w:szCs w:val="16"/>
              </w:rPr>
            </w:pPr>
            <w:r>
              <w:rPr>
                <w:rFonts w:cs="Arial"/>
                <w:sz w:val="16"/>
                <w:szCs w:val="16"/>
              </w:rPr>
              <w:t>21</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Switzerland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15</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Spain</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21</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Luxembourg</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15</w:t>
            </w:r>
          </w:p>
        </w:tc>
      </w:tr>
      <w:tr w:rsidR="00EE3232">
        <w:trPr>
          <w:jc w:val="center"/>
        </w:trPr>
        <w:tc>
          <w:tcPr>
            <w:tcW w:w="2078"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Lithuania</w:t>
                </w:r>
              </w:smartTag>
            </w:smartTag>
          </w:p>
        </w:tc>
        <w:tc>
          <w:tcPr>
            <w:tcW w:w="716" w:type="dxa"/>
          </w:tcPr>
          <w:p w:rsidR="00EE3232" w:rsidRDefault="00EE3232" w:rsidP="00614C04">
            <w:pPr>
              <w:spacing w:before="60" w:after="60"/>
              <w:jc w:val="center"/>
              <w:rPr>
                <w:rFonts w:cs="Arial"/>
                <w:sz w:val="16"/>
                <w:szCs w:val="16"/>
              </w:rPr>
            </w:pPr>
            <w:r>
              <w:rPr>
                <w:rFonts w:cs="Arial"/>
                <w:sz w:val="16"/>
                <w:szCs w:val="16"/>
              </w:rPr>
              <w:t>20</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France</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14</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Greece</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20</w:t>
            </w:r>
          </w:p>
        </w:tc>
        <w:tc>
          <w:tcPr>
            <w:tcW w:w="1548" w:type="dxa"/>
          </w:tcPr>
          <w:p w:rsidR="00EE3232" w:rsidRPr="00BB2B20" w:rsidRDefault="00EE3232" w:rsidP="00614C04">
            <w:pPr>
              <w:spacing w:before="60" w:after="60"/>
              <w:ind w:hanging="33"/>
              <w:rPr>
                <w:rFonts w:cs="Arial"/>
                <w:sz w:val="16"/>
                <w:szCs w:val="16"/>
              </w:rPr>
            </w:pPr>
            <w:smartTag w:uri="urn:schemas-microsoft-com:office:smarttags" w:element="place">
              <w:smartTag w:uri="urn:schemas-microsoft-com:office:smarttags" w:element="country-region">
                <w:r w:rsidRPr="00BB2B20">
                  <w:rPr>
                    <w:rFonts w:cs="Arial"/>
                    <w:sz w:val="16"/>
                    <w:szCs w:val="16"/>
                  </w:rPr>
                  <w:t>Denmark</w:t>
                </w:r>
              </w:smartTag>
            </w:smartTag>
          </w:p>
        </w:tc>
        <w:tc>
          <w:tcPr>
            <w:tcW w:w="651" w:type="dxa"/>
          </w:tcPr>
          <w:p w:rsidR="00EE3232" w:rsidRPr="00BB2B20" w:rsidRDefault="00EE3232" w:rsidP="00614C04">
            <w:pPr>
              <w:spacing w:before="60" w:after="60"/>
              <w:ind w:firstLine="12"/>
              <w:jc w:val="center"/>
              <w:rPr>
                <w:rFonts w:cs="Arial"/>
                <w:sz w:val="16"/>
                <w:szCs w:val="16"/>
              </w:rPr>
            </w:pPr>
            <w:r>
              <w:rPr>
                <w:rFonts w:cs="Arial"/>
                <w:sz w:val="16"/>
                <w:szCs w:val="16"/>
              </w:rPr>
              <w:t>13</w:t>
            </w:r>
          </w:p>
        </w:tc>
      </w:tr>
      <w:tr w:rsidR="00EE3232">
        <w:trPr>
          <w:jc w:val="center"/>
        </w:trPr>
        <w:tc>
          <w:tcPr>
            <w:tcW w:w="2078" w:type="dxa"/>
          </w:tcPr>
          <w:p w:rsidR="00EE3232" w:rsidRPr="00BB2B20" w:rsidRDefault="00EE3232" w:rsidP="00614C04">
            <w:pPr>
              <w:spacing w:before="60" w:after="60"/>
              <w:rPr>
                <w:rFonts w:cs="Arial"/>
                <w:sz w:val="16"/>
                <w:szCs w:val="16"/>
              </w:rPr>
            </w:pPr>
            <w:r>
              <w:rPr>
                <w:rFonts w:cs="Arial"/>
                <w:sz w:val="16"/>
                <w:szCs w:val="16"/>
              </w:rPr>
              <w:t>Australia 2003 *</w:t>
            </w:r>
          </w:p>
        </w:tc>
        <w:tc>
          <w:tcPr>
            <w:tcW w:w="716" w:type="dxa"/>
          </w:tcPr>
          <w:p w:rsidR="00EE3232" w:rsidRPr="00BB2B20" w:rsidRDefault="00EE3232" w:rsidP="00614C04">
            <w:pPr>
              <w:spacing w:before="60" w:after="60"/>
              <w:jc w:val="center"/>
              <w:rPr>
                <w:rFonts w:cs="Arial"/>
                <w:sz w:val="16"/>
                <w:szCs w:val="16"/>
              </w:rPr>
            </w:pPr>
            <w:r>
              <w:rPr>
                <w:rFonts w:cs="Arial"/>
                <w:sz w:val="16"/>
                <w:szCs w:val="16"/>
              </w:rPr>
              <w:t>20</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Finland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13</w:t>
            </w:r>
          </w:p>
        </w:tc>
      </w:tr>
      <w:tr w:rsidR="00EE3232">
        <w:trPr>
          <w:jc w:val="center"/>
        </w:trPr>
        <w:tc>
          <w:tcPr>
            <w:tcW w:w="2078" w:type="dxa"/>
          </w:tcPr>
          <w:p w:rsidR="00EE3232" w:rsidRPr="00BB2B20" w:rsidRDefault="00EE3232" w:rsidP="00614C04">
            <w:pPr>
              <w:spacing w:before="60" w:after="60"/>
              <w:rPr>
                <w:rFonts w:cs="Arial"/>
                <w:sz w:val="16"/>
                <w:szCs w:val="16"/>
              </w:rPr>
            </w:pPr>
            <w:r w:rsidRPr="00BB2B20">
              <w:rPr>
                <w:rFonts w:cs="Arial"/>
                <w:sz w:val="16"/>
                <w:szCs w:val="16"/>
              </w:rPr>
              <w:t>Canada</w:t>
            </w:r>
            <w:r>
              <w:rPr>
                <w:rFonts w:cs="Arial"/>
                <w:sz w:val="16"/>
                <w:szCs w:val="16"/>
              </w:rPr>
              <w:t xml:space="preserve"> 2004 *</w:t>
            </w:r>
          </w:p>
        </w:tc>
        <w:tc>
          <w:tcPr>
            <w:tcW w:w="716" w:type="dxa"/>
          </w:tcPr>
          <w:p w:rsidR="00EE3232" w:rsidRPr="00BB2B20" w:rsidRDefault="00EE3232" w:rsidP="00614C04">
            <w:pPr>
              <w:spacing w:before="60" w:after="60"/>
              <w:jc w:val="center"/>
              <w:rPr>
                <w:rFonts w:cs="Arial"/>
                <w:noProof/>
                <w:sz w:val="16"/>
                <w:szCs w:val="16"/>
                <w:lang w:val="en-US"/>
              </w:rPr>
            </w:pPr>
            <w:r>
              <w:rPr>
                <w:rFonts w:cs="Arial"/>
                <w:noProof/>
                <w:sz w:val="16"/>
                <w:szCs w:val="16"/>
                <w:lang w:val="en-US"/>
              </w:rPr>
              <w:t>20</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Sweden</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13</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Italy</w:t>
                </w:r>
              </w:smartTag>
            </w:smartTag>
          </w:p>
        </w:tc>
        <w:tc>
          <w:tcPr>
            <w:tcW w:w="716" w:type="dxa"/>
          </w:tcPr>
          <w:p w:rsidR="00EE3232" w:rsidRPr="00BB2B20" w:rsidRDefault="00EE3232" w:rsidP="00614C04">
            <w:pPr>
              <w:spacing w:before="60" w:after="60"/>
              <w:jc w:val="center"/>
              <w:rPr>
                <w:rFonts w:cs="Arial"/>
                <w:noProof/>
                <w:sz w:val="16"/>
                <w:szCs w:val="16"/>
                <w:lang w:val="en-US"/>
              </w:rPr>
            </w:pPr>
            <w:r>
              <w:rPr>
                <w:rFonts w:cs="Arial"/>
                <w:noProof/>
                <w:sz w:val="16"/>
                <w:szCs w:val="16"/>
                <w:lang w:val="en-US"/>
              </w:rPr>
              <w:t>18</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Slovenia</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13</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Portugal</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18</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Austria</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12</w:t>
            </w:r>
          </w:p>
        </w:tc>
      </w:tr>
      <w:tr w:rsidR="00EE3232">
        <w:trPr>
          <w:jc w:val="center"/>
        </w:trPr>
        <w:tc>
          <w:tcPr>
            <w:tcW w:w="2078"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Poland</w:t>
                </w:r>
              </w:smartTag>
            </w:smartTag>
            <w:r>
              <w:rPr>
                <w:rFonts w:cs="Arial"/>
                <w:sz w:val="16"/>
                <w:szCs w:val="16"/>
              </w:rPr>
              <w:t xml:space="preserve"> </w:t>
            </w:r>
          </w:p>
        </w:tc>
        <w:tc>
          <w:tcPr>
            <w:tcW w:w="716" w:type="dxa"/>
          </w:tcPr>
          <w:p w:rsidR="00EE3232" w:rsidRPr="00BB2B20" w:rsidRDefault="00EE3232" w:rsidP="00614C04">
            <w:pPr>
              <w:spacing w:before="60" w:after="60"/>
              <w:jc w:val="center"/>
              <w:rPr>
                <w:rFonts w:cs="Arial"/>
                <w:sz w:val="16"/>
                <w:szCs w:val="16"/>
              </w:rPr>
            </w:pPr>
            <w:r>
              <w:rPr>
                <w:rFonts w:cs="Arial"/>
                <w:sz w:val="16"/>
                <w:szCs w:val="16"/>
              </w:rPr>
              <w:t>18</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Hungary</w:t>
                </w:r>
              </w:smartTag>
            </w:smartTag>
            <w:r>
              <w:rPr>
                <w:rFonts w:cs="Arial"/>
                <w:sz w:val="16"/>
                <w:szCs w:val="16"/>
              </w:rPr>
              <w:t xml:space="preserve"> </w:t>
            </w:r>
          </w:p>
        </w:tc>
        <w:tc>
          <w:tcPr>
            <w:tcW w:w="651" w:type="dxa"/>
          </w:tcPr>
          <w:p w:rsidR="00EE3232" w:rsidRPr="00BB2B20" w:rsidRDefault="00EE3232" w:rsidP="00614C04">
            <w:pPr>
              <w:spacing w:before="60" w:after="60"/>
              <w:jc w:val="center"/>
              <w:rPr>
                <w:rFonts w:cs="Arial"/>
                <w:sz w:val="16"/>
                <w:szCs w:val="16"/>
              </w:rPr>
            </w:pPr>
            <w:r>
              <w:rPr>
                <w:rFonts w:cs="Arial"/>
                <w:sz w:val="16"/>
                <w:szCs w:val="16"/>
              </w:rPr>
              <w:t>12</w:t>
            </w:r>
          </w:p>
        </w:tc>
      </w:tr>
      <w:tr w:rsidR="00EE3232">
        <w:trPr>
          <w:jc w:val="center"/>
        </w:trPr>
        <w:tc>
          <w:tcPr>
            <w:tcW w:w="2078" w:type="dxa"/>
          </w:tcPr>
          <w:p w:rsidR="00EE3232" w:rsidRPr="000A2A42" w:rsidRDefault="00EE3232" w:rsidP="00614C04">
            <w:pPr>
              <w:spacing w:before="60" w:after="60"/>
              <w:rPr>
                <w:rFonts w:cs="Arial"/>
                <w:b/>
                <w:sz w:val="16"/>
                <w:szCs w:val="16"/>
              </w:rPr>
            </w:pPr>
            <w:r w:rsidRPr="000A2A42">
              <w:rPr>
                <w:rFonts w:cs="Arial"/>
                <w:b/>
                <w:sz w:val="16"/>
                <w:szCs w:val="16"/>
              </w:rPr>
              <w:t>New Zealand</w:t>
            </w:r>
            <w:r>
              <w:rPr>
                <w:rFonts w:cs="Arial"/>
                <w:b/>
                <w:sz w:val="16"/>
                <w:szCs w:val="16"/>
              </w:rPr>
              <w:t xml:space="preserve"> 2010</w:t>
            </w:r>
          </w:p>
        </w:tc>
        <w:tc>
          <w:tcPr>
            <w:tcW w:w="716" w:type="dxa"/>
          </w:tcPr>
          <w:p w:rsidR="00EE3232" w:rsidRPr="00966B94" w:rsidRDefault="00EE3232" w:rsidP="00614C04">
            <w:pPr>
              <w:spacing w:before="60" w:after="60"/>
              <w:jc w:val="center"/>
              <w:rPr>
                <w:rFonts w:cs="Arial"/>
                <w:b/>
                <w:sz w:val="16"/>
                <w:szCs w:val="16"/>
              </w:rPr>
            </w:pPr>
            <w:r>
              <w:rPr>
                <w:rFonts w:cs="Arial"/>
                <w:b/>
                <w:sz w:val="16"/>
                <w:szCs w:val="16"/>
              </w:rPr>
              <w:t>17</w:t>
            </w:r>
          </w:p>
        </w:tc>
        <w:tc>
          <w:tcPr>
            <w:tcW w:w="1548" w:type="dxa"/>
          </w:tcPr>
          <w:p w:rsidR="00EE3232" w:rsidRPr="00C7136E"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C7136E">
                  <w:rPr>
                    <w:rFonts w:cs="Arial"/>
                    <w:sz w:val="16"/>
                    <w:szCs w:val="16"/>
                  </w:rPr>
                  <w:t>Slovakia</w:t>
                </w:r>
              </w:smartTag>
            </w:smartTag>
          </w:p>
        </w:tc>
        <w:tc>
          <w:tcPr>
            <w:tcW w:w="651" w:type="dxa"/>
          </w:tcPr>
          <w:p w:rsidR="00EE3232" w:rsidRPr="00C7136E" w:rsidRDefault="00EE3232" w:rsidP="00614C04">
            <w:pPr>
              <w:spacing w:before="60" w:after="60"/>
              <w:jc w:val="center"/>
              <w:rPr>
                <w:rFonts w:cs="Arial"/>
                <w:sz w:val="16"/>
                <w:szCs w:val="16"/>
              </w:rPr>
            </w:pPr>
            <w:r>
              <w:rPr>
                <w:rFonts w:cs="Arial"/>
                <w:sz w:val="16"/>
                <w:szCs w:val="16"/>
              </w:rPr>
              <w:t>12</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United Kingdom</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17</w:t>
            </w:r>
          </w:p>
        </w:tc>
        <w:tc>
          <w:tcPr>
            <w:tcW w:w="1548" w:type="dxa"/>
          </w:tcPr>
          <w:p w:rsidR="00EE3232" w:rsidRPr="00BB2B20" w:rsidRDefault="00EE3232" w:rsidP="00614C04">
            <w:pPr>
              <w:spacing w:before="60" w:after="60"/>
              <w:ind w:hanging="33"/>
              <w:rPr>
                <w:rFonts w:cs="Arial"/>
                <w:sz w:val="16"/>
                <w:szCs w:val="16"/>
              </w:rPr>
            </w:pPr>
            <w:smartTag w:uri="urn:schemas-microsoft-com:office:smarttags" w:element="place">
              <w:smartTag w:uri="urn:schemas-microsoft-com:office:smarttags" w:element="country-region">
                <w:r>
                  <w:rPr>
                    <w:rFonts w:cs="Arial"/>
                    <w:sz w:val="16"/>
                    <w:szCs w:val="16"/>
                  </w:rPr>
                  <w:t>Norway</w:t>
                </w:r>
              </w:smartTag>
            </w:smartTag>
          </w:p>
        </w:tc>
        <w:tc>
          <w:tcPr>
            <w:tcW w:w="651" w:type="dxa"/>
          </w:tcPr>
          <w:p w:rsidR="00EE3232" w:rsidRDefault="00EE3232" w:rsidP="00614C04">
            <w:pPr>
              <w:spacing w:before="60" w:after="60"/>
              <w:ind w:firstLine="12"/>
              <w:jc w:val="center"/>
              <w:rPr>
                <w:rFonts w:cs="Arial"/>
                <w:sz w:val="16"/>
                <w:szCs w:val="16"/>
              </w:rPr>
            </w:pPr>
            <w:r>
              <w:rPr>
                <w:rFonts w:cs="Arial"/>
                <w:sz w:val="16"/>
                <w:szCs w:val="16"/>
              </w:rPr>
              <w:t>11</w:t>
            </w:r>
          </w:p>
        </w:tc>
      </w:tr>
      <w:tr w:rsidR="00EE3232">
        <w:trPr>
          <w:jc w:val="center"/>
        </w:trPr>
        <w:tc>
          <w:tcPr>
            <w:tcW w:w="2078"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Estonia</w:t>
                </w:r>
              </w:smartTag>
            </w:smartTag>
          </w:p>
        </w:tc>
        <w:tc>
          <w:tcPr>
            <w:tcW w:w="716" w:type="dxa"/>
          </w:tcPr>
          <w:p w:rsidR="00EE3232" w:rsidRDefault="00EE3232" w:rsidP="00614C04">
            <w:pPr>
              <w:spacing w:before="60" w:after="60"/>
              <w:jc w:val="center"/>
              <w:rPr>
                <w:rFonts w:cs="Arial"/>
                <w:sz w:val="16"/>
                <w:szCs w:val="16"/>
              </w:rPr>
            </w:pPr>
            <w:r>
              <w:rPr>
                <w:rFonts w:cs="Arial"/>
                <w:sz w:val="16"/>
                <w:szCs w:val="16"/>
              </w:rPr>
              <w:t>16</w:t>
            </w:r>
          </w:p>
        </w:tc>
        <w:tc>
          <w:tcPr>
            <w:tcW w:w="154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Netherlands</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Germany</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16</w:t>
            </w:r>
          </w:p>
        </w:tc>
        <w:tc>
          <w:tcPr>
            <w:tcW w:w="1548" w:type="dxa"/>
          </w:tcPr>
          <w:p w:rsidR="00EE3232" w:rsidRPr="00BB2B20" w:rsidRDefault="00EE3232" w:rsidP="00614C04">
            <w:pPr>
              <w:spacing w:before="60" w:after="60"/>
              <w:ind w:hanging="33"/>
              <w:rPr>
                <w:rFonts w:cs="Arial"/>
                <w:sz w:val="16"/>
                <w:szCs w:val="16"/>
              </w:rPr>
            </w:pPr>
            <w:smartTag w:uri="urn:schemas-microsoft-com:office:smarttags" w:element="place">
              <w:smartTag w:uri="urn:schemas-microsoft-com:office:smarttags" w:element="country-region">
                <w:r>
                  <w:rPr>
                    <w:rFonts w:cs="Arial"/>
                    <w:sz w:val="16"/>
                    <w:szCs w:val="16"/>
                  </w:rPr>
                  <w:t>Iceland</w:t>
                </w:r>
              </w:smartTag>
            </w:smartTag>
          </w:p>
        </w:tc>
        <w:tc>
          <w:tcPr>
            <w:tcW w:w="651" w:type="dxa"/>
          </w:tcPr>
          <w:p w:rsidR="00EE3232" w:rsidRDefault="00EE3232" w:rsidP="00614C04">
            <w:pPr>
              <w:spacing w:before="60" w:after="60"/>
              <w:ind w:firstLine="12"/>
              <w:jc w:val="center"/>
              <w:rPr>
                <w:rFonts w:cs="Arial"/>
                <w:sz w:val="16"/>
                <w:szCs w:val="16"/>
              </w:rPr>
            </w:pPr>
            <w:r>
              <w:rPr>
                <w:rFonts w:cs="Arial"/>
                <w:sz w:val="16"/>
                <w:szCs w:val="16"/>
              </w:rPr>
              <w:t>10</w:t>
            </w:r>
          </w:p>
        </w:tc>
      </w:tr>
      <w:tr w:rsidR="00EE3232">
        <w:trPr>
          <w:jc w:val="center"/>
        </w:trPr>
        <w:tc>
          <w:tcPr>
            <w:tcW w:w="207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Ireland</w:t>
                </w:r>
              </w:smartTag>
            </w:smartTag>
          </w:p>
        </w:tc>
        <w:tc>
          <w:tcPr>
            <w:tcW w:w="716" w:type="dxa"/>
          </w:tcPr>
          <w:p w:rsidR="00EE3232" w:rsidRPr="00BB2B20" w:rsidRDefault="00EE3232" w:rsidP="00614C04">
            <w:pPr>
              <w:spacing w:before="60" w:after="60"/>
              <w:jc w:val="center"/>
              <w:rPr>
                <w:rFonts w:cs="Arial"/>
                <w:sz w:val="16"/>
                <w:szCs w:val="16"/>
              </w:rPr>
            </w:pPr>
            <w:r>
              <w:rPr>
                <w:rFonts w:cs="Arial"/>
                <w:sz w:val="16"/>
                <w:szCs w:val="16"/>
              </w:rPr>
              <w:t>16</w:t>
            </w:r>
          </w:p>
        </w:tc>
        <w:tc>
          <w:tcPr>
            <w:tcW w:w="1548" w:type="dxa"/>
          </w:tcPr>
          <w:p w:rsidR="00EE3232" w:rsidRDefault="00EE3232" w:rsidP="00614C04">
            <w:pPr>
              <w:spacing w:before="60" w:after="60"/>
              <w:ind w:hanging="33"/>
              <w:rPr>
                <w:rFonts w:cs="Arial"/>
                <w:sz w:val="16"/>
                <w:szCs w:val="16"/>
              </w:rPr>
            </w:pPr>
            <w:smartTag w:uri="urn:schemas-microsoft-com:office:smarttags" w:element="place">
              <w:smartTag w:uri="urn:schemas-microsoft-com:office:smarttags" w:element="PlaceName">
                <w:r>
                  <w:rPr>
                    <w:rFonts w:cs="Arial"/>
                    <w:sz w:val="16"/>
                    <w:szCs w:val="16"/>
                  </w:rPr>
                  <w:t>Czech</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tcPr>
          <w:p w:rsidR="00EE3232" w:rsidRDefault="00EE3232" w:rsidP="00614C04">
            <w:pPr>
              <w:spacing w:before="60" w:after="60"/>
              <w:ind w:firstLine="12"/>
              <w:jc w:val="center"/>
              <w:rPr>
                <w:rFonts w:cs="Arial"/>
                <w:sz w:val="16"/>
                <w:szCs w:val="16"/>
              </w:rPr>
            </w:pPr>
            <w:r>
              <w:rPr>
                <w:rFonts w:cs="Arial"/>
                <w:sz w:val="16"/>
                <w:szCs w:val="16"/>
              </w:rPr>
              <w:t>9</w:t>
            </w:r>
          </w:p>
        </w:tc>
      </w:tr>
    </w:tbl>
    <w:p w:rsidR="00EE3232" w:rsidRDefault="00EE3232" w:rsidP="00EE3232">
      <w:pPr>
        <w:ind w:left="1814" w:right="1195" w:hanging="907"/>
        <w:jc w:val="both"/>
        <w:rPr>
          <w:rFonts w:cs="Arial"/>
          <w:sz w:val="18"/>
          <w:szCs w:val="18"/>
          <w:u w:val="single"/>
        </w:rPr>
      </w:pPr>
    </w:p>
    <w:p w:rsidR="00EE3232" w:rsidRDefault="00EE3232" w:rsidP="00EE3232">
      <w:pPr>
        <w:ind w:left="1530" w:right="1195" w:hanging="900"/>
        <w:jc w:val="both"/>
        <w:rPr>
          <w:rFonts w:cs="Arial"/>
          <w:sz w:val="18"/>
          <w:szCs w:val="18"/>
        </w:rPr>
      </w:pPr>
      <w:r w:rsidRPr="00EF7BC7">
        <w:rPr>
          <w:rFonts w:cs="Arial"/>
          <w:sz w:val="18"/>
          <w:szCs w:val="18"/>
          <w:u w:val="single"/>
        </w:rPr>
        <w:t>Source</w:t>
      </w:r>
      <w:r>
        <w:rPr>
          <w:rFonts w:cs="Arial"/>
          <w:sz w:val="18"/>
          <w:szCs w:val="18"/>
          <w:u w:val="single"/>
        </w:rPr>
        <w:t>s:</w:t>
      </w:r>
      <w:r>
        <w:rPr>
          <w:rFonts w:cs="Arial"/>
          <w:sz w:val="18"/>
          <w:szCs w:val="18"/>
        </w:rPr>
        <w:tab/>
        <w:t xml:space="preserve">Most of the data in the table is drawn directly from the Eurostat statistical database for ‘Living Conditions and Social Protection’, accessed on 22 May 2012.  The rates for </w:t>
      </w:r>
      <w:smartTag w:uri="urn:schemas-microsoft-com:office:smarttags" w:element="country-region">
        <w:r>
          <w:rPr>
            <w:rFonts w:cs="Arial"/>
            <w:sz w:val="18"/>
            <w:szCs w:val="18"/>
          </w:rPr>
          <w:t>Canada</w:t>
        </w:r>
      </w:smartTag>
      <w:r>
        <w:rPr>
          <w:rFonts w:cs="Arial"/>
          <w:sz w:val="18"/>
          <w:szCs w:val="18"/>
        </w:rPr>
        <w:t xml:space="preserve">, the </w:t>
      </w:r>
      <w:smartTag w:uri="urn:schemas-microsoft-com:office:smarttags" w:element="country-region">
        <w:r>
          <w:rPr>
            <w:rFonts w:cs="Arial"/>
            <w:sz w:val="18"/>
            <w:szCs w:val="18"/>
          </w:rPr>
          <w:t>US</w:t>
        </w:r>
      </w:smartTag>
      <w:r>
        <w:rPr>
          <w:rFonts w:cs="Arial"/>
          <w:sz w:val="18"/>
          <w:szCs w:val="18"/>
        </w:rPr>
        <w:t xml:space="preserve">, </w:t>
      </w:r>
      <w:smartTag w:uri="urn:schemas-microsoft-com:office:smarttags" w:element="country-region">
        <w:r>
          <w:rPr>
            <w:rFonts w:cs="Arial"/>
            <w:sz w:val="18"/>
            <w:szCs w:val="18"/>
          </w:rPr>
          <w:t>Mexico</w:t>
        </w:r>
      </w:smartTag>
      <w:r>
        <w:rPr>
          <w:rFonts w:cs="Arial"/>
          <w:sz w:val="18"/>
          <w:szCs w:val="18"/>
        </w:rPr>
        <w:t xml:space="preserve"> and </w:t>
      </w:r>
      <w:smartTag w:uri="urn:schemas-microsoft-com:office:smarttags" w:element="place">
        <w:smartTag w:uri="urn:schemas-microsoft-com:office:smarttags" w:element="country-region">
          <w:r>
            <w:rPr>
              <w:rFonts w:cs="Arial"/>
              <w:sz w:val="18"/>
              <w:szCs w:val="18"/>
            </w:rPr>
            <w:t>Australia</w:t>
          </w:r>
        </w:smartTag>
      </w:smartTag>
      <w:r>
        <w:rPr>
          <w:rFonts w:cs="Arial"/>
          <w:sz w:val="18"/>
          <w:szCs w:val="18"/>
        </w:rPr>
        <w:t xml:space="preserve"> are drawn from the LIS Key Figures database at </w:t>
      </w:r>
      <w:hyperlink r:id="rId111" w:history="1">
        <w:r w:rsidRPr="00E84D86">
          <w:rPr>
            <w:rStyle w:val="Hyperlink"/>
            <w:rFonts w:cs="Arial"/>
            <w:sz w:val="18"/>
            <w:szCs w:val="18"/>
          </w:rPr>
          <w:t>www.lisproject.org/key-figures/key-figures.htm</w:t>
        </w:r>
      </w:hyperlink>
      <w:r>
        <w:rPr>
          <w:rFonts w:cs="Arial"/>
          <w:sz w:val="18"/>
          <w:szCs w:val="18"/>
          <w:lang w:val="en-NZ"/>
        </w:rPr>
        <w:t xml:space="preserve"> </w:t>
      </w:r>
      <w:r>
        <w:rPr>
          <w:rFonts w:cs="Arial"/>
          <w:sz w:val="18"/>
          <w:szCs w:val="18"/>
        </w:rPr>
        <w:t xml:space="preserve">accessed on </w:t>
      </w:r>
      <w:smartTag w:uri="urn:schemas-microsoft-com:office:smarttags" w:element="date">
        <w:smartTagPr>
          <w:attr w:name="Month" w:val="6"/>
          <w:attr w:name="Day" w:val="20"/>
          <w:attr w:name="Year" w:val="2011"/>
        </w:smartTagPr>
        <w:r>
          <w:rPr>
            <w:rFonts w:cs="Arial"/>
            <w:sz w:val="18"/>
            <w:szCs w:val="18"/>
          </w:rPr>
          <w:t>20 June 2011</w:t>
        </w:r>
      </w:smartTag>
      <w:r>
        <w:rPr>
          <w:rFonts w:cs="Arial"/>
          <w:sz w:val="18"/>
          <w:szCs w:val="18"/>
        </w:rPr>
        <w:t xml:space="preserve">. </w:t>
      </w:r>
    </w:p>
    <w:p w:rsidR="00EE3232" w:rsidRPr="00A21EFF" w:rsidRDefault="00EE3232" w:rsidP="00EE3232">
      <w:pPr>
        <w:jc w:val="both"/>
        <w:rPr>
          <w:rFonts w:cs="Arial"/>
          <w:b/>
          <w:sz w:val="20"/>
          <w:szCs w:val="22"/>
        </w:rPr>
      </w:pPr>
      <w:r>
        <w:rPr>
          <w:rFonts w:cs="Arial"/>
          <w:b/>
          <w:szCs w:val="22"/>
        </w:rPr>
        <w:br w:type="page"/>
      </w:r>
      <w:r w:rsidRPr="00A21EFF">
        <w:rPr>
          <w:rFonts w:cs="Arial"/>
          <w:b/>
          <w:sz w:val="20"/>
          <w:szCs w:val="22"/>
        </w:rPr>
        <w:lastRenderedPageBreak/>
        <w:t xml:space="preserve">Child poverty comparisons using a 50% </w:t>
      </w:r>
      <w:smartTag w:uri="urn:schemas-microsoft-com:office:smarttags" w:element="stockticker">
        <w:r w:rsidRPr="00A21EFF">
          <w:rPr>
            <w:rFonts w:cs="Arial"/>
            <w:b/>
            <w:sz w:val="20"/>
            <w:szCs w:val="22"/>
          </w:rPr>
          <w:t>BHC</w:t>
        </w:r>
      </w:smartTag>
      <w:r w:rsidRPr="00A21EFF">
        <w:rPr>
          <w:rFonts w:cs="Arial"/>
          <w:b/>
          <w:sz w:val="20"/>
          <w:szCs w:val="22"/>
        </w:rPr>
        <w:t xml:space="preserve"> threshold</w:t>
      </w:r>
    </w:p>
    <w:p w:rsidR="00EE3232" w:rsidRPr="00A21EFF" w:rsidRDefault="00EE3232" w:rsidP="00EE3232">
      <w:pPr>
        <w:jc w:val="both"/>
        <w:rPr>
          <w:rFonts w:cs="Arial"/>
          <w:b/>
          <w:sz w:val="20"/>
          <w:szCs w:val="22"/>
        </w:rPr>
      </w:pP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On the OECD 50% of median moving line</w:t>
      </w:r>
      <w:r>
        <w:rPr>
          <w:rFonts w:cs="Arial"/>
          <w:sz w:val="20"/>
          <w:szCs w:val="22"/>
        </w:rPr>
        <w:t xml:space="preserve"> (</w:t>
      </w:r>
      <w:smartTag w:uri="urn:schemas-microsoft-com:office:smarttags" w:element="stockticker">
        <w:r>
          <w:rPr>
            <w:rFonts w:cs="Arial"/>
            <w:sz w:val="20"/>
            <w:szCs w:val="22"/>
          </w:rPr>
          <w:t>REL</w:t>
        </w:r>
      </w:smartTag>
      <w:r>
        <w:rPr>
          <w:rFonts w:cs="Arial"/>
          <w:sz w:val="20"/>
          <w:szCs w:val="22"/>
        </w:rPr>
        <w:t>)</w:t>
      </w:r>
      <w:r w:rsidRPr="00A21EFF">
        <w:rPr>
          <w:rFonts w:cs="Arial"/>
          <w:sz w:val="20"/>
          <w:szCs w:val="22"/>
        </w:rPr>
        <w:t xml:space="preserve"> measure, the average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child poverty rate through the mid-1990s (1994 to 1996) was 13%</w:t>
      </w:r>
      <w:r>
        <w:rPr>
          <w:rFonts w:cs="Arial"/>
          <w:sz w:val="20"/>
          <w:szCs w:val="22"/>
        </w:rPr>
        <w:t>, rising to 15% in 2004.</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By the time of the 200</w:t>
      </w:r>
      <w:r>
        <w:rPr>
          <w:rFonts w:cs="Arial"/>
          <w:sz w:val="20"/>
          <w:szCs w:val="22"/>
        </w:rPr>
        <w:t>9</w:t>
      </w:r>
      <w:r w:rsidRPr="00A21EFF">
        <w:rPr>
          <w:rFonts w:cs="Arial"/>
          <w:sz w:val="20"/>
          <w:szCs w:val="22"/>
        </w:rPr>
        <w:t xml:space="preserve"> HES the rate was just over 1</w:t>
      </w:r>
      <w:r>
        <w:rPr>
          <w:rFonts w:cs="Arial"/>
          <w:sz w:val="20"/>
          <w:szCs w:val="22"/>
        </w:rPr>
        <w:t>2</w:t>
      </w:r>
      <w:r w:rsidRPr="00A21EFF">
        <w:rPr>
          <w:rFonts w:cs="Arial"/>
          <w:sz w:val="20"/>
          <w:szCs w:val="22"/>
        </w:rPr>
        <w:t>%</w:t>
      </w:r>
      <w:r>
        <w:rPr>
          <w:rFonts w:cs="Arial"/>
          <w:sz w:val="20"/>
          <w:szCs w:val="22"/>
        </w:rPr>
        <w:t xml:space="preserve">.  </w:t>
      </w:r>
      <w:r w:rsidRPr="00A21EFF">
        <w:rPr>
          <w:rFonts w:cs="Arial"/>
          <w:b/>
          <w:sz w:val="20"/>
          <w:szCs w:val="22"/>
        </w:rPr>
        <w:t>Table J.3</w:t>
      </w:r>
      <w:r w:rsidRPr="00A21EFF">
        <w:rPr>
          <w:rFonts w:cs="Arial"/>
          <w:sz w:val="20"/>
          <w:szCs w:val="22"/>
        </w:rPr>
        <w:t xml:space="preserve"> shows that this placed </w:t>
      </w:r>
      <w:smartTag w:uri="urn:schemas-microsoft-com:office:smarttags" w:element="country-region">
        <w:r w:rsidRPr="00A21EFF">
          <w:rPr>
            <w:rFonts w:cs="Arial"/>
            <w:sz w:val="20"/>
            <w:szCs w:val="22"/>
          </w:rPr>
          <w:t>New Zealand</w:t>
        </w:r>
      </w:smartTag>
      <w:r w:rsidRPr="00A21EFF">
        <w:rPr>
          <w:rFonts w:cs="Arial"/>
          <w:sz w:val="20"/>
          <w:szCs w:val="22"/>
        </w:rPr>
        <w:t xml:space="preserve"> </w:t>
      </w:r>
      <w:r>
        <w:rPr>
          <w:rFonts w:cs="Arial"/>
          <w:sz w:val="20"/>
          <w:szCs w:val="22"/>
        </w:rPr>
        <w:t>at the median for child poverty for the 34</w:t>
      </w:r>
      <w:r w:rsidRPr="00A21EFF">
        <w:rPr>
          <w:rFonts w:cs="Arial"/>
          <w:sz w:val="20"/>
          <w:szCs w:val="22"/>
        </w:rPr>
        <w:t xml:space="preserve"> OECD countries, </w:t>
      </w:r>
      <w:r>
        <w:rPr>
          <w:rFonts w:cs="Arial"/>
          <w:sz w:val="20"/>
          <w:szCs w:val="22"/>
        </w:rPr>
        <w:t xml:space="preserve">alongside </w:t>
      </w:r>
      <w:smartTag w:uri="urn:schemas-microsoft-com:office:smarttags" w:element="place">
        <w:smartTag w:uri="urn:schemas-microsoft-com:office:smarttags" w:element="country-region">
          <w:r>
            <w:rPr>
              <w:rFonts w:cs="Arial"/>
              <w:sz w:val="20"/>
              <w:szCs w:val="22"/>
            </w:rPr>
            <w:t>Australia</w:t>
          </w:r>
        </w:smartTag>
      </w:smartTag>
      <w:r>
        <w:rPr>
          <w:rFonts w:cs="Arial"/>
          <w:sz w:val="20"/>
          <w:szCs w:val="22"/>
        </w:rPr>
        <w:t>.</w:t>
      </w:r>
      <w:r w:rsidRPr="00A21EFF">
        <w:rPr>
          <w:rFonts w:cs="Arial"/>
          <w:sz w:val="20"/>
          <w:szCs w:val="22"/>
        </w:rPr>
        <w:t xml:space="preserve"> </w:t>
      </w:r>
    </w:p>
    <w:p w:rsidR="00EE3232" w:rsidRPr="00A21EFF" w:rsidRDefault="00EE3232" w:rsidP="00614C04">
      <w:pPr>
        <w:numPr>
          <w:ilvl w:val="0"/>
          <w:numId w:val="48"/>
        </w:numPr>
        <w:tabs>
          <w:tab w:val="clear" w:pos="720"/>
          <w:tab w:val="left" w:pos="540"/>
        </w:tabs>
        <w:ind w:left="540"/>
        <w:jc w:val="both"/>
        <w:rPr>
          <w:rFonts w:cs="Arial"/>
          <w:sz w:val="20"/>
          <w:szCs w:val="22"/>
        </w:rPr>
      </w:pPr>
      <w:r>
        <w:rPr>
          <w:rFonts w:cs="Arial"/>
          <w:sz w:val="20"/>
          <w:szCs w:val="22"/>
        </w:rPr>
        <w:t>In the 2011 HES</w:t>
      </w:r>
      <w:r w:rsidRPr="00A21EFF">
        <w:rPr>
          <w:rFonts w:cs="Arial"/>
          <w:sz w:val="20"/>
          <w:szCs w:val="22"/>
        </w:rPr>
        <w:t xml:space="preserve">, the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rate was </w:t>
      </w:r>
      <w:r>
        <w:rPr>
          <w:rFonts w:cs="Arial"/>
          <w:sz w:val="20"/>
          <w:szCs w:val="22"/>
        </w:rPr>
        <w:t xml:space="preserve">12% again, after a small rise to 13.5% in 2010 HES. </w:t>
      </w:r>
    </w:p>
    <w:p w:rsidR="00EE3232" w:rsidRPr="00A21EFF" w:rsidRDefault="00EE3232" w:rsidP="00EE3232">
      <w:pPr>
        <w:jc w:val="center"/>
        <w:rPr>
          <w:rFonts w:cs="Arial"/>
          <w:b/>
          <w:sz w:val="18"/>
        </w:rPr>
      </w:pPr>
    </w:p>
    <w:p w:rsidR="00EE3232" w:rsidRPr="00A21EFF" w:rsidRDefault="00EE3232" w:rsidP="00EE3232">
      <w:pPr>
        <w:jc w:val="center"/>
        <w:rPr>
          <w:rFonts w:cs="Arial"/>
          <w:b/>
          <w:sz w:val="18"/>
        </w:rPr>
      </w:pPr>
    </w:p>
    <w:p w:rsidR="00EE3232" w:rsidRPr="00A21EFF" w:rsidRDefault="00EE3232" w:rsidP="00EE3232">
      <w:pPr>
        <w:jc w:val="center"/>
        <w:rPr>
          <w:rFonts w:cs="Arial"/>
          <w:b/>
          <w:sz w:val="18"/>
        </w:rPr>
      </w:pPr>
      <w:r w:rsidRPr="00A21EFF">
        <w:rPr>
          <w:rFonts w:cs="Arial"/>
          <w:b/>
          <w:sz w:val="18"/>
        </w:rPr>
        <w:t>Table J.3</w:t>
      </w:r>
    </w:p>
    <w:p w:rsidR="00EE3232" w:rsidRPr="00A21EFF" w:rsidRDefault="00EE3232" w:rsidP="00EE3232">
      <w:pPr>
        <w:jc w:val="center"/>
        <w:rPr>
          <w:rFonts w:cs="Arial"/>
          <w:b/>
          <w:sz w:val="18"/>
        </w:rPr>
      </w:pPr>
      <w:r w:rsidRPr="00A21EFF">
        <w:rPr>
          <w:rFonts w:cs="Arial"/>
          <w:b/>
          <w:sz w:val="18"/>
        </w:rPr>
        <w:t>Child poverty rates</w:t>
      </w:r>
      <w:r>
        <w:rPr>
          <w:rFonts w:cs="Arial"/>
          <w:b/>
          <w:sz w:val="18"/>
        </w:rPr>
        <w:t xml:space="preserve"> (%) in the OECD-34, mid to late 2000s</w:t>
      </w:r>
      <w:r w:rsidRPr="00A21EFF">
        <w:rPr>
          <w:rFonts w:cs="Arial"/>
          <w:b/>
          <w:sz w:val="18"/>
        </w:rPr>
        <w:t xml:space="preserve">: </w:t>
      </w:r>
    </w:p>
    <w:p w:rsidR="00EE3232" w:rsidRPr="00A21EFF" w:rsidRDefault="00EE3232" w:rsidP="00EE3232">
      <w:pPr>
        <w:spacing w:after="120"/>
        <w:jc w:val="center"/>
        <w:rPr>
          <w:rFonts w:cs="Arial"/>
          <w:b/>
          <w:sz w:val="18"/>
        </w:rPr>
      </w:pPr>
      <w:r w:rsidRPr="00A21EFF">
        <w:rPr>
          <w:rFonts w:cs="Arial"/>
          <w:b/>
          <w:sz w:val="18"/>
        </w:rPr>
        <w:t>50% of median threshold (</w:t>
      </w:r>
      <w:smartTag w:uri="urn:schemas-microsoft-com:office:smarttags" w:element="stockticker">
        <w:r w:rsidRPr="00A21EFF">
          <w:rPr>
            <w:rFonts w:cs="Arial"/>
            <w:b/>
            <w:sz w:val="18"/>
          </w:rPr>
          <w:t>BHC</w:t>
        </w:r>
      </w:smartTag>
      <w:r w:rsidRPr="00A21EFF">
        <w:rPr>
          <w:rFonts w:cs="Arial"/>
          <w:b/>
          <w:sz w:val="18"/>
        </w:rPr>
        <w:t>)</w:t>
      </w:r>
    </w:p>
    <w:tbl>
      <w:tblPr>
        <w:tblStyle w:val="TableGrid"/>
        <w:tblW w:w="0" w:type="auto"/>
        <w:jc w:val="center"/>
        <w:tblInd w:w="-39" w:type="dxa"/>
        <w:tblLook w:val="01E0"/>
      </w:tblPr>
      <w:tblGrid>
        <w:gridCol w:w="2126"/>
        <w:gridCol w:w="720"/>
        <w:gridCol w:w="1624"/>
        <w:gridCol w:w="651"/>
      </w:tblGrid>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Israel</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27</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Slovak</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vAlign w:val="center"/>
          </w:tcPr>
          <w:p w:rsidR="00EE3232" w:rsidRDefault="00EE3232" w:rsidP="00614C04">
            <w:pPr>
              <w:spacing w:before="60" w:after="60"/>
              <w:jc w:val="center"/>
              <w:rPr>
                <w:rFonts w:cs="Arial"/>
                <w:sz w:val="16"/>
                <w:szCs w:val="16"/>
              </w:rPr>
            </w:pPr>
            <w:r>
              <w:rPr>
                <w:rFonts w:cs="Arial"/>
                <w:sz w:val="16"/>
                <w:szCs w:val="16"/>
              </w:rPr>
              <w:t>11</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Mexico</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26</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Czech</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vAlign w:val="center"/>
          </w:tcPr>
          <w:p w:rsidR="00EE3232"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Turkey</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25</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Korea</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United States</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22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Belgium</w:t>
                </w:r>
              </w:smartTag>
            </w:smartTag>
          </w:p>
        </w:tc>
        <w:tc>
          <w:tcPr>
            <w:tcW w:w="651" w:type="dxa"/>
            <w:vAlign w:val="center"/>
          </w:tcPr>
          <w:p w:rsidR="00EE3232"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Poland</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22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Netherlands</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Chile</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21</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United Kingdom</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10</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Spain</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17</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Switzerland</w:t>
                </w:r>
              </w:smartTag>
            </w:smartTag>
          </w:p>
        </w:tc>
        <w:tc>
          <w:tcPr>
            <w:tcW w:w="651" w:type="dxa"/>
            <w:vAlign w:val="center"/>
          </w:tcPr>
          <w:p w:rsidR="00EE3232" w:rsidRDefault="00EE3232" w:rsidP="00614C04">
            <w:pPr>
              <w:spacing w:before="60" w:after="60"/>
              <w:jc w:val="center"/>
              <w:rPr>
                <w:rFonts w:cs="Arial"/>
                <w:sz w:val="16"/>
                <w:szCs w:val="16"/>
              </w:rPr>
            </w:pPr>
            <w:r>
              <w:rPr>
                <w:rFonts w:cs="Arial"/>
                <w:sz w:val="16"/>
                <w:szCs w:val="16"/>
              </w:rPr>
              <w:t>9</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Portugal</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17</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Iceland</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Ireland</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16</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Germany</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Italy</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15</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France</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Canada</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15</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Slovenia</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Japan</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14</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Hungary</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Greece</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13</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Sweden</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7</w:t>
            </w:r>
          </w:p>
        </w:tc>
      </w:tr>
      <w:tr w:rsidR="00EE3232">
        <w:trPr>
          <w:jc w:val="center"/>
        </w:trPr>
        <w:tc>
          <w:tcPr>
            <w:tcW w:w="2126" w:type="dxa"/>
            <w:vAlign w:val="center"/>
          </w:tcPr>
          <w:p w:rsidR="00EE3232" w:rsidRPr="00360770"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Estonia</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12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Austria</w:t>
                </w:r>
              </w:smartTag>
            </w:smartTag>
          </w:p>
        </w:tc>
        <w:tc>
          <w:tcPr>
            <w:tcW w:w="651" w:type="dxa"/>
            <w:vAlign w:val="center"/>
          </w:tcPr>
          <w:p w:rsidR="00EE3232" w:rsidRDefault="00EE3232" w:rsidP="00614C04">
            <w:pPr>
              <w:spacing w:before="60" w:after="60"/>
              <w:jc w:val="center"/>
              <w:rPr>
                <w:rFonts w:cs="Arial"/>
                <w:sz w:val="16"/>
                <w:szCs w:val="16"/>
              </w:rPr>
            </w:pPr>
            <w:r>
              <w:rPr>
                <w:rFonts w:cs="Arial"/>
                <w:sz w:val="16"/>
                <w:szCs w:val="16"/>
              </w:rPr>
              <w:t>6</w:t>
            </w:r>
          </w:p>
        </w:tc>
      </w:tr>
      <w:tr w:rsidR="00EE3232">
        <w:trPr>
          <w:jc w:val="center"/>
        </w:trPr>
        <w:tc>
          <w:tcPr>
            <w:tcW w:w="2126" w:type="dxa"/>
            <w:vAlign w:val="center"/>
          </w:tcPr>
          <w:p w:rsidR="00EE3232" w:rsidRPr="00360770"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Luxembourg</w:t>
                </w:r>
              </w:smartTag>
            </w:smartTag>
          </w:p>
        </w:tc>
        <w:tc>
          <w:tcPr>
            <w:tcW w:w="720" w:type="dxa"/>
            <w:vAlign w:val="center"/>
          </w:tcPr>
          <w:p w:rsidR="00EE3232" w:rsidRPr="00360770" w:rsidRDefault="00EE3232" w:rsidP="00614C04">
            <w:pPr>
              <w:spacing w:before="60" w:after="60"/>
              <w:jc w:val="center"/>
              <w:rPr>
                <w:rFonts w:cs="Arial"/>
                <w:sz w:val="16"/>
                <w:szCs w:val="16"/>
              </w:rPr>
            </w:pPr>
            <w:r>
              <w:rPr>
                <w:rFonts w:cs="Arial"/>
                <w:sz w:val="16"/>
                <w:szCs w:val="16"/>
              </w:rPr>
              <w:t>12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Norway</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6</w:t>
            </w:r>
          </w:p>
        </w:tc>
      </w:tr>
      <w:tr w:rsidR="00EE3232">
        <w:trPr>
          <w:jc w:val="center"/>
        </w:trPr>
        <w:tc>
          <w:tcPr>
            <w:tcW w:w="2126" w:type="dxa"/>
            <w:vAlign w:val="center"/>
          </w:tcPr>
          <w:p w:rsidR="00EE3232" w:rsidRPr="00D94765" w:rsidRDefault="00EE3232" w:rsidP="00614C04">
            <w:pPr>
              <w:tabs>
                <w:tab w:val="left" w:pos="1677"/>
              </w:tabs>
              <w:spacing w:before="60" w:after="60"/>
              <w:rPr>
                <w:rFonts w:cs="Arial"/>
                <w:b/>
                <w:sz w:val="16"/>
                <w:szCs w:val="16"/>
              </w:rPr>
            </w:pPr>
            <w:smartTag w:uri="urn:schemas-microsoft-com:office:smarttags" w:element="place">
              <w:smartTag w:uri="urn:schemas-microsoft-com:office:smarttags" w:element="country-region">
                <w:r w:rsidRPr="00D94765">
                  <w:rPr>
                    <w:rFonts w:cs="Arial"/>
                    <w:b/>
                    <w:sz w:val="16"/>
                    <w:szCs w:val="16"/>
                  </w:rPr>
                  <w:t>New Zealand</w:t>
                </w:r>
              </w:smartTag>
            </w:smartTag>
            <w:r>
              <w:rPr>
                <w:rFonts w:cs="Arial"/>
                <w:b/>
                <w:sz w:val="16"/>
                <w:szCs w:val="16"/>
              </w:rPr>
              <w:t xml:space="preserve"> (2008-09)</w:t>
            </w:r>
          </w:p>
        </w:tc>
        <w:tc>
          <w:tcPr>
            <w:tcW w:w="720" w:type="dxa"/>
            <w:vAlign w:val="center"/>
          </w:tcPr>
          <w:p w:rsidR="00EE3232" w:rsidRPr="00D94765" w:rsidRDefault="00EE3232" w:rsidP="00614C04">
            <w:pPr>
              <w:spacing w:before="60" w:after="60"/>
              <w:jc w:val="center"/>
              <w:rPr>
                <w:rFonts w:cs="Arial"/>
                <w:b/>
                <w:sz w:val="16"/>
                <w:szCs w:val="16"/>
              </w:rPr>
            </w:pPr>
            <w:r w:rsidRPr="00D94765">
              <w:rPr>
                <w:rFonts w:cs="Arial"/>
                <w:b/>
                <w:sz w:val="16"/>
                <w:szCs w:val="16"/>
              </w:rPr>
              <w:t>1</w:t>
            </w:r>
            <w:r>
              <w:rPr>
                <w:rFonts w:cs="Arial"/>
                <w:b/>
                <w:sz w:val="16"/>
                <w:szCs w:val="16"/>
              </w:rPr>
              <w:t>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Finland</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4</w:t>
            </w:r>
          </w:p>
        </w:tc>
      </w:tr>
      <w:tr w:rsidR="00EE3232">
        <w:trPr>
          <w:jc w:val="center"/>
        </w:trPr>
        <w:tc>
          <w:tcPr>
            <w:tcW w:w="2126" w:type="dxa"/>
            <w:vAlign w:val="center"/>
          </w:tcPr>
          <w:p w:rsidR="00EE3232" w:rsidRPr="00360770" w:rsidRDefault="00EE3232" w:rsidP="00614C04">
            <w:pPr>
              <w:tabs>
                <w:tab w:val="left" w:pos="1677"/>
              </w:tabs>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Australia</w:t>
                </w:r>
              </w:smartTag>
            </w:smartTag>
          </w:p>
        </w:tc>
        <w:tc>
          <w:tcPr>
            <w:tcW w:w="720" w:type="dxa"/>
            <w:vAlign w:val="center"/>
          </w:tcPr>
          <w:p w:rsidR="00EE3232" w:rsidRDefault="00EE3232" w:rsidP="00614C04">
            <w:pPr>
              <w:spacing w:before="60" w:after="60"/>
              <w:jc w:val="center"/>
              <w:rPr>
                <w:rFonts w:cs="Arial"/>
                <w:sz w:val="16"/>
                <w:szCs w:val="16"/>
              </w:rPr>
            </w:pPr>
            <w:r>
              <w:rPr>
                <w:rFonts w:cs="Arial"/>
                <w:sz w:val="16"/>
                <w:szCs w:val="16"/>
              </w:rPr>
              <w:t>12</w:t>
            </w:r>
          </w:p>
        </w:tc>
        <w:tc>
          <w:tcPr>
            <w:tcW w:w="1624" w:type="dxa"/>
            <w:vAlign w:val="center"/>
          </w:tcPr>
          <w:p w:rsidR="00EE3232" w:rsidRPr="0036077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360770">
                  <w:rPr>
                    <w:rFonts w:cs="Arial"/>
                    <w:sz w:val="16"/>
                    <w:szCs w:val="16"/>
                  </w:rPr>
                  <w:t>Denmark</w:t>
                </w:r>
              </w:smartTag>
            </w:smartTag>
          </w:p>
        </w:tc>
        <w:tc>
          <w:tcPr>
            <w:tcW w:w="651" w:type="dxa"/>
            <w:vAlign w:val="center"/>
          </w:tcPr>
          <w:p w:rsidR="00EE3232" w:rsidRPr="00360770" w:rsidRDefault="00EE3232" w:rsidP="00614C04">
            <w:pPr>
              <w:spacing w:before="60" w:after="60"/>
              <w:jc w:val="center"/>
              <w:rPr>
                <w:rFonts w:cs="Arial"/>
                <w:sz w:val="16"/>
                <w:szCs w:val="16"/>
              </w:rPr>
            </w:pPr>
            <w:r>
              <w:rPr>
                <w:rFonts w:cs="Arial"/>
                <w:sz w:val="16"/>
                <w:szCs w:val="16"/>
              </w:rPr>
              <w:t>4</w:t>
            </w:r>
          </w:p>
        </w:tc>
      </w:tr>
      <w:tr w:rsidR="00EE3232">
        <w:trPr>
          <w:jc w:val="center"/>
        </w:trPr>
        <w:tc>
          <w:tcPr>
            <w:tcW w:w="2126" w:type="dxa"/>
            <w:vAlign w:val="center"/>
          </w:tcPr>
          <w:p w:rsidR="00EE3232" w:rsidRPr="00360770" w:rsidRDefault="00EE3232" w:rsidP="00614C04">
            <w:pPr>
              <w:spacing w:before="60" w:after="60"/>
              <w:rPr>
                <w:rFonts w:cs="Arial"/>
                <w:sz w:val="16"/>
                <w:szCs w:val="16"/>
              </w:rPr>
            </w:pPr>
            <w:r>
              <w:rPr>
                <w:rFonts w:cs="Arial"/>
                <w:sz w:val="16"/>
                <w:szCs w:val="16"/>
              </w:rPr>
              <w:t>OECD median</w:t>
            </w:r>
          </w:p>
        </w:tc>
        <w:tc>
          <w:tcPr>
            <w:tcW w:w="720" w:type="dxa"/>
            <w:vAlign w:val="center"/>
          </w:tcPr>
          <w:p w:rsidR="00EE3232" w:rsidRDefault="00EE3232" w:rsidP="00614C04">
            <w:pPr>
              <w:spacing w:before="60" w:after="60"/>
              <w:jc w:val="center"/>
              <w:rPr>
                <w:rFonts w:cs="Arial"/>
                <w:sz w:val="16"/>
                <w:szCs w:val="16"/>
              </w:rPr>
            </w:pPr>
            <w:r>
              <w:rPr>
                <w:rFonts w:cs="Arial"/>
                <w:sz w:val="16"/>
                <w:szCs w:val="16"/>
              </w:rPr>
              <w:t>12</w:t>
            </w:r>
          </w:p>
        </w:tc>
        <w:tc>
          <w:tcPr>
            <w:tcW w:w="1624" w:type="dxa"/>
            <w:vAlign w:val="center"/>
          </w:tcPr>
          <w:p w:rsidR="00EE3232" w:rsidRPr="00360770" w:rsidRDefault="00EE3232" w:rsidP="00614C04">
            <w:pPr>
              <w:spacing w:before="60" w:after="60"/>
              <w:rPr>
                <w:rFonts w:cs="Arial"/>
                <w:sz w:val="16"/>
                <w:szCs w:val="16"/>
              </w:rPr>
            </w:pPr>
          </w:p>
        </w:tc>
        <w:tc>
          <w:tcPr>
            <w:tcW w:w="651" w:type="dxa"/>
            <w:vAlign w:val="center"/>
          </w:tcPr>
          <w:p w:rsidR="00EE3232" w:rsidRPr="00360770" w:rsidRDefault="00EE3232" w:rsidP="00614C04">
            <w:pPr>
              <w:spacing w:before="60" w:after="60"/>
              <w:jc w:val="center"/>
              <w:rPr>
                <w:rFonts w:cs="Arial"/>
                <w:sz w:val="16"/>
                <w:szCs w:val="16"/>
              </w:rPr>
            </w:pPr>
          </w:p>
        </w:tc>
      </w:tr>
    </w:tbl>
    <w:p w:rsidR="00EE3232" w:rsidRDefault="00EE3232" w:rsidP="00EE3232">
      <w:pPr>
        <w:ind w:left="1800" w:right="1195" w:hanging="720"/>
        <w:jc w:val="both"/>
        <w:rPr>
          <w:rFonts w:cs="Arial"/>
          <w:sz w:val="18"/>
          <w:szCs w:val="18"/>
          <w:u w:val="single"/>
        </w:rPr>
      </w:pPr>
    </w:p>
    <w:p w:rsidR="00EE3232" w:rsidRDefault="00EE3232" w:rsidP="00EE3232">
      <w:pPr>
        <w:ind w:left="1800" w:right="1195" w:hanging="720"/>
        <w:jc w:val="both"/>
        <w:rPr>
          <w:rFonts w:cs="Arial"/>
          <w:b/>
          <w:szCs w:val="22"/>
        </w:rPr>
      </w:pPr>
      <w:r w:rsidRPr="00EF7BC7">
        <w:rPr>
          <w:rFonts w:cs="Arial"/>
          <w:sz w:val="18"/>
          <w:szCs w:val="18"/>
          <w:u w:val="single"/>
        </w:rPr>
        <w:t>Source</w:t>
      </w:r>
      <w:r>
        <w:rPr>
          <w:rFonts w:cs="Arial"/>
          <w:sz w:val="18"/>
          <w:szCs w:val="18"/>
          <w:u w:val="single"/>
        </w:rPr>
        <w:t>:</w:t>
      </w:r>
      <w:r>
        <w:rPr>
          <w:rFonts w:cs="Arial"/>
          <w:sz w:val="18"/>
          <w:szCs w:val="18"/>
        </w:rPr>
        <w:tab/>
        <w:t xml:space="preserve">OECD (2011a), Table 5.1 and Figure 5.1 </w:t>
      </w:r>
    </w:p>
    <w:p w:rsidR="00EE3232" w:rsidRPr="0058596E" w:rsidRDefault="00EE3232" w:rsidP="00EE3232">
      <w:pPr>
        <w:ind w:left="1800" w:right="1195" w:hanging="720"/>
        <w:jc w:val="both"/>
        <w:rPr>
          <w:rFonts w:cs="Arial"/>
          <w:sz w:val="18"/>
          <w:szCs w:val="18"/>
        </w:rPr>
      </w:pPr>
    </w:p>
    <w:p w:rsidR="00EE3232" w:rsidRDefault="00EE3232" w:rsidP="00EE3232">
      <w:pPr>
        <w:rPr>
          <w:rFonts w:cs="Arial"/>
          <w:b/>
          <w:szCs w:val="22"/>
        </w:rPr>
      </w:pPr>
    </w:p>
    <w:p w:rsidR="00EE3232" w:rsidRDefault="00EE3232" w:rsidP="00EE3232">
      <w:pPr>
        <w:rPr>
          <w:rFonts w:cs="Arial"/>
          <w:b/>
          <w:szCs w:val="22"/>
        </w:rPr>
      </w:pPr>
    </w:p>
    <w:p w:rsidR="00EE3232" w:rsidRDefault="00EE3232" w:rsidP="00EE3232">
      <w:pPr>
        <w:jc w:val="center"/>
        <w:rPr>
          <w:rFonts w:cs="Arial"/>
          <w:b/>
          <w:sz w:val="18"/>
          <w:szCs w:val="18"/>
        </w:rPr>
      </w:pPr>
    </w:p>
    <w:p w:rsidR="00EE3232" w:rsidRDefault="00EE3232" w:rsidP="00EE3232">
      <w:pPr>
        <w:rPr>
          <w:rFonts w:cs="Arial"/>
          <w:b/>
          <w:szCs w:val="22"/>
        </w:rPr>
      </w:pPr>
    </w:p>
    <w:p w:rsidR="00EE3232" w:rsidRPr="00A21EFF" w:rsidRDefault="00EE3232" w:rsidP="00EE3232">
      <w:pPr>
        <w:rPr>
          <w:rFonts w:cs="Arial"/>
          <w:b/>
          <w:sz w:val="20"/>
          <w:szCs w:val="22"/>
        </w:rPr>
      </w:pPr>
      <w:r>
        <w:rPr>
          <w:rFonts w:cs="Arial"/>
          <w:b/>
          <w:szCs w:val="22"/>
        </w:rPr>
        <w:br w:type="page"/>
      </w:r>
      <w:r w:rsidRPr="00A21EFF">
        <w:rPr>
          <w:rFonts w:cs="Arial"/>
          <w:b/>
          <w:sz w:val="20"/>
          <w:szCs w:val="22"/>
        </w:rPr>
        <w:lastRenderedPageBreak/>
        <w:t xml:space="preserve">Child poverty comparisons using a 60% </w:t>
      </w:r>
      <w:smartTag w:uri="urn:schemas-microsoft-com:office:smarttags" w:element="stockticker">
        <w:r w:rsidRPr="00A21EFF">
          <w:rPr>
            <w:rFonts w:cs="Arial"/>
            <w:b/>
            <w:sz w:val="20"/>
            <w:szCs w:val="22"/>
          </w:rPr>
          <w:t>BHC</w:t>
        </w:r>
      </w:smartTag>
      <w:r w:rsidRPr="00A21EFF">
        <w:rPr>
          <w:rFonts w:cs="Arial"/>
          <w:b/>
          <w:sz w:val="20"/>
          <w:szCs w:val="22"/>
        </w:rPr>
        <w:t xml:space="preserve"> threshold</w:t>
      </w:r>
    </w:p>
    <w:p w:rsidR="00EE3232" w:rsidRPr="00A21EFF" w:rsidRDefault="00EE3232" w:rsidP="00EE3232">
      <w:pPr>
        <w:rPr>
          <w:rFonts w:cs="Arial"/>
          <w:b/>
          <w:sz w:val="20"/>
          <w:szCs w:val="22"/>
        </w:rPr>
      </w:pP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b/>
          <w:sz w:val="20"/>
          <w:szCs w:val="22"/>
        </w:rPr>
        <w:t>Table J.4</w:t>
      </w:r>
      <w:r w:rsidRPr="00A21EFF">
        <w:rPr>
          <w:rFonts w:cs="Arial"/>
          <w:sz w:val="20"/>
          <w:szCs w:val="22"/>
        </w:rPr>
        <w:t xml:space="preserve"> shows </w:t>
      </w:r>
      <w:smartTag w:uri="urn:schemas-microsoft-com:office:smarttags" w:element="country-region">
        <w:r w:rsidRPr="00A21EFF">
          <w:rPr>
            <w:rFonts w:cs="Arial"/>
            <w:sz w:val="20"/>
            <w:szCs w:val="22"/>
          </w:rPr>
          <w:t>New Zealand</w:t>
        </w:r>
      </w:smartTag>
      <w:r w:rsidRPr="00A21EFF">
        <w:rPr>
          <w:rFonts w:cs="Arial"/>
          <w:sz w:val="20"/>
          <w:szCs w:val="22"/>
        </w:rPr>
        <w:t xml:space="preserve">’s relative position among selected European countries, </w:t>
      </w:r>
      <w:smartTag w:uri="urn:schemas-microsoft-com:office:smarttags" w:element="country-region">
        <w:r w:rsidRPr="00A21EFF">
          <w:rPr>
            <w:rFonts w:cs="Arial"/>
            <w:sz w:val="20"/>
            <w:szCs w:val="22"/>
          </w:rPr>
          <w:t>Canada</w:t>
        </w:r>
      </w:smartTag>
      <w:r w:rsidRPr="00A21EFF">
        <w:rPr>
          <w:rFonts w:cs="Arial"/>
          <w:sz w:val="20"/>
          <w:szCs w:val="22"/>
        </w:rPr>
        <w:t xml:space="preserve">, the </w:t>
      </w:r>
      <w:smartTag w:uri="urn:schemas-microsoft-com:office:smarttags" w:element="country-region">
        <w:r w:rsidRPr="00A21EFF">
          <w:rPr>
            <w:rFonts w:cs="Arial"/>
            <w:sz w:val="20"/>
            <w:szCs w:val="22"/>
          </w:rPr>
          <w:t>United States</w:t>
        </w:r>
      </w:smartTag>
      <w:r w:rsidRPr="00A21EFF">
        <w:rPr>
          <w:rFonts w:cs="Arial"/>
          <w:sz w:val="20"/>
          <w:szCs w:val="22"/>
        </w:rPr>
        <w:t xml:space="preserve">, </w:t>
      </w:r>
      <w:smartTag w:uri="urn:schemas-microsoft-com:office:smarttags" w:element="country-region">
        <w:r w:rsidRPr="00A21EFF">
          <w:rPr>
            <w:rFonts w:cs="Arial"/>
            <w:sz w:val="20"/>
            <w:szCs w:val="22"/>
          </w:rPr>
          <w:t>Mexico</w:t>
        </w:r>
      </w:smartTag>
      <w:r w:rsidRPr="00A21EFF">
        <w:rPr>
          <w:rFonts w:cs="Arial"/>
          <w:sz w:val="20"/>
          <w:szCs w:val="22"/>
        </w:rPr>
        <w:t xml:space="preserve"> and </w:t>
      </w:r>
      <w:smartTag w:uri="urn:schemas-microsoft-com:office:smarttags" w:element="place">
        <w:smartTag w:uri="urn:schemas-microsoft-com:office:smarttags" w:element="country-region">
          <w:r w:rsidRPr="00A21EFF">
            <w:rPr>
              <w:rFonts w:cs="Arial"/>
              <w:sz w:val="20"/>
              <w:szCs w:val="22"/>
            </w:rPr>
            <w:t>Australia</w:t>
          </w:r>
        </w:smartTag>
      </w:smartTag>
      <w:r w:rsidRPr="00A21EFF">
        <w:rPr>
          <w:rFonts w:cs="Arial"/>
          <w:sz w:val="20"/>
          <w:szCs w:val="22"/>
        </w:rPr>
        <w:t xml:space="preserve"> using a 60% of median moving line measure (</w:t>
      </w:r>
      <w:smartTag w:uri="urn:schemas-microsoft-com:office:smarttags" w:element="stockticker">
        <w:r w:rsidRPr="00A21EFF">
          <w:rPr>
            <w:rFonts w:cs="Arial"/>
            <w:sz w:val="20"/>
            <w:szCs w:val="22"/>
          </w:rPr>
          <w:t>BHC</w:t>
        </w:r>
      </w:smartTag>
      <w:r w:rsidRPr="00A21EFF">
        <w:rPr>
          <w:rFonts w:cs="Arial"/>
          <w:sz w:val="20"/>
          <w:szCs w:val="22"/>
        </w:rPr>
        <w:t xml:space="preserve">).  The </w:t>
      </w: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 figure is based on the 20</w:t>
      </w:r>
      <w:r>
        <w:rPr>
          <w:rFonts w:cs="Arial"/>
          <w:sz w:val="20"/>
          <w:szCs w:val="22"/>
        </w:rPr>
        <w:t>10</w:t>
      </w:r>
      <w:r w:rsidRPr="00A21EFF">
        <w:rPr>
          <w:rFonts w:cs="Arial"/>
          <w:sz w:val="20"/>
          <w:szCs w:val="22"/>
        </w:rPr>
        <w:t xml:space="preserve"> HES and uses the same equivalence scale as the Eurostat analysis.</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r w:rsidRPr="00A21EFF">
        <w:rPr>
          <w:rFonts w:cs="Arial"/>
          <w:sz w:val="20"/>
          <w:szCs w:val="22"/>
        </w:rPr>
        <w:t xml:space="preserve">For comparison purposes the figures for Canada, the US, Mexico and Australia (from the LIS database) should be reduced by one or two percentage points as the equivalence scale used in the LIS analysis gives population poverty rates approximately that much higher than the one used in the Eurostat analysis.  </w:t>
      </w:r>
    </w:p>
    <w:p w:rsidR="00EE3232" w:rsidRPr="00A21EFF" w:rsidRDefault="00EE3232" w:rsidP="00614C04">
      <w:pPr>
        <w:numPr>
          <w:ilvl w:val="0"/>
          <w:numId w:val="48"/>
        </w:numPr>
        <w:tabs>
          <w:tab w:val="clear" w:pos="720"/>
          <w:tab w:val="left" w:pos="540"/>
        </w:tabs>
        <w:spacing w:after="120"/>
        <w:ind w:left="547"/>
        <w:jc w:val="both"/>
        <w:rPr>
          <w:rFonts w:cs="Arial"/>
          <w:sz w:val="20"/>
          <w:szCs w:val="22"/>
        </w:rPr>
      </w:pPr>
      <w:smartTag w:uri="urn:schemas-microsoft-com:office:smarttags" w:element="place">
        <w:smartTag w:uri="urn:schemas-microsoft-com:office:smarttags" w:element="country-region">
          <w:r w:rsidRPr="00A21EFF">
            <w:rPr>
              <w:rFonts w:cs="Arial"/>
              <w:sz w:val="20"/>
              <w:szCs w:val="22"/>
            </w:rPr>
            <w:t>New Zealand</w:t>
          </w:r>
        </w:smartTag>
      </w:smartTag>
      <w:r w:rsidRPr="00A21EFF">
        <w:rPr>
          <w:rFonts w:cs="Arial"/>
          <w:sz w:val="20"/>
          <w:szCs w:val="22"/>
        </w:rPr>
        <w:t xml:space="preserve">’s rate in 2004 (25%) was above the EU </w:t>
      </w:r>
      <w:r>
        <w:rPr>
          <w:rFonts w:cs="Arial"/>
          <w:sz w:val="20"/>
          <w:szCs w:val="22"/>
        </w:rPr>
        <w:t xml:space="preserve">2004 average (20%).  </w:t>
      </w:r>
      <w:r w:rsidRPr="00A21EFF">
        <w:rPr>
          <w:rFonts w:cs="Arial"/>
          <w:sz w:val="20"/>
          <w:szCs w:val="22"/>
        </w:rPr>
        <w:t>New Zealand’s less favourable relative position in 2004 using the 60% threshold compared with its position using a 50% threshold (Table J.3) shows that compared to most of the other countries New Zealand’s income distribution for households with children was more dense in the 50% to 60% of median range.</w:t>
      </w:r>
    </w:p>
    <w:p w:rsidR="00EE3232" w:rsidRPr="00163E6A" w:rsidRDefault="00EE3232" w:rsidP="00614C04">
      <w:pPr>
        <w:numPr>
          <w:ilvl w:val="0"/>
          <w:numId w:val="48"/>
        </w:numPr>
        <w:tabs>
          <w:tab w:val="clear" w:pos="720"/>
          <w:tab w:val="left" w:pos="540"/>
        </w:tabs>
        <w:spacing w:after="120"/>
        <w:ind w:left="547"/>
        <w:jc w:val="both"/>
        <w:rPr>
          <w:rFonts w:cs="Arial"/>
          <w:b/>
          <w:szCs w:val="22"/>
        </w:rPr>
      </w:pPr>
      <w:r w:rsidRPr="00A21EFF">
        <w:rPr>
          <w:rFonts w:cs="Arial"/>
          <w:sz w:val="20"/>
          <w:szCs w:val="22"/>
        </w:rPr>
        <w:t>In the 200</w:t>
      </w:r>
      <w:r>
        <w:rPr>
          <w:rFonts w:cs="Arial"/>
          <w:sz w:val="20"/>
          <w:szCs w:val="22"/>
        </w:rPr>
        <w:t>7</w:t>
      </w:r>
      <w:r w:rsidRPr="00A21EFF">
        <w:rPr>
          <w:rFonts w:cs="Arial"/>
          <w:sz w:val="20"/>
          <w:szCs w:val="22"/>
        </w:rPr>
        <w:t xml:space="preserve"> HES, the rate had dropped to </w:t>
      </w:r>
      <w:r>
        <w:rPr>
          <w:rFonts w:cs="Arial"/>
          <w:sz w:val="20"/>
          <w:szCs w:val="22"/>
        </w:rPr>
        <w:t>20</w:t>
      </w:r>
      <w:r w:rsidRPr="00A21EFF">
        <w:rPr>
          <w:rFonts w:cs="Arial"/>
          <w:sz w:val="20"/>
          <w:szCs w:val="22"/>
        </w:rPr>
        <w:t xml:space="preserve">%, which was at the EU-25 average for 2006. This indicates that the density of the 50% to 60% zone reduced in the 2004 to 2007 period, given that </w:t>
      </w:r>
      <w:r>
        <w:rPr>
          <w:rFonts w:cs="Arial"/>
          <w:sz w:val="20"/>
          <w:szCs w:val="22"/>
        </w:rPr>
        <w:t xml:space="preserve">the </w:t>
      </w:r>
      <w:r w:rsidRPr="00A21EFF">
        <w:rPr>
          <w:rFonts w:cs="Arial"/>
          <w:sz w:val="20"/>
          <w:szCs w:val="22"/>
        </w:rPr>
        <w:t xml:space="preserve">50% rate </w:t>
      </w:r>
      <w:r>
        <w:rPr>
          <w:rFonts w:cs="Arial"/>
          <w:sz w:val="20"/>
          <w:szCs w:val="22"/>
        </w:rPr>
        <w:t>declined only slightly</w:t>
      </w:r>
      <w:r w:rsidRPr="00A21EFF">
        <w:rPr>
          <w:rFonts w:cs="Arial"/>
          <w:sz w:val="20"/>
          <w:szCs w:val="22"/>
        </w:rPr>
        <w:t xml:space="preserve"> (cf Section </w:t>
      </w:r>
      <w:r>
        <w:rPr>
          <w:rFonts w:cs="Arial"/>
          <w:sz w:val="20"/>
          <w:szCs w:val="22"/>
        </w:rPr>
        <w:t>F</w:t>
      </w:r>
      <w:r w:rsidRPr="00A21EFF">
        <w:rPr>
          <w:rFonts w:cs="Arial"/>
          <w:sz w:val="20"/>
          <w:szCs w:val="22"/>
        </w:rPr>
        <w:t xml:space="preserve">, especially Figure </w:t>
      </w:r>
      <w:r>
        <w:rPr>
          <w:rFonts w:cs="Arial"/>
          <w:sz w:val="20"/>
          <w:szCs w:val="22"/>
        </w:rPr>
        <w:t>F.3</w:t>
      </w:r>
      <w:r w:rsidRPr="00A21EFF">
        <w:rPr>
          <w:rFonts w:cs="Arial"/>
          <w:sz w:val="20"/>
          <w:szCs w:val="22"/>
        </w:rPr>
        <w:t>).</w:t>
      </w:r>
      <w:r>
        <w:rPr>
          <w:rFonts w:cs="Arial"/>
          <w:sz w:val="20"/>
          <w:szCs w:val="22"/>
        </w:rPr>
        <w:t xml:space="preserve">   This change reflects the impact of the Working for Families package in raising the incomes of many (working) families with children from the 50% to 60% of median range to above the 60% of median threshold.</w:t>
      </w:r>
    </w:p>
    <w:p w:rsidR="00EE3232" w:rsidRPr="00323C7F" w:rsidRDefault="00EE3232" w:rsidP="00614C04">
      <w:pPr>
        <w:numPr>
          <w:ilvl w:val="0"/>
          <w:numId w:val="48"/>
        </w:numPr>
        <w:tabs>
          <w:tab w:val="clear" w:pos="720"/>
          <w:tab w:val="left" w:pos="540"/>
        </w:tabs>
        <w:spacing w:after="120"/>
        <w:ind w:left="547"/>
        <w:jc w:val="both"/>
        <w:rPr>
          <w:rFonts w:cs="Arial"/>
          <w:b/>
          <w:szCs w:val="22"/>
        </w:rPr>
      </w:pPr>
      <w:r>
        <w:rPr>
          <w:rFonts w:cs="Arial"/>
          <w:sz w:val="20"/>
          <w:szCs w:val="22"/>
        </w:rPr>
        <w:t xml:space="preserve">In the 2011 HES, the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rate was again 19%.</w:t>
      </w:r>
    </w:p>
    <w:p w:rsidR="00EE3232" w:rsidRPr="00A21EFF" w:rsidRDefault="00EE3232" w:rsidP="00EE3232">
      <w:pPr>
        <w:jc w:val="center"/>
        <w:rPr>
          <w:rFonts w:cs="Arial"/>
          <w:b/>
          <w:sz w:val="18"/>
        </w:rPr>
      </w:pPr>
      <w:r w:rsidRPr="00A21EFF">
        <w:rPr>
          <w:rFonts w:cs="Arial"/>
          <w:b/>
          <w:sz w:val="18"/>
        </w:rPr>
        <w:t>Table J.4</w:t>
      </w:r>
    </w:p>
    <w:p w:rsidR="00EE3232" w:rsidRDefault="00EE3232" w:rsidP="00EE3232">
      <w:pPr>
        <w:jc w:val="center"/>
        <w:rPr>
          <w:rFonts w:cs="Arial"/>
          <w:b/>
          <w:sz w:val="18"/>
        </w:rPr>
      </w:pPr>
      <w:r w:rsidRPr="00A21EFF">
        <w:rPr>
          <w:rFonts w:cs="Arial"/>
          <w:b/>
          <w:sz w:val="18"/>
        </w:rPr>
        <w:t xml:space="preserve">Child poverty rates (%) in selected European countries, </w:t>
      </w:r>
      <w:smartTag w:uri="urn:schemas-microsoft-com:office:smarttags" w:element="country-region">
        <w:r w:rsidRPr="00A21EFF">
          <w:rPr>
            <w:rFonts w:cs="Arial"/>
            <w:b/>
            <w:sz w:val="18"/>
          </w:rPr>
          <w:t>Canada</w:t>
        </w:r>
      </w:smartTag>
      <w:r w:rsidRPr="00A21EFF">
        <w:rPr>
          <w:rFonts w:cs="Arial"/>
          <w:b/>
          <w:sz w:val="18"/>
        </w:rPr>
        <w:t xml:space="preserve">, the </w:t>
      </w:r>
      <w:smartTag w:uri="urn:schemas-microsoft-com:office:smarttags" w:element="country-region">
        <w:r w:rsidRPr="00A21EFF">
          <w:rPr>
            <w:rFonts w:cs="Arial"/>
            <w:b/>
            <w:sz w:val="18"/>
          </w:rPr>
          <w:t>US</w:t>
        </w:r>
      </w:smartTag>
      <w:r w:rsidRPr="00A21EFF">
        <w:rPr>
          <w:rFonts w:cs="Arial"/>
          <w:b/>
          <w:sz w:val="18"/>
        </w:rPr>
        <w:t xml:space="preserve">, </w:t>
      </w:r>
      <w:smartTag w:uri="urn:schemas-microsoft-com:office:smarttags" w:element="country-region">
        <w:r w:rsidRPr="00A21EFF">
          <w:rPr>
            <w:rFonts w:cs="Arial"/>
            <w:b/>
            <w:sz w:val="18"/>
          </w:rPr>
          <w:t>Mexico</w:t>
        </w:r>
      </w:smartTag>
      <w:r w:rsidRPr="00A21EFF">
        <w:rPr>
          <w:rFonts w:cs="Arial"/>
          <w:b/>
          <w:sz w:val="18"/>
        </w:rPr>
        <w:t xml:space="preserve"> and </w:t>
      </w:r>
      <w:smartTag w:uri="urn:schemas-microsoft-com:office:smarttags" w:element="place">
        <w:smartTag w:uri="urn:schemas-microsoft-com:office:smarttags" w:element="country-region">
          <w:r w:rsidRPr="00A21EFF">
            <w:rPr>
              <w:rFonts w:cs="Arial"/>
              <w:b/>
              <w:sz w:val="18"/>
            </w:rPr>
            <w:t>Australia</w:t>
          </w:r>
        </w:smartTag>
      </w:smartTag>
    </w:p>
    <w:p w:rsidR="00EE3232" w:rsidRPr="00A21EFF" w:rsidRDefault="00EE3232" w:rsidP="00EE3232">
      <w:pPr>
        <w:jc w:val="center"/>
        <w:rPr>
          <w:rFonts w:cs="Arial"/>
          <w:b/>
          <w:sz w:val="18"/>
        </w:rPr>
      </w:pPr>
      <w:r w:rsidRPr="00A21EFF">
        <w:rPr>
          <w:rFonts w:cs="Arial"/>
          <w:b/>
          <w:sz w:val="18"/>
        </w:rPr>
        <w:t xml:space="preserve"> c 20</w:t>
      </w:r>
      <w:r>
        <w:rPr>
          <w:rFonts w:cs="Arial"/>
          <w:b/>
          <w:sz w:val="18"/>
        </w:rPr>
        <w:t>10</w:t>
      </w:r>
      <w:r w:rsidRPr="00A21EFF">
        <w:rPr>
          <w:rFonts w:cs="Arial"/>
          <w:b/>
          <w:sz w:val="18"/>
        </w:rPr>
        <w:t xml:space="preserve">: </w:t>
      </w:r>
    </w:p>
    <w:p w:rsidR="00EE3232" w:rsidRPr="00A21EFF" w:rsidRDefault="00EE3232" w:rsidP="00EE3232">
      <w:pPr>
        <w:spacing w:after="120"/>
        <w:jc w:val="center"/>
        <w:rPr>
          <w:rFonts w:cs="Arial"/>
          <w:b/>
          <w:sz w:val="18"/>
        </w:rPr>
      </w:pPr>
      <w:r w:rsidRPr="00A21EFF">
        <w:rPr>
          <w:rFonts w:cs="Arial"/>
          <w:b/>
          <w:sz w:val="18"/>
        </w:rPr>
        <w:t>60% of median threshold (</w:t>
      </w:r>
      <w:smartTag w:uri="urn:schemas-microsoft-com:office:smarttags" w:element="stockticker">
        <w:r w:rsidRPr="00A21EFF">
          <w:rPr>
            <w:rFonts w:cs="Arial"/>
            <w:b/>
            <w:sz w:val="18"/>
          </w:rPr>
          <w:t>BHC</w:t>
        </w:r>
      </w:smartTag>
      <w:r w:rsidRPr="00A21EFF">
        <w:rPr>
          <w:rFonts w:cs="Arial"/>
          <w:b/>
          <w:sz w:val="18"/>
        </w:rPr>
        <w:t>)</w:t>
      </w:r>
    </w:p>
    <w:tbl>
      <w:tblPr>
        <w:tblStyle w:val="TableGrid"/>
        <w:tblW w:w="0" w:type="auto"/>
        <w:jc w:val="center"/>
        <w:tblInd w:w="52" w:type="dxa"/>
        <w:tblLook w:val="01E0"/>
      </w:tblPr>
      <w:tblGrid>
        <w:gridCol w:w="1926"/>
        <w:gridCol w:w="720"/>
        <w:gridCol w:w="1768"/>
        <w:gridCol w:w="651"/>
      </w:tblGrid>
      <w:tr w:rsidR="00EE3232">
        <w:trPr>
          <w:jc w:val="center"/>
        </w:trPr>
        <w:tc>
          <w:tcPr>
            <w:tcW w:w="1926" w:type="dxa"/>
          </w:tcPr>
          <w:p w:rsidR="00EE3232" w:rsidRPr="00BB2B20" w:rsidRDefault="00EE3232" w:rsidP="00614C04">
            <w:pPr>
              <w:spacing w:before="60" w:after="60"/>
              <w:rPr>
                <w:rFonts w:cs="Arial"/>
                <w:sz w:val="16"/>
                <w:szCs w:val="16"/>
              </w:rPr>
            </w:pPr>
            <w:r>
              <w:rPr>
                <w:rFonts w:cs="Arial"/>
                <w:sz w:val="16"/>
                <w:szCs w:val="16"/>
              </w:rPr>
              <w:t>Turkey 2006</w:t>
            </w:r>
          </w:p>
        </w:tc>
        <w:tc>
          <w:tcPr>
            <w:tcW w:w="720" w:type="dxa"/>
          </w:tcPr>
          <w:p w:rsidR="00EE3232" w:rsidRDefault="00EE3232" w:rsidP="00614C04">
            <w:pPr>
              <w:spacing w:before="60" w:after="60"/>
              <w:jc w:val="center"/>
              <w:rPr>
                <w:rFonts w:cs="Arial"/>
                <w:sz w:val="16"/>
                <w:szCs w:val="16"/>
              </w:rPr>
            </w:pPr>
            <w:r>
              <w:rPr>
                <w:rFonts w:cs="Arial"/>
                <w:sz w:val="16"/>
                <w:szCs w:val="16"/>
              </w:rPr>
              <w:t>36</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Hungary</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20</w:t>
            </w:r>
          </w:p>
        </w:tc>
      </w:tr>
      <w:tr w:rsidR="00EE3232">
        <w:trPr>
          <w:jc w:val="center"/>
        </w:trPr>
        <w:tc>
          <w:tcPr>
            <w:tcW w:w="1926" w:type="dxa"/>
          </w:tcPr>
          <w:p w:rsidR="00EE3232" w:rsidRPr="00BB2B20" w:rsidRDefault="00EE3232" w:rsidP="00614C04">
            <w:pPr>
              <w:spacing w:before="60" w:after="60"/>
              <w:rPr>
                <w:rFonts w:cs="Arial"/>
                <w:sz w:val="16"/>
                <w:szCs w:val="16"/>
              </w:rPr>
            </w:pPr>
            <w:r>
              <w:rPr>
                <w:rFonts w:cs="Arial"/>
                <w:sz w:val="16"/>
                <w:szCs w:val="16"/>
              </w:rPr>
              <w:t>Mexico 2004</w:t>
            </w:r>
          </w:p>
        </w:tc>
        <w:tc>
          <w:tcPr>
            <w:tcW w:w="720" w:type="dxa"/>
          </w:tcPr>
          <w:p w:rsidR="00EE3232" w:rsidRDefault="00EE3232" w:rsidP="00614C04">
            <w:pPr>
              <w:spacing w:before="60" w:after="60"/>
              <w:jc w:val="center"/>
              <w:rPr>
                <w:rFonts w:cs="Arial"/>
                <w:sz w:val="16"/>
                <w:szCs w:val="16"/>
              </w:rPr>
            </w:pPr>
            <w:r>
              <w:rPr>
                <w:rFonts w:cs="Arial"/>
                <w:sz w:val="16"/>
                <w:szCs w:val="16"/>
              </w:rPr>
              <w:t>30</w:t>
            </w:r>
          </w:p>
        </w:tc>
        <w:tc>
          <w:tcPr>
            <w:tcW w:w="1768" w:type="dxa"/>
          </w:tcPr>
          <w:p w:rsidR="00EE3232" w:rsidRPr="008C2E09" w:rsidRDefault="00EE3232" w:rsidP="00614C04">
            <w:pPr>
              <w:spacing w:before="60" w:after="60"/>
              <w:rPr>
                <w:rFonts w:cs="Arial"/>
                <w:b/>
                <w:sz w:val="16"/>
                <w:szCs w:val="16"/>
              </w:rPr>
            </w:pPr>
            <w:r>
              <w:rPr>
                <w:rFonts w:cs="Arial"/>
                <w:b/>
                <w:sz w:val="16"/>
                <w:szCs w:val="16"/>
              </w:rPr>
              <w:t>New Zealand 2010</w:t>
            </w:r>
          </w:p>
        </w:tc>
        <w:tc>
          <w:tcPr>
            <w:tcW w:w="651" w:type="dxa"/>
          </w:tcPr>
          <w:p w:rsidR="00EE3232" w:rsidRPr="008C2E09" w:rsidRDefault="00EE3232" w:rsidP="00614C04">
            <w:pPr>
              <w:spacing w:before="60" w:after="60"/>
              <w:jc w:val="center"/>
              <w:rPr>
                <w:rFonts w:cs="Arial"/>
                <w:b/>
                <w:noProof/>
                <w:sz w:val="16"/>
                <w:szCs w:val="16"/>
                <w:lang w:val="en-US"/>
              </w:rPr>
            </w:pPr>
            <w:r>
              <w:rPr>
                <w:rFonts w:cs="Arial"/>
                <w:b/>
                <w:noProof/>
                <w:sz w:val="16"/>
                <w:szCs w:val="16"/>
                <w:lang w:val="en-US"/>
              </w:rPr>
              <w:t>19</w:t>
            </w:r>
          </w:p>
        </w:tc>
      </w:tr>
      <w:tr w:rsidR="00EE3232">
        <w:trPr>
          <w:jc w:val="center"/>
        </w:trPr>
        <w:tc>
          <w:tcPr>
            <w:tcW w:w="1926" w:type="dxa"/>
          </w:tcPr>
          <w:p w:rsidR="00EE3232" w:rsidRPr="00BB2B20" w:rsidRDefault="00EE3232" w:rsidP="00614C04">
            <w:pPr>
              <w:spacing w:before="60" w:after="60"/>
              <w:rPr>
                <w:rFonts w:cs="Arial"/>
                <w:sz w:val="16"/>
                <w:szCs w:val="16"/>
              </w:rPr>
            </w:pPr>
            <w:r w:rsidRPr="00BB2B20">
              <w:rPr>
                <w:rFonts w:cs="Arial"/>
                <w:sz w:val="16"/>
                <w:szCs w:val="16"/>
              </w:rPr>
              <w:t>United States</w:t>
            </w:r>
            <w:r>
              <w:rPr>
                <w:rFonts w:cs="Arial"/>
                <w:sz w:val="16"/>
                <w:szCs w:val="16"/>
              </w:rPr>
              <w:t xml:space="preserve"> 2004</w:t>
            </w:r>
          </w:p>
        </w:tc>
        <w:tc>
          <w:tcPr>
            <w:tcW w:w="720" w:type="dxa"/>
          </w:tcPr>
          <w:p w:rsidR="00EE3232" w:rsidRPr="00BB2B20" w:rsidRDefault="00EE3232" w:rsidP="00614C04">
            <w:pPr>
              <w:spacing w:before="60" w:after="60"/>
              <w:jc w:val="center"/>
              <w:rPr>
                <w:rFonts w:cs="Arial"/>
                <w:sz w:val="16"/>
                <w:szCs w:val="16"/>
              </w:rPr>
            </w:pPr>
            <w:r>
              <w:rPr>
                <w:rFonts w:cs="Arial"/>
                <w:sz w:val="16"/>
                <w:szCs w:val="16"/>
              </w:rPr>
              <w:t>29</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Slovak</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tcPr>
          <w:p w:rsidR="00EE3232" w:rsidRDefault="00EE3232" w:rsidP="00614C04">
            <w:pPr>
              <w:spacing w:before="60" w:after="60"/>
              <w:jc w:val="center"/>
              <w:rPr>
                <w:rFonts w:cs="Arial"/>
                <w:sz w:val="16"/>
                <w:szCs w:val="16"/>
              </w:rPr>
            </w:pPr>
            <w:r>
              <w:rPr>
                <w:rFonts w:cs="Arial"/>
                <w:sz w:val="16"/>
                <w:szCs w:val="16"/>
              </w:rPr>
              <w:t>19</w:t>
            </w:r>
          </w:p>
        </w:tc>
      </w:tr>
      <w:tr w:rsidR="00EE3232">
        <w:trPr>
          <w:jc w:val="center"/>
        </w:trPr>
        <w:tc>
          <w:tcPr>
            <w:tcW w:w="1926"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Latvia</w:t>
                </w:r>
              </w:smartTag>
            </w:smartTag>
          </w:p>
        </w:tc>
        <w:tc>
          <w:tcPr>
            <w:tcW w:w="720" w:type="dxa"/>
          </w:tcPr>
          <w:p w:rsidR="00EE3232" w:rsidRDefault="00EE3232" w:rsidP="00614C04">
            <w:pPr>
              <w:spacing w:before="60" w:after="60"/>
              <w:jc w:val="center"/>
              <w:rPr>
                <w:rFonts w:cs="Arial"/>
                <w:noProof/>
                <w:sz w:val="16"/>
                <w:szCs w:val="16"/>
                <w:lang w:val="en-US"/>
              </w:rPr>
            </w:pPr>
            <w:r>
              <w:rPr>
                <w:rFonts w:cs="Arial"/>
                <w:noProof/>
                <w:sz w:val="16"/>
                <w:szCs w:val="16"/>
                <w:lang w:val="en-US"/>
              </w:rPr>
              <w:t>27</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Belgium</w:t>
                </w:r>
              </w:smartTag>
            </w:smartTag>
          </w:p>
        </w:tc>
        <w:tc>
          <w:tcPr>
            <w:tcW w:w="651" w:type="dxa"/>
          </w:tcPr>
          <w:p w:rsidR="00EE3232" w:rsidRPr="00BB2B20" w:rsidRDefault="00EE3232" w:rsidP="00614C04">
            <w:pPr>
              <w:spacing w:before="60" w:after="60"/>
              <w:jc w:val="center"/>
              <w:rPr>
                <w:rFonts w:cs="Arial"/>
                <w:sz w:val="16"/>
                <w:szCs w:val="16"/>
              </w:rPr>
            </w:pPr>
            <w:r w:rsidRPr="00BB2B20">
              <w:rPr>
                <w:rFonts w:cs="Arial"/>
                <w:sz w:val="16"/>
                <w:szCs w:val="16"/>
              </w:rPr>
              <w:t>1</w:t>
            </w:r>
            <w:r>
              <w:rPr>
                <w:rFonts w:cs="Arial"/>
                <w:sz w:val="16"/>
                <w:szCs w:val="16"/>
              </w:rPr>
              <w:t>8</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Spain</w:t>
                </w:r>
              </w:smartTag>
            </w:smartTag>
            <w:r>
              <w:rPr>
                <w:rFonts w:cs="Arial"/>
                <w:sz w:val="16"/>
                <w:szCs w:val="16"/>
              </w:rPr>
              <w:t xml:space="preserve"> </w:t>
            </w:r>
          </w:p>
        </w:tc>
        <w:tc>
          <w:tcPr>
            <w:tcW w:w="720" w:type="dxa"/>
          </w:tcPr>
          <w:p w:rsidR="00EE3232" w:rsidRPr="00BB2B20" w:rsidRDefault="00EE3232" w:rsidP="00614C04">
            <w:pPr>
              <w:spacing w:before="60" w:after="60"/>
              <w:jc w:val="center"/>
              <w:rPr>
                <w:rFonts w:cs="Arial"/>
                <w:noProof/>
                <w:sz w:val="16"/>
                <w:szCs w:val="16"/>
                <w:lang w:val="en-US"/>
              </w:rPr>
            </w:pPr>
            <w:r w:rsidRPr="00BB2B20">
              <w:rPr>
                <w:rFonts w:cs="Arial"/>
                <w:noProof/>
                <w:sz w:val="16"/>
                <w:szCs w:val="16"/>
                <w:lang w:val="en-US"/>
              </w:rPr>
              <w:t>2</w:t>
            </w:r>
            <w:r>
              <w:rPr>
                <w:rFonts w:cs="Arial"/>
                <w:noProof/>
                <w:sz w:val="16"/>
                <w:szCs w:val="16"/>
                <w:lang w:val="en-US"/>
              </w:rPr>
              <w:t>6</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France</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18</w:t>
            </w:r>
          </w:p>
        </w:tc>
      </w:tr>
      <w:tr w:rsidR="00EE3232">
        <w:trPr>
          <w:jc w:val="center"/>
        </w:trPr>
        <w:tc>
          <w:tcPr>
            <w:tcW w:w="1926" w:type="dxa"/>
          </w:tcPr>
          <w:p w:rsidR="00EE3232" w:rsidRPr="00BB2B20" w:rsidRDefault="00EE3232" w:rsidP="00614C04">
            <w:pPr>
              <w:spacing w:before="60" w:after="60"/>
              <w:rPr>
                <w:rFonts w:cs="Arial"/>
                <w:sz w:val="16"/>
                <w:szCs w:val="16"/>
              </w:rPr>
            </w:pPr>
            <w:r>
              <w:rPr>
                <w:rFonts w:cs="Arial"/>
                <w:sz w:val="16"/>
                <w:szCs w:val="16"/>
              </w:rPr>
              <w:t>Canada 2004</w:t>
            </w:r>
          </w:p>
        </w:tc>
        <w:tc>
          <w:tcPr>
            <w:tcW w:w="720" w:type="dxa"/>
          </w:tcPr>
          <w:p w:rsidR="00EE3232" w:rsidRPr="00BB2B20" w:rsidRDefault="00EE3232" w:rsidP="00614C04">
            <w:pPr>
              <w:spacing w:before="60" w:after="60"/>
              <w:jc w:val="center"/>
              <w:rPr>
                <w:rFonts w:cs="Arial"/>
                <w:sz w:val="16"/>
                <w:szCs w:val="16"/>
              </w:rPr>
            </w:pPr>
            <w:r w:rsidRPr="00BB2B20">
              <w:rPr>
                <w:rFonts w:cs="Arial"/>
                <w:sz w:val="16"/>
                <w:szCs w:val="16"/>
              </w:rPr>
              <w:t>2</w:t>
            </w:r>
            <w:r>
              <w:rPr>
                <w:rFonts w:cs="Arial"/>
                <w:sz w:val="16"/>
                <w:szCs w:val="16"/>
              </w:rPr>
              <w:t>5</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Germany</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18</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Italy</w:t>
                </w:r>
              </w:smartTag>
            </w:smartTag>
          </w:p>
        </w:tc>
        <w:tc>
          <w:tcPr>
            <w:tcW w:w="720" w:type="dxa"/>
          </w:tcPr>
          <w:p w:rsidR="00EE3232" w:rsidRPr="00BB2B20" w:rsidRDefault="00EE3232" w:rsidP="00614C04">
            <w:pPr>
              <w:spacing w:before="60" w:after="60"/>
              <w:jc w:val="center"/>
              <w:rPr>
                <w:rFonts w:cs="Arial"/>
                <w:sz w:val="16"/>
                <w:szCs w:val="16"/>
              </w:rPr>
            </w:pPr>
            <w:r w:rsidRPr="00BB2B20">
              <w:rPr>
                <w:rFonts w:cs="Arial"/>
                <w:sz w:val="16"/>
                <w:szCs w:val="16"/>
              </w:rPr>
              <w:t>2</w:t>
            </w:r>
            <w:r>
              <w:rPr>
                <w:rFonts w:cs="Arial"/>
                <w:sz w:val="16"/>
                <w:szCs w:val="16"/>
              </w:rPr>
              <w:t>5</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Switzerland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18</w:t>
            </w:r>
          </w:p>
        </w:tc>
      </w:tr>
      <w:tr w:rsidR="00EE3232">
        <w:trPr>
          <w:jc w:val="center"/>
        </w:trPr>
        <w:tc>
          <w:tcPr>
            <w:tcW w:w="1926"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Lithuania</w:t>
                </w:r>
              </w:smartTag>
            </w:smartTag>
          </w:p>
        </w:tc>
        <w:tc>
          <w:tcPr>
            <w:tcW w:w="720" w:type="dxa"/>
          </w:tcPr>
          <w:p w:rsidR="00EE3232" w:rsidRDefault="00EE3232" w:rsidP="00614C04">
            <w:pPr>
              <w:spacing w:before="60" w:after="60"/>
              <w:jc w:val="center"/>
              <w:rPr>
                <w:rFonts w:cs="Arial"/>
                <w:noProof/>
                <w:sz w:val="16"/>
                <w:szCs w:val="16"/>
                <w:lang w:val="en-US"/>
              </w:rPr>
            </w:pPr>
            <w:r>
              <w:rPr>
                <w:rFonts w:cs="Arial"/>
                <w:noProof/>
                <w:sz w:val="16"/>
                <w:szCs w:val="16"/>
                <w:lang w:val="en-US"/>
              </w:rPr>
              <w:t>23</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Estonia</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17</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Greece</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23</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Netherlands</w:t>
                </w:r>
              </w:smartTag>
            </w:smartTag>
          </w:p>
        </w:tc>
        <w:tc>
          <w:tcPr>
            <w:tcW w:w="651" w:type="dxa"/>
          </w:tcPr>
          <w:p w:rsidR="00EE3232" w:rsidRPr="00BB2B20" w:rsidRDefault="00EE3232" w:rsidP="00614C04">
            <w:pPr>
              <w:spacing w:before="60" w:after="60"/>
              <w:jc w:val="center"/>
              <w:rPr>
                <w:rFonts w:cs="Arial"/>
                <w:sz w:val="16"/>
                <w:szCs w:val="16"/>
              </w:rPr>
            </w:pPr>
            <w:r w:rsidRPr="00BB2B20">
              <w:rPr>
                <w:rFonts w:cs="Arial"/>
                <w:sz w:val="16"/>
                <w:szCs w:val="16"/>
              </w:rPr>
              <w:t>1</w:t>
            </w:r>
            <w:r>
              <w:rPr>
                <w:rFonts w:cs="Arial"/>
                <w:sz w:val="16"/>
                <w:szCs w:val="16"/>
              </w:rPr>
              <w:t>4</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Poland</w:t>
                </w:r>
              </w:smartTag>
            </w:smartTag>
          </w:p>
        </w:tc>
        <w:tc>
          <w:tcPr>
            <w:tcW w:w="720" w:type="dxa"/>
          </w:tcPr>
          <w:p w:rsidR="00EE3232" w:rsidRPr="00BB2B20" w:rsidRDefault="00EE3232" w:rsidP="00614C04">
            <w:pPr>
              <w:spacing w:before="60" w:after="60"/>
              <w:jc w:val="center"/>
              <w:rPr>
                <w:rFonts w:cs="Arial"/>
                <w:noProof/>
                <w:sz w:val="16"/>
                <w:szCs w:val="16"/>
                <w:lang w:val="en-US"/>
              </w:rPr>
            </w:pPr>
            <w:r>
              <w:rPr>
                <w:rFonts w:cs="Arial"/>
                <w:noProof/>
                <w:sz w:val="16"/>
                <w:szCs w:val="16"/>
                <w:lang w:val="en-US"/>
              </w:rPr>
              <w:t>23</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Austria</w:t>
                </w:r>
              </w:smartTag>
            </w:smartTag>
          </w:p>
        </w:tc>
        <w:tc>
          <w:tcPr>
            <w:tcW w:w="651" w:type="dxa"/>
          </w:tcPr>
          <w:p w:rsidR="00EE3232" w:rsidRDefault="00EE3232" w:rsidP="00614C04">
            <w:pPr>
              <w:spacing w:before="60" w:after="60"/>
              <w:jc w:val="center"/>
              <w:rPr>
                <w:rFonts w:cs="Arial"/>
                <w:sz w:val="16"/>
                <w:szCs w:val="16"/>
              </w:rPr>
            </w:pPr>
            <w:r>
              <w:rPr>
                <w:rFonts w:cs="Arial"/>
                <w:sz w:val="16"/>
                <w:szCs w:val="16"/>
              </w:rPr>
              <w:t>14</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Portugal</w:t>
                </w:r>
              </w:smartTag>
            </w:smartTag>
          </w:p>
        </w:tc>
        <w:tc>
          <w:tcPr>
            <w:tcW w:w="720" w:type="dxa"/>
          </w:tcPr>
          <w:p w:rsidR="00EE3232" w:rsidRPr="00BB2B20" w:rsidRDefault="00EE3232" w:rsidP="00614C04">
            <w:pPr>
              <w:spacing w:before="60" w:after="60"/>
              <w:jc w:val="center"/>
              <w:rPr>
                <w:rFonts w:cs="Arial"/>
                <w:sz w:val="16"/>
                <w:szCs w:val="16"/>
              </w:rPr>
            </w:pPr>
            <w:r w:rsidRPr="00BB2B20">
              <w:rPr>
                <w:rFonts w:cs="Arial"/>
                <w:sz w:val="16"/>
                <w:szCs w:val="16"/>
              </w:rPr>
              <w:t>2</w:t>
            </w:r>
            <w:r>
              <w:rPr>
                <w:rFonts w:cs="Arial"/>
                <w:sz w:val="16"/>
                <w:szCs w:val="16"/>
              </w:rPr>
              <w:t>2</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Czech</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14</w:t>
            </w:r>
          </w:p>
        </w:tc>
      </w:tr>
      <w:tr w:rsidR="00EE3232">
        <w:trPr>
          <w:jc w:val="center"/>
        </w:trPr>
        <w:tc>
          <w:tcPr>
            <w:tcW w:w="1926" w:type="dxa"/>
          </w:tcPr>
          <w:p w:rsidR="00EE3232" w:rsidRPr="00BB2B20" w:rsidRDefault="00EE3232" w:rsidP="00614C04">
            <w:pPr>
              <w:spacing w:before="60" w:after="60"/>
              <w:rPr>
                <w:rFonts w:cs="Arial"/>
                <w:sz w:val="16"/>
                <w:szCs w:val="16"/>
              </w:rPr>
            </w:pPr>
            <w:r>
              <w:rPr>
                <w:rFonts w:cs="Arial"/>
                <w:sz w:val="16"/>
                <w:szCs w:val="16"/>
              </w:rPr>
              <w:t>Australia 2003</w:t>
            </w:r>
          </w:p>
        </w:tc>
        <w:tc>
          <w:tcPr>
            <w:tcW w:w="720" w:type="dxa"/>
          </w:tcPr>
          <w:p w:rsidR="00EE3232" w:rsidRPr="00BB2B20" w:rsidRDefault="00EE3232" w:rsidP="00614C04">
            <w:pPr>
              <w:spacing w:before="60" w:after="60"/>
              <w:jc w:val="center"/>
              <w:rPr>
                <w:rFonts w:cs="Arial"/>
                <w:sz w:val="16"/>
                <w:szCs w:val="16"/>
              </w:rPr>
            </w:pPr>
            <w:r>
              <w:rPr>
                <w:rFonts w:cs="Arial"/>
                <w:sz w:val="16"/>
                <w:szCs w:val="16"/>
              </w:rPr>
              <w:t>22</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Sweden</w:t>
                </w:r>
              </w:smartTag>
            </w:smartTag>
          </w:p>
        </w:tc>
        <w:tc>
          <w:tcPr>
            <w:tcW w:w="651" w:type="dxa"/>
          </w:tcPr>
          <w:p w:rsidR="00EE3232" w:rsidRPr="00BB2B20" w:rsidRDefault="00EE3232" w:rsidP="00614C04">
            <w:pPr>
              <w:spacing w:before="60" w:after="60"/>
              <w:jc w:val="center"/>
              <w:rPr>
                <w:rFonts w:cs="Arial"/>
                <w:sz w:val="16"/>
                <w:szCs w:val="16"/>
              </w:rPr>
            </w:pPr>
            <w:r w:rsidRPr="00BB2B20">
              <w:rPr>
                <w:rFonts w:cs="Arial"/>
                <w:sz w:val="16"/>
                <w:szCs w:val="16"/>
              </w:rPr>
              <w:t>1</w:t>
            </w:r>
            <w:r>
              <w:rPr>
                <w:rFonts w:cs="Arial"/>
                <w:sz w:val="16"/>
                <w:szCs w:val="16"/>
              </w:rPr>
              <w:t>3</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Luxembourg</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21</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Slovenia</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13</w:t>
            </w:r>
          </w:p>
        </w:tc>
      </w:tr>
      <w:tr w:rsidR="00EE3232">
        <w:trPr>
          <w:jc w:val="center"/>
        </w:trPr>
        <w:tc>
          <w:tcPr>
            <w:tcW w:w="1926" w:type="dxa"/>
          </w:tcPr>
          <w:p w:rsidR="00EE3232" w:rsidRPr="00BB2B20" w:rsidRDefault="00EE3232" w:rsidP="00614C04">
            <w:pPr>
              <w:spacing w:before="60" w:after="60"/>
              <w:rPr>
                <w:rFonts w:cs="Arial"/>
                <w:sz w:val="16"/>
                <w:szCs w:val="16"/>
              </w:rPr>
            </w:pPr>
            <w:r w:rsidRPr="00BB2B20">
              <w:rPr>
                <w:rFonts w:cs="Arial"/>
                <w:sz w:val="16"/>
                <w:szCs w:val="16"/>
              </w:rPr>
              <w:t>EU</w:t>
            </w:r>
            <w:r>
              <w:rPr>
                <w:rFonts w:cs="Arial"/>
                <w:sz w:val="16"/>
                <w:szCs w:val="16"/>
              </w:rPr>
              <w:t>-27</w:t>
            </w:r>
            <w:r w:rsidRPr="00BB2B20">
              <w:rPr>
                <w:rFonts w:cs="Arial"/>
                <w:sz w:val="16"/>
                <w:szCs w:val="16"/>
              </w:rPr>
              <w:t xml:space="preserve"> </w:t>
            </w:r>
          </w:p>
        </w:tc>
        <w:tc>
          <w:tcPr>
            <w:tcW w:w="720" w:type="dxa"/>
          </w:tcPr>
          <w:p w:rsidR="00EE3232" w:rsidRPr="00BB2B20" w:rsidRDefault="00EE3232" w:rsidP="00614C04">
            <w:pPr>
              <w:spacing w:before="60" w:after="60"/>
              <w:jc w:val="center"/>
              <w:rPr>
                <w:rFonts w:cs="Arial"/>
                <w:sz w:val="16"/>
                <w:szCs w:val="16"/>
              </w:rPr>
            </w:pPr>
            <w:r>
              <w:rPr>
                <w:rFonts w:cs="Arial"/>
                <w:sz w:val="16"/>
                <w:szCs w:val="16"/>
              </w:rPr>
              <w:t>21</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Iceland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13</w:t>
            </w:r>
          </w:p>
        </w:tc>
      </w:tr>
      <w:tr w:rsidR="00EE3232">
        <w:trPr>
          <w:jc w:val="center"/>
        </w:trPr>
        <w:tc>
          <w:tcPr>
            <w:tcW w:w="1926" w:type="dxa"/>
          </w:tcPr>
          <w:p w:rsidR="00EE3232" w:rsidRPr="00BB2B20" w:rsidRDefault="00EE3232" w:rsidP="00614C04">
            <w:pPr>
              <w:spacing w:before="60" w:after="60"/>
              <w:rPr>
                <w:rFonts w:cs="Arial"/>
                <w:sz w:val="16"/>
                <w:szCs w:val="16"/>
              </w:rPr>
            </w:pPr>
            <w:r>
              <w:rPr>
                <w:rFonts w:cs="Arial"/>
                <w:sz w:val="16"/>
                <w:szCs w:val="16"/>
              </w:rPr>
              <w:t>EU-15</w:t>
            </w:r>
          </w:p>
        </w:tc>
        <w:tc>
          <w:tcPr>
            <w:tcW w:w="720" w:type="dxa"/>
          </w:tcPr>
          <w:p w:rsidR="00EE3232" w:rsidRPr="00BB2B20" w:rsidRDefault="00EE3232" w:rsidP="00614C04">
            <w:pPr>
              <w:spacing w:before="60" w:after="60"/>
              <w:jc w:val="center"/>
              <w:rPr>
                <w:rFonts w:cs="Arial"/>
                <w:sz w:val="16"/>
                <w:szCs w:val="16"/>
              </w:rPr>
            </w:pPr>
            <w:r>
              <w:rPr>
                <w:rFonts w:cs="Arial"/>
                <w:sz w:val="16"/>
                <w:szCs w:val="16"/>
              </w:rPr>
              <w:t>20</w:t>
            </w:r>
          </w:p>
        </w:tc>
        <w:tc>
          <w:tcPr>
            <w:tcW w:w="1768" w:type="dxa"/>
          </w:tcPr>
          <w:p w:rsidR="00EE3232" w:rsidRPr="00BB2B20" w:rsidRDefault="00EE3232" w:rsidP="00614C04">
            <w:pPr>
              <w:spacing w:before="60" w:after="60"/>
              <w:ind w:right="749" w:hanging="33"/>
              <w:rPr>
                <w:rFonts w:cs="Arial"/>
                <w:sz w:val="16"/>
                <w:szCs w:val="16"/>
              </w:rPr>
            </w:pPr>
            <w:smartTag w:uri="urn:schemas-microsoft-com:office:smarttags" w:element="place">
              <w:smartTag w:uri="urn:schemas-microsoft-com:office:smarttags" w:element="country-region">
                <w:r>
                  <w:rPr>
                    <w:rFonts w:cs="Arial"/>
                    <w:sz w:val="16"/>
                    <w:szCs w:val="16"/>
                  </w:rPr>
                  <w:t>Norway</w:t>
                </w:r>
              </w:smartTag>
            </w:smartTag>
          </w:p>
        </w:tc>
        <w:tc>
          <w:tcPr>
            <w:tcW w:w="651" w:type="dxa"/>
          </w:tcPr>
          <w:p w:rsidR="00EE3232" w:rsidRDefault="00EE3232" w:rsidP="00614C04">
            <w:pPr>
              <w:spacing w:before="60" w:after="60"/>
              <w:ind w:firstLine="12"/>
              <w:jc w:val="center"/>
              <w:rPr>
                <w:rFonts w:cs="Arial"/>
                <w:sz w:val="16"/>
                <w:szCs w:val="16"/>
              </w:rPr>
            </w:pPr>
            <w:r>
              <w:rPr>
                <w:rFonts w:cs="Arial"/>
                <w:sz w:val="16"/>
                <w:szCs w:val="16"/>
              </w:rPr>
              <w:t>12</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Ireland</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20</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Finland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11</w:t>
            </w:r>
          </w:p>
        </w:tc>
      </w:tr>
      <w:tr w:rsidR="00EE3232">
        <w:trPr>
          <w:jc w:val="center"/>
        </w:trPr>
        <w:tc>
          <w:tcPr>
            <w:tcW w:w="1926"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United Kingdom</w:t>
                </w:r>
              </w:smartTag>
            </w:smartTag>
          </w:p>
        </w:tc>
        <w:tc>
          <w:tcPr>
            <w:tcW w:w="720" w:type="dxa"/>
          </w:tcPr>
          <w:p w:rsidR="00EE3232" w:rsidRPr="00BB2B20" w:rsidRDefault="00EE3232" w:rsidP="00614C04">
            <w:pPr>
              <w:spacing w:before="60" w:after="60"/>
              <w:jc w:val="center"/>
              <w:rPr>
                <w:rFonts w:cs="Arial"/>
                <w:sz w:val="16"/>
                <w:szCs w:val="16"/>
              </w:rPr>
            </w:pPr>
            <w:r w:rsidRPr="00BB2B20">
              <w:rPr>
                <w:rFonts w:cs="Arial"/>
                <w:sz w:val="16"/>
                <w:szCs w:val="16"/>
              </w:rPr>
              <w:t>2</w:t>
            </w:r>
            <w:r>
              <w:rPr>
                <w:rFonts w:cs="Arial"/>
                <w:sz w:val="16"/>
                <w:szCs w:val="16"/>
              </w:rPr>
              <w:t>0</w:t>
            </w:r>
          </w:p>
        </w:tc>
        <w:tc>
          <w:tcPr>
            <w:tcW w:w="1768" w:type="dxa"/>
          </w:tcPr>
          <w:p w:rsidR="00EE3232" w:rsidRPr="00BB2B20" w:rsidRDefault="00EE3232" w:rsidP="00614C04">
            <w:pPr>
              <w:spacing w:before="60" w:after="60"/>
              <w:ind w:hanging="33"/>
              <w:rPr>
                <w:rFonts w:cs="Arial"/>
                <w:sz w:val="16"/>
                <w:szCs w:val="16"/>
              </w:rPr>
            </w:pPr>
            <w:smartTag w:uri="urn:schemas-microsoft-com:office:smarttags" w:element="place">
              <w:smartTag w:uri="urn:schemas-microsoft-com:office:smarttags" w:element="country-region">
                <w:r w:rsidRPr="00BB2B20">
                  <w:rPr>
                    <w:rFonts w:cs="Arial"/>
                    <w:sz w:val="16"/>
                    <w:szCs w:val="16"/>
                  </w:rPr>
                  <w:t>Denmark</w:t>
                </w:r>
              </w:smartTag>
            </w:smartTag>
          </w:p>
        </w:tc>
        <w:tc>
          <w:tcPr>
            <w:tcW w:w="651" w:type="dxa"/>
          </w:tcPr>
          <w:p w:rsidR="00EE3232" w:rsidRPr="00BB2B20" w:rsidRDefault="00EE3232" w:rsidP="00614C04">
            <w:pPr>
              <w:spacing w:before="60" w:after="60"/>
              <w:ind w:firstLine="12"/>
              <w:jc w:val="center"/>
              <w:rPr>
                <w:rFonts w:cs="Arial"/>
                <w:sz w:val="16"/>
                <w:szCs w:val="16"/>
              </w:rPr>
            </w:pPr>
            <w:r>
              <w:rPr>
                <w:rFonts w:cs="Arial"/>
                <w:sz w:val="16"/>
                <w:szCs w:val="16"/>
              </w:rPr>
              <w:t>11</w:t>
            </w:r>
          </w:p>
        </w:tc>
      </w:tr>
    </w:tbl>
    <w:p w:rsidR="00EE3232" w:rsidRDefault="00EE3232" w:rsidP="00EE3232">
      <w:pPr>
        <w:ind w:left="1814" w:right="1195" w:hanging="907"/>
        <w:jc w:val="both"/>
        <w:rPr>
          <w:rFonts w:cs="Arial"/>
          <w:sz w:val="18"/>
          <w:szCs w:val="18"/>
          <w:u w:val="single"/>
        </w:rPr>
      </w:pPr>
    </w:p>
    <w:p w:rsidR="00EE3232" w:rsidRDefault="00EE3232" w:rsidP="00EE3232">
      <w:pPr>
        <w:ind w:left="1530" w:right="1195" w:hanging="900"/>
        <w:jc w:val="both"/>
        <w:rPr>
          <w:rFonts w:cs="Arial"/>
          <w:sz w:val="18"/>
          <w:szCs w:val="18"/>
        </w:rPr>
      </w:pPr>
      <w:r w:rsidRPr="00EF7BC7">
        <w:rPr>
          <w:rFonts w:cs="Arial"/>
          <w:sz w:val="18"/>
          <w:szCs w:val="18"/>
          <w:u w:val="single"/>
        </w:rPr>
        <w:t>Source</w:t>
      </w:r>
      <w:r>
        <w:rPr>
          <w:rFonts w:cs="Arial"/>
          <w:sz w:val="18"/>
          <w:szCs w:val="18"/>
          <w:u w:val="single"/>
        </w:rPr>
        <w:t>s:</w:t>
      </w:r>
      <w:r>
        <w:rPr>
          <w:rFonts w:cs="Arial"/>
          <w:sz w:val="18"/>
          <w:szCs w:val="18"/>
        </w:rPr>
        <w:tab/>
        <w:t xml:space="preserve">Most of the data in the table is drawn directly from the Eurostat  statistical database for ‘Living Conditions and Social Protection’, accessed on 22 May 2012.  The rates for </w:t>
      </w:r>
      <w:smartTag w:uri="urn:schemas-microsoft-com:office:smarttags" w:element="country-region">
        <w:r>
          <w:rPr>
            <w:rFonts w:cs="Arial"/>
            <w:sz w:val="18"/>
            <w:szCs w:val="18"/>
          </w:rPr>
          <w:t>Canada</w:t>
        </w:r>
      </w:smartTag>
      <w:r>
        <w:rPr>
          <w:rFonts w:cs="Arial"/>
          <w:sz w:val="18"/>
          <w:szCs w:val="18"/>
        </w:rPr>
        <w:t xml:space="preserve">, the </w:t>
      </w:r>
      <w:smartTag w:uri="urn:schemas-microsoft-com:office:smarttags" w:element="country-region">
        <w:r>
          <w:rPr>
            <w:rFonts w:cs="Arial"/>
            <w:sz w:val="18"/>
            <w:szCs w:val="18"/>
          </w:rPr>
          <w:t>US</w:t>
        </w:r>
      </w:smartTag>
      <w:r>
        <w:rPr>
          <w:rFonts w:cs="Arial"/>
          <w:sz w:val="18"/>
          <w:szCs w:val="18"/>
        </w:rPr>
        <w:t xml:space="preserve">, </w:t>
      </w:r>
      <w:smartTag w:uri="urn:schemas-microsoft-com:office:smarttags" w:element="country-region">
        <w:r>
          <w:rPr>
            <w:rFonts w:cs="Arial"/>
            <w:sz w:val="18"/>
            <w:szCs w:val="18"/>
          </w:rPr>
          <w:t>Mexico</w:t>
        </w:r>
      </w:smartTag>
      <w:r>
        <w:rPr>
          <w:rFonts w:cs="Arial"/>
          <w:sz w:val="18"/>
          <w:szCs w:val="18"/>
        </w:rPr>
        <w:t xml:space="preserve"> and </w:t>
      </w:r>
      <w:smartTag w:uri="urn:schemas-microsoft-com:office:smarttags" w:element="place">
        <w:smartTag w:uri="urn:schemas-microsoft-com:office:smarttags" w:element="country-region">
          <w:r>
            <w:rPr>
              <w:rFonts w:cs="Arial"/>
              <w:sz w:val="18"/>
              <w:szCs w:val="18"/>
            </w:rPr>
            <w:t>Australia</w:t>
          </w:r>
        </w:smartTag>
      </w:smartTag>
      <w:r>
        <w:rPr>
          <w:rFonts w:cs="Arial"/>
          <w:sz w:val="18"/>
          <w:szCs w:val="18"/>
        </w:rPr>
        <w:t xml:space="preserve"> are drawn from the LIS Key Figures database at </w:t>
      </w:r>
      <w:hyperlink r:id="rId112" w:history="1">
        <w:r w:rsidRPr="00E84D86">
          <w:rPr>
            <w:rStyle w:val="Hyperlink"/>
            <w:rFonts w:cs="Arial"/>
            <w:sz w:val="18"/>
            <w:szCs w:val="18"/>
          </w:rPr>
          <w:t>www.lisproject.org/key-figures/key-figures.htm</w:t>
        </w:r>
      </w:hyperlink>
      <w:r>
        <w:rPr>
          <w:rFonts w:cs="Arial"/>
          <w:sz w:val="18"/>
          <w:szCs w:val="18"/>
          <w:lang w:val="en-NZ"/>
        </w:rPr>
        <w:t xml:space="preserve"> </w:t>
      </w:r>
      <w:r>
        <w:rPr>
          <w:rFonts w:cs="Arial"/>
          <w:sz w:val="18"/>
          <w:szCs w:val="18"/>
        </w:rPr>
        <w:t xml:space="preserve">accessed on </w:t>
      </w:r>
      <w:smartTag w:uri="urn:schemas-microsoft-com:office:smarttags" w:element="date">
        <w:smartTagPr>
          <w:attr w:name="Month" w:val="6"/>
          <w:attr w:name="Day" w:val="20"/>
          <w:attr w:name="Year" w:val="2011"/>
        </w:smartTagPr>
        <w:r>
          <w:rPr>
            <w:rFonts w:cs="Arial"/>
            <w:sz w:val="18"/>
            <w:szCs w:val="18"/>
          </w:rPr>
          <w:t>20 June 2011</w:t>
        </w:r>
      </w:smartTag>
      <w:r>
        <w:rPr>
          <w:rFonts w:cs="Arial"/>
          <w:sz w:val="18"/>
          <w:szCs w:val="18"/>
        </w:rPr>
        <w:t xml:space="preserve">. </w:t>
      </w:r>
    </w:p>
    <w:p w:rsidR="00EE3232" w:rsidRDefault="00EE3232" w:rsidP="00EE3232">
      <w:pPr>
        <w:rPr>
          <w:rFonts w:cs="Arial"/>
          <w:b/>
          <w:szCs w:val="22"/>
        </w:rPr>
      </w:pPr>
    </w:p>
    <w:p w:rsidR="00EE3232" w:rsidRPr="00A21EFF" w:rsidRDefault="00EE3232" w:rsidP="00EE3232">
      <w:pPr>
        <w:jc w:val="both"/>
        <w:rPr>
          <w:b/>
          <w:sz w:val="20"/>
          <w:szCs w:val="22"/>
        </w:rPr>
      </w:pPr>
      <w:r>
        <w:rPr>
          <w:rFonts w:cs="Arial"/>
          <w:b/>
          <w:szCs w:val="22"/>
        </w:rPr>
        <w:br w:type="page"/>
      </w:r>
      <w:r w:rsidRPr="00A21EFF">
        <w:rPr>
          <w:b/>
          <w:sz w:val="20"/>
          <w:szCs w:val="22"/>
        </w:rPr>
        <w:lastRenderedPageBreak/>
        <w:t>Children in workless households</w:t>
      </w:r>
    </w:p>
    <w:p w:rsidR="00EE3232" w:rsidRPr="00A21EFF" w:rsidRDefault="00EE3232" w:rsidP="00EE3232">
      <w:pPr>
        <w:pStyle w:val="Heading3"/>
        <w:jc w:val="both"/>
        <w:rPr>
          <w:b w:val="0"/>
          <w:sz w:val="20"/>
          <w:szCs w:val="22"/>
        </w:rPr>
      </w:pPr>
    </w:p>
    <w:p w:rsidR="00EE3232" w:rsidRPr="00A21EFF" w:rsidRDefault="00EE3232" w:rsidP="00EE3232">
      <w:pPr>
        <w:jc w:val="both"/>
        <w:rPr>
          <w:sz w:val="20"/>
        </w:rPr>
      </w:pPr>
      <w:r w:rsidRPr="00A21EFF">
        <w:rPr>
          <w:sz w:val="20"/>
        </w:rPr>
        <w:t xml:space="preserve">There is more than one way in which the general concept of ‘children in workless households’ is operationalised and reported by various national and international agencies. </w:t>
      </w:r>
    </w:p>
    <w:p w:rsidR="00EE3232" w:rsidRPr="00A21EFF" w:rsidRDefault="00EE3232" w:rsidP="00EE3232">
      <w:pPr>
        <w:jc w:val="both"/>
        <w:rPr>
          <w:sz w:val="20"/>
        </w:rPr>
      </w:pPr>
    </w:p>
    <w:p w:rsidR="00EE3232" w:rsidRPr="00A21EFF" w:rsidRDefault="00EE3232" w:rsidP="00EE3232">
      <w:pPr>
        <w:jc w:val="both"/>
        <w:rPr>
          <w:sz w:val="20"/>
        </w:rPr>
      </w:pPr>
      <w:r w:rsidRPr="00A21EFF">
        <w:rPr>
          <w:sz w:val="20"/>
        </w:rPr>
        <w:t>The most straightforward way is to count the number of children in workless households and express this number as a proportion of all children (1</w:t>
      </w:r>
      <w:r>
        <w:rPr>
          <w:sz w:val="20"/>
        </w:rPr>
        <w:t>6</w:t>
      </w:r>
      <w:r w:rsidRPr="00A21EFF">
        <w:rPr>
          <w:sz w:val="20"/>
        </w:rPr>
        <w:t>% in HES 200</w:t>
      </w:r>
      <w:r>
        <w:rPr>
          <w:sz w:val="20"/>
        </w:rPr>
        <w:t>9</w:t>
      </w:r>
      <w:r w:rsidRPr="00A21EFF">
        <w:rPr>
          <w:sz w:val="20"/>
        </w:rPr>
        <w:t>).  This report uses this approach.</w:t>
      </w:r>
      <w:r>
        <w:rPr>
          <w:rStyle w:val="FootnoteReference"/>
          <w:sz w:val="20"/>
        </w:rPr>
        <w:footnoteReference w:id="89"/>
      </w:r>
    </w:p>
    <w:p w:rsidR="00EE3232" w:rsidRPr="00A21EFF" w:rsidRDefault="00EE3232" w:rsidP="00EE3232">
      <w:pPr>
        <w:jc w:val="both"/>
        <w:rPr>
          <w:sz w:val="20"/>
        </w:rPr>
      </w:pPr>
    </w:p>
    <w:p w:rsidR="00EE3232" w:rsidRPr="00A21EFF" w:rsidRDefault="00EE3232" w:rsidP="00EE3232">
      <w:pPr>
        <w:jc w:val="both"/>
        <w:rPr>
          <w:sz w:val="20"/>
        </w:rPr>
      </w:pPr>
      <w:r w:rsidRPr="00A21EFF">
        <w:rPr>
          <w:sz w:val="20"/>
        </w:rPr>
        <w:t xml:space="preserve">A second way is to count up the number of households with children where there is no adult in work, and express this as a proportion of the number of all households with children.  This “workless households with children” approach gives a very similar trend to that produced by this report’s “children in workless households” approach, albeit the actual proportions </w:t>
      </w:r>
      <w:r>
        <w:rPr>
          <w:sz w:val="20"/>
        </w:rPr>
        <w:t>can</w:t>
      </w:r>
      <w:r w:rsidRPr="00A21EFF">
        <w:rPr>
          <w:sz w:val="20"/>
        </w:rPr>
        <w:t xml:space="preserve"> </w:t>
      </w:r>
      <w:r>
        <w:rPr>
          <w:sz w:val="20"/>
        </w:rPr>
        <w:t>sometimes be very slightly different than in the first approach (16</w:t>
      </w:r>
      <w:r w:rsidRPr="00A21EFF">
        <w:rPr>
          <w:sz w:val="20"/>
        </w:rPr>
        <w:t>% in HES 200</w:t>
      </w:r>
      <w:r>
        <w:rPr>
          <w:sz w:val="20"/>
        </w:rPr>
        <w:t>9</w:t>
      </w:r>
      <w:r w:rsidRPr="00A21EFF">
        <w:rPr>
          <w:sz w:val="20"/>
        </w:rPr>
        <w:t>).</w:t>
      </w:r>
    </w:p>
    <w:p w:rsidR="00EE3232" w:rsidRPr="00A21EFF" w:rsidRDefault="00EE3232" w:rsidP="00EE3232">
      <w:pPr>
        <w:jc w:val="both"/>
        <w:rPr>
          <w:sz w:val="20"/>
        </w:rPr>
      </w:pPr>
    </w:p>
    <w:p w:rsidR="00EE3232" w:rsidRPr="00A21EFF" w:rsidRDefault="00EE3232" w:rsidP="00EE3232">
      <w:pPr>
        <w:jc w:val="both"/>
        <w:rPr>
          <w:sz w:val="20"/>
        </w:rPr>
      </w:pPr>
      <w:r w:rsidRPr="00A21EFF">
        <w:rPr>
          <w:sz w:val="20"/>
        </w:rPr>
        <w:t>A third way is to count the numbe</w:t>
      </w:r>
      <w:r>
        <w:rPr>
          <w:sz w:val="20"/>
        </w:rPr>
        <w:t>r of people in workless working-</w:t>
      </w:r>
      <w:r w:rsidRPr="00A21EFF">
        <w:rPr>
          <w:sz w:val="20"/>
        </w:rPr>
        <w:t xml:space="preserve">age households with children, and express this as a proportion of the total number of people in all working age households with children.  This </w:t>
      </w:r>
      <w:r>
        <w:rPr>
          <w:sz w:val="20"/>
        </w:rPr>
        <w:t>seems to be</w:t>
      </w:r>
      <w:r w:rsidRPr="00A21EFF">
        <w:rPr>
          <w:sz w:val="20"/>
        </w:rPr>
        <w:t xml:space="preserve"> the approach used by the OECD in their gathering of information from member nations for international comparisons.  It produces numbers </w:t>
      </w:r>
      <w:r>
        <w:rPr>
          <w:sz w:val="20"/>
        </w:rPr>
        <w:t xml:space="preserve">quite </w:t>
      </w:r>
      <w:r w:rsidRPr="00A21EFF">
        <w:rPr>
          <w:sz w:val="20"/>
        </w:rPr>
        <w:t>different from either of the above two approaches (</w:t>
      </w:r>
      <w:r>
        <w:rPr>
          <w:sz w:val="20"/>
        </w:rPr>
        <w:t xml:space="preserve">eg </w:t>
      </w:r>
      <w:r w:rsidRPr="00A21EFF">
        <w:rPr>
          <w:sz w:val="20"/>
        </w:rPr>
        <w:t>10% in HES 2004, compared with 14% for both the above</w:t>
      </w:r>
      <w:r>
        <w:rPr>
          <w:sz w:val="20"/>
        </w:rPr>
        <w:t xml:space="preserve"> approaches</w:t>
      </w:r>
      <w:r w:rsidRPr="00A21EFF">
        <w:rPr>
          <w:sz w:val="20"/>
        </w:rPr>
        <w:t>)</w:t>
      </w:r>
      <w:r>
        <w:rPr>
          <w:sz w:val="20"/>
        </w:rPr>
        <w:t>.</w:t>
      </w:r>
      <w:r w:rsidRPr="00A21EFF">
        <w:rPr>
          <w:sz w:val="20"/>
        </w:rPr>
        <w:t xml:space="preserve">  This is a useful way of reporting on the proportion of people in workless households with children, but is not as useful for reporting on the proportion of children in workless households, especially when this is straightforward to do </w:t>
      </w:r>
      <w:r>
        <w:rPr>
          <w:sz w:val="20"/>
        </w:rPr>
        <w:t>in a simple and direct way as the EU does (see below)</w:t>
      </w:r>
      <w:r w:rsidRPr="00A21EFF">
        <w:rPr>
          <w:sz w:val="20"/>
        </w:rPr>
        <w:t xml:space="preserve">.  </w:t>
      </w:r>
    </w:p>
    <w:p w:rsidR="00EE3232" w:rsidRPr="00A21EFF" w:rsidRDefault="00EE3232" w:rsidP="00EE3232">
      <w:pPr>
        <w:tabs>
          <w:tab w:val="left" w:pos="540"/>
        </w:tabs>
        <w:spacing w:after="120"/>
        <w:jc w:val="both"/>
        <w:rPr>
          <w:rFonts w:cs="Arial"/>
          <w:b/>
          <w:sz w:val="20"/>
          <w:szCs w:val="22"/>
        </w:rPr>
      </w:pPr>
    </w:p>
    <w:p w:rsidR="00EE3232" w:rsidRPr="00A21EFF" w:rsidRDefault="00EE3232" w:rsidP="00EE3232">
      <w:pPr>
        <w:rPr>
          <w:sz w:val="20"/>
          <w:szCs w:val="22"/>
        </w:rPr>
      </w:pPr>
      <w:r w:rsidRPr="00A21EFF">
        <w:rPr>
          <w:b/>
          <w:sz w:val="20"/>
          <w:szCs w:val="22"/>
        </w:rPr>
        <w:t xml:space="preserve">Table </w:t>
      </w:r>
      <w:r>
        <w:rPr>
          <w:b/>
          <w:sz w:val="20"/>
          <w:szCs w:val="22"/>
        </w:rPr>
        <w:t>J.5</w:t>
      </w:r>
      <w:r w:rsidRPr="00A21EFF">
        <w:rPr>
          <w:sz w:val="20"/>
          <w:szCs w:val="22"/>
        </w:rPr>
        <w:t xml:space="preserve"> compares </w:t>
      </w:r>
      <w:smartTag w:uri="urn:schemas-microsoft-com:office:smarttags" w:element="place">
        <w:smartTag w:uri="urn:schemas-microsoft-com:office:smarttags" w:element="country-region">
          <w:r w:rsidRPr="00A21EFF">
            <w:rPr>
              <w:sz w:val="20"/>
              <w:szCs w:val="22"/>
            </w:rPr>
            <w:t>New Zealand</w:t>
          </w:r>
        </w:smartTag>
      </w:smartTag>
      <w:r w:rsidRPr="00A21EFF">
        <w:rPr>
          <w:sz w:val="20"/>
          <w:szCs w:val="22"/>
        </w:rPr>
        <w:t xml:space="preserve"> with EU countries on the proportion of children in workless households.  In </w:t>
      </w:r>
      <w:r>
        <w:rPr>
          <w:sz w:val="20"/>
          <w:szCs w:val="22"/>
        </w:rPr>
        <w:t>2008-09</w:t>
      </w:r>
      <w:r w:rsidRPr="00A21EFF">
        <w:rPr>
          <w:sz w:val="20"/>
          <w:szCs w:val="22"/>
        </w:rPr>
        <w:t xml:space="preserve">, </w:t>
      </w:r>
      <w:smartTag w:uri="urn:schemas-microsoft-com:office:smarttags" w:element="country-region">
        <w:r w:rsidRPr="00A21EFF">
          <w:rPr>
            <w:sz w:val="20"/>
            <w:szCs w:val="22"/>
          </w:rPr>
          <w:t>New Zealand</w:t>
        </w:r>
      </w:smartTag>
      <w:r w:rsidRPr="00A21EFF">
        <w:rPr>
          <w:sz w:val="20"/>
          <w:szCs w:val="22"/>
        </w:rPr>
        <w:t xml:space="preserve"> was at the high end of the table with a rate of 1</w:t>
      </w:r>
      <w:r>
        <w:rPr>
          <w:sz w:val="20"/>
          <w:szCs w:val="22"/>
        </w:rPr>
        <w:t>6</w:t>
      </w:r>
      <w:r w:rsidRPr="00A21EFF">
        <w:rPr>
          <w:sz w:val="20"/>
          <w:szCs w:val="22"/>
        </w:rPr>
        <w:t xml:space="preserve">%, </w:t>
      </w:r>
      <w:r>
        <w:rPr>
          <w:sz w:val="20"/>
          <w:szCs w:val="22"/>
        </w:rPr>
        <w:t xml:space="preserve">similar to </w:t>
      </w:r>
      <w:smartTag w:uri="urn:schemas-microsoft-com:office:smarttags" w:element="country-region">
        <w:r>
          <w:rPr>
            <w:sz w:val="20"/>
            <w:szCs w:val="22"/>
          </w:rPr>
          <w:t>Ireland</w:t>
        </w:r>
      </w:smartTag>
      <w:r>
        <w:rPr>
          <w:sz w:val="20"/>
          <w:szCs w:val="22"/>
        </w:rPr>
        <w:t xml:space="preserve"> and the </w:t>
      </w:r>
      <w:smartTag w:uri="urn:schemas-microsoft-com:office:smarttags" w:element="place">
        <w:smartTag w:uri="urn:schemas-microsoft-com:office:smarttags" w:element="country-region">
          <w:r>
            <w:rPr>
              <w:sz w:val="20"/>
              <w:szCs w:val="22"/>
            </w:rPr>
            <w:t>United Kingdom</w:t>
          </w:r>
        </w:smartTag>
      </w:smartTag>
      <w:r>
        <w:rPr>
          <w:sz w:val="20"/>
          <w:szCs w:val="22"/>
        </w:rPr>
        <w:t xml:space="preserve">.  </w:t>
      </w:r>
      <w:r w:rsidR="00187A13">
        <w:rPr>
          <w:sz w:val="20"/>
          <w:szCs w:val="22"/>
        </w:rPr>
        <w:t>Based on the 2011 HES, the rate is estimated at 19% in 2010-11.</w:t>
      </w:r>
    </w:p>
    <w:p w:rsidR="00EE3232" w:rsidRPr="00A21EFF" w:rsidRDefault="00EE3232" w:rsidP="00EE3232">
      <w:pPr>
        <w:rPr>
          <w:rFonts w:cs="Arial"/>
          <w:b/>
          <w:sz w:val="20"/>
          <w:szCs w:val="22"/>
        </w:rPr>
      </w:pPr>
    </w:p>
    <w:p w:rsidR="00EE3232" w:rsidRPr="00A21EFF" w:rsidRDefault="00EE3232" w:rsidP="00EE3232">
      <w:pPr>
        <w:jc w:val="center"/>
        <w:rPr>
          <w:rFonts w:cs="Arial"/>
          <w:b/>
          <w:sz w:val="18"/>
        </w:rPr>
      </w:pPr>
      <w:r w:rsidRPr="00A21EFF">
        <w:rPr>
          <w:rFonts w:cs="Arial"/>
          <w:b/>
          <w:sz w:val="18"/>
        </w:rPr>
        <w:t xml:space="preserve">Table </w:t>
      </w:r>
      <w:r>
        <w:rPr>
          <w:rFonts w:cs="Arial"/>
          <w:b/>
          <w:sz w:val="18"/>
        </w:rPr>
        <w:t>J.5</w:t>
      </w:r>
    </w:p>
    <w:p w:rsidR="00EE3232" w:rsidRPr="00A21EFF" w:rsidRDefault="00EE3232" w:rsidP="00EE3232">
      <w:pPr>
        <w:jc w:val="center"/>
        <w:rPr>
          <w:rFonts w:cs="Arial"/>
          <w:b/>
          <w:sz w:val="18"/>
        </w:rPr>
      </w:pPr>
      <w:r w:rsidRPr="00A21EFF">
        <w:rPr>
          <w:rFonts w:cs="Arial"/>
          <w:b/>
          <w:sz w:val="18"/>
        </w:rPr>
        <w:t xml:space="preserve">International comparisons of the proportion of children living in workless households (%):  </w:t>
      </w:r>
    </w:p>
    <w:p w:rsidR="00EE3232" w:rsidRPr="00A21EFF" w:rsidRDefault="00EE3232" w:rsidP="00EE3232">
      <w:pPr>
        <w:spacing w:after="120"/>
        <w:jc w:val="center"/>
        <w:rPr>
          <w:rFonts w:cs="Arial"/>
          <w:b/>
          <w:sz w:val="18"/>
        </w:rPr>
      </w:pPr>
      <w:r>
        <w:rPr>
          <w:rFonts w:cs="Arial"/>
          <w:b/>
          <w:sz w:val="18"/>
        </w:rPr>
        <w:t xml:space="preserve">EU and </w:t>
      </w:r>
      <w:smartTag w:uri="urn:schemas-microsoft-com:office:smarttags" w:element="place">
        <w:smartTag w:uri="urn:schemas-microsoft-com:office:smarttags" w:element="country-region">
          <w:r>
            <w:rPr>
              <w:rFonts w:cs="Arial"/>
              <w:b/>
              <w:sz w:val="18"/>
            </w:rPr>
            <w:t>New Zealand</w:t>
          </w:r>
        </w:smartTag>
      </w:smartTag>
      <w:r>
        <w:rPr>
          <w:rFonts w:cs="Arial"/>
          <w:b/>
          <w:sz w:val="18"/>
        </w:rPr>
        <w:t xml:space="preserve"> figures are for 2009</w:t>
      </w:r>
    </w:p>
    <w:tbl>
      <w:tblPr>
        <w:tblStyle w:val="TableGrid"/>
        <w:tblW w:w="0" w:type="auto"/>
        <w:jc w:val="center"/>
        <w:tblInd w:w="128" w:type="dxa"/>
        <w:tblLook w:val="01E0"/>
      </w:tblPr>
      <w:tblGrid>
        <w:gridCol w:w="1850"/>
        <w:gridCol w:w="720"/>
        <w:gridCol w:w="1768"/>
        <w:gridCol w:w="651"/>
      </w:tblGrid>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United Kingdom</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17</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France</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9</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Ireland</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16</w:t>
            </w:r>
          </w:p>
        </w:tc>
        <w:tc>
          <w:tcPr>
            <w:tcW w:w="1768" w:type="dxa"/>
          </w:tcPr>
          <w:p w:rsidR="00EE3232"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Slovakia</w:t>
                </w:r>
              </w:smartTag>
            </w:smartTag>
          </w:p>
        </w:tc>
        <w:tc>
          <w:tcPr>
            <w:tcW w:w="651" w:type="dxa"/>
          </w:tcPr>
          <w:p w:rsidR="00EE3232" w:rsidRDefault="00EE3232" w:rsidP="00614C04">
            <w:pPr>
              <w:spacing w:before="60" w:after="60"/>
              <w:jc w:val="center"/>
              <w:rPr>
                <w:rFonts w:cs="Arial"/>
                <w:noProof/>
                <w:sz w:val="16"/>
                <w:szCs w:val="16"/>
                <w:lang w:val="en-US"/>
              </w:rPr>
            </w:pPr>
            <w:r>
              <w:rPr>
                <w:rFonts w:cs="Arial"/>
                <w:noProof/>
                <w:sz w:val="16"/>
                <w:szCs w:val="16"/>
                <w:lang w:val="en-US"/>
              </w:rPr>
              <w:t>8</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Hungary</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16</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Poland</w:t>
                </w:r>
              </w:smartTag>
            </w:smartTag>
          </w:p>
        </w:tc>
        <w:tc>
          <w:tcPr>
            <w:tcW w:w="651" w:type="dxa"/>
          </w:tcPr>
          <w:p w:rsidR="00EE3232" w:rsidRPr="00BB2B20" w:rsidRDefault="00EE3232" w:rsidP="00614C04">
            <w:pPr>
              <w:spacing w:before="60" w:after="60"/>
              <w:jc w:val="center"/>
              <w:rPr>
                <w:rFonts w:cs="Arial"/>
                <w:noProof/>
                <w:sz w:val="16"/>
                <w:szCs w:val="16"/>
                <w:lang w:val="en-US"/>
              </w:rPr>
            </w:pPr>
            <w:r>
              <w:rPr>
                <w:rFonts w:cs="Arial"/>
                <w:noProof/>
                <w:sz w:val="16"/>
                <w:szCs w:val="16"/>
                <w:lang w:val="en-US"/>
              </w:rPr>
              <w:t>8</w:t>
            </w:r>
          </w:p>
        </w:tc>
      </w:tr>
      <w:tr w:rsidR="00EE3232">
        <w:trPr>
          <w:jc w:val="center"/>
        </w:trPr>
        <w:tc>
          <w:tcPr>
            <w:tcW w:w="1850" w:type="dxa"/>
          </w:tcPr>
          <w:p w:rsidR="00EE3232" w:rsidRPr="00D94765" w:rsidRDefault="00EE3232" w:rsidP="00614C04">
            <w:pPr>
              <w:spacing w:before="60" w:after="60"/>
              <w:rPr>
                <w:rFonts w:cs="Arial"/>
                <w:b/>
                <w:sz w:val="16"/>
                <w:szCs w:val="16"/>
              </w:rPr>
            </w:pPr>
            <w:smartTag w:uri="urn:schemas-microsoft-com:office:smarttags" w:element="place">
              <w:smartTag w:uri="urn:schemas-microsoft-com:office:smarttags" w:element="country-region">
                <w:r w:rsidRPr="00D94765">
                  <w:rPr>
                    <w:rFonts w:cs="Arial"/>
                    <w:b/>
                    <w:sz w:val="16"/>
                    <w:szCs w:val="16"/>
                  </w:rPr>
                  <w:t>New Zealand</w:t>
                </w:r>
              </w:smartTag>
            </w:smartTag>
          </w:p>
        </w:tc>
        <w:tc>
          <w:tcPr>
            <w:tcW w:w="720" w:type="dxa"/>
          </w:tcPr>
          <w:p w:rsidR="00EE3232" w:rsidRPr="00D94765" w:rsidRDefault="00EE3232" w:rsidP="00614C04">
            <w:pPr>
              <w:spacing w:before="60" w:after="60"/>
              <w:jc w:val="center"/>
              <w:rPr>
                <w:rFonts w:cs="Arial"/>
                <w:b/>
                <w:sz w:val="16"/>
                <w:szCs w:val="16"/>
              </w:rPr>
            </w:pPr>
            <w:r>
              <w:rPr>
                <w:rFonts w:cs="Arial"/>
                <w:b/>
                <w:sz w:val="16"/>
                <w:szCs w:val="16"/>
              </w:rPr>
              <w:t>16</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Italy</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Estonia</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12</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PlaceName">
                <w:r>
                  <w:rPr>
                    <w:rFonts w:cs="Arial"/>
                    <w:sz w:val="16"/>
                    <w:szCs w:val="16"/>
                  </w:rPr>
                  <w:t>Czech</w:t>
                </w:r>
              </w:smartTag>
              <w:r>
                <w:rPr>
                  <w:rFonts w:cs="Arial"/>
                  <w:sz w:val="16"/>
                  <w:szCs w:val="16"/>
                </w:rPr>
                <w:t xml:space="preserve"> </w:t>
              </w:r>
              <w:smartTag w:uri="urn:schemas-microsoft-com:office:smarttags" w:element="PlaceType">
                <w:r>
                  <w:rPr>
                    <w:rFonts w:cs="Arial"/>
                    <w:sz w:val="16"/>
                    <w:szCs w:val="16"/>
                  </w:rPr>
                  <w:t>Republic</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8</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Belgium</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12</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Netherlands</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5</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Lithuania</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11</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Austria</w:t>
                </w:r>
              </w:smartTag>
            </w:smartTag>
          </w:p>
        </w:tc>
        <w:tc>
          <w:tcPr>
            <w:tcW w:w="651" w:type="dxa"/>
          </w:tcPr>
          <w:p w:rsidR="00EE3232" w:rsidRDefault="00EE3232" w:rsidP="00614C04">
            <w:pPr>
              <w:spacing w:before="60" w:after="60"/>
              <w:jc w:val="center"/>
              <w:rPr>
                <w:rFonts w:cs="Arial"/>
                <w:sz w:val="16"/>
                <w:szCs w:val="16"/>
              </w:rPr>
            </w:pPr>
            <w:r>
              <w:rPr>
                <w:rFonts w:cs="Arial"/>
                <w:sz w:val="16"/>
                <w:szCs w:val="16"/>
              </w:rPr>
              <w:t>5</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Latvia</w:t>
                </w:r>
              </w:smartTag>
            </w:smartTag>
          </w:p>
        </w:tc>
        <w:tc>
          <w:tcPr>
            <w:tcW w:w="720" w:type="dxa"/>
          </w:tcPr>
          <w:p w:rsidR="00EE3232" w:rsidRDefault="00EE3232" w:rsidP="00614C04">
            <w:pPr>
              <w:spacing w:before="60" w:after="60"/>
              <w:jc w:val="center"/>
              <w:rPr>
                <w:rFonts w:cs="Arial"/>
                <w:sz w:val="16"/>
                <w:szCs w:val="16"/>
              </w:rPr>
            </w:pPr>
            <w:r>
              <w:rPr>
                <w:rFonts w:cs="Arial"/>
                <w:sz w:val="16"/>
                <w:szCs w:val="16"/>
              </w:rPr>
              <w:t>11</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Finland</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4</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Germany</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10</w:t>
            </w:r>
          </w:p>
        </w:tc>
        <w:tc>
          <w:tcPr>
            <w:tcW w:w="1768" w:type="dxa"/>
          </w:tcPr>
          <w:p w:rsidR="00EE3232" w:rsidRPr="00BB2B20" w:rsidRDefault="00EE3232" w:rsidP="00614C04">
            <w:pPr>
              <w:spacing w:before="60" w:after="60"/>
              <w:ind w:hanging="33"/>
              <w:rPr>
                <w:rFonts w:cs="Arial"/>
                <w:sz w:val="16"/>
                <w:szCs w:val="16"/>
              </w:rPr>
            </w:pPr>
            <w:smartTag w:uri="urn:schemas-microsoft-com:office:smarttags" w:element="place">
              <w:smartTag w:uri="urn:schemas-microsoft-com:office:smarttags" w:element="country-region">
                <w:r w:rsidRPr="00BB2B20">
                  <w:rPr>
                    <w:rFonts w:cs="Arial"/>
                    <w:sz w:val="16"/>
                    <w:szCs w:val="16"/>
                  </w:rPr>
                  <w:t>Denmark</w:t>
                </w:r>
              </w:smartTag>
            </w:smartTag>
          </w:p>
        </w:tc>
        <w:tc>
          <w:tcPr>
            <w:tcW w:w="651" w:type="dxa"/>
          </w:tcPr>
          <w:p w:rsidR="00EE3232" w:rsidRPr="00BB2B20" w:rsidRDefault="00EE3232" w:rsidP="00614C04">
            <w:pPr>
              <w:spacing w:before="60" w:after="60"/>
              <w:ind w:firstLine="12"/>
              <w:jc w:val="center"/>
              <w:rPr>
                <w:rFonts w:cs="Arial"/>
                <w:sz w:val="16"/>
                <w:szCs w:val="16"/>
              </w:rPr>
            </w:pPr>
            <w:r>
              <w:rPr>
                <w:rFonts w:cs="Arial"/>
                <w:sz w:val="16"/>
                <w:szCs w:val="16"/>
              </w:rPr>
              <w:t>3</w:t>
            </w:r>
          </w:p>
        </w:tc>
      </w:tr>
      <w:tr w:rsidR="00EE3232">
        <w:trPr>
          <w:jc w:val="center"/>
        </w:trPr>
        <w:tc>
          <w:tcPr>
            <w:tcW w:w="1850" w:type="dxa"/>
          </w:tcPr>
          <w:p w:rsidR="00EE3232" w:rsidRDefault="00EE3232" w:rsidP="00614C04">
            <w:pPr>
              <w:spacing w:before="60" w:after="60"/>
              <w:rPr>
                <w:rFonts w:cs="Arial"/>
                <w:sz w:val="16"/>
                <w:szCs w:val="16"/>
              </w:rPr>
            </w:pPr>
            <w:r>
              <w:rPr>
                <w:rFonts w:cs="Arial"/>
                <w:sz w:val="16"/>
                <w:szCs w:val="16"/>
              </w:rPr>
              <w:t>EU-27</w:t>
            </w:r>
          </w:p>
        </w:tc>
        <w:tc>
          <w:tcPr>
            <w:tcW w:w="720" w:type="dxa"/>
          </w:tcPr>
          <w:p w:rsidR="00EE3232" w:rsidRDefault="00EE3232" w:rsidP="00614C04">
            <w:pPr>
              <w:spacing w:before="60" w:after="60"/>
              <w:jc w:val="center"/>
              <w:rPr>
                <w:rFonts w:cs="Arial"/>
                <w:sz w:val="16"/>
                <w:szCs w:val="16"/>
              </w:rPr>
            </w:pPr>
            <w:r>
              <w:rPr>
                <w:rFonts w:cs="Arial"/>
                <w:sz w:val="16"/>
                <w:szCs w:val="16"/>
              </w:rPr>
              <w:t>10</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Pr>
                    <w:rFonts w:cs="Arial"/>
                    <w:sz w:val="16"/>
                    <w:szCs w:val="16"/>
                  </w:rPr>
                  <w:t>Greece</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4</w:t>
            </w:r>
          </w:p>
        </w:tc>
      </w:tr>
      <w:tr w:rsidR="00EE3232">
        <w:trPr>
          <w:jc w:val="center"/>
        </w:trPr>
        <w:tc>
          <w:tcPr>
            <w:tcW w:w="1850"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Spain</w:t>
                </w:r>
              </w:smartTag>
            </w:smartTag>
          </w:p>
        </w:tc>
        <w:tc>
          <w:tcPr>
            <w:tcW w:w="720" w:type="dxa"/>
          </w:tcPr>
          <w:p w:rsidR="00EE3232" w:rsidRPr="00BB2B20" w:rsidRDefault="00EE3232" w:rsidP="00614C04">
            <w:pPr>
              <w:spacing w:before="60" w:after="60"/>
              <w:jc w:val="center"/>
              <w:rPr>
                <w:rFonts w:cs="Arial"/>
                <w:sz w:val="16"/>
                <w:szCs w:val="16"/>
              </w:rPr>
            </w:pPr>
            <w:r>
              <w:rPr>
                <w:rFonts w:cs="Arial"/>
                <w:sz w:val="16"/>
                <w:szCs w:val="16"/>
              </w:rPr>
              <w:t>10</w:t>
            </w:r>
          </w:p>
        </w:tc>
        <w:tc>
          <w:tcPr>
            <w:tcW w:w="1768" w:type="dxa"/>
          </w:tcPr>
          <w:p w:rsidR="00EE3232" w:rsidRPr="00BB2B20" w:rsidRDefault="00EE3232" w:rsidP="00614C04">
            <w:pPr>
              <w:spacing w:before="60" w:after="60"/>
              <w:rPr>
                <w:rFonts w:cs="Arial"/>
                <w:sz w:val="16"/>
                <w:szCs w:val="16"/>
              </w:rPr>
            </w:pPr>
            <w:smartTag w:uri="urn:schemas-microsoft-com:office:smarttags" w:element="place">
              <w:smartTag w:uri="urn:schemas-microsoft-com:office:smarttags" w:element="country-region">
                <w:r w:rsidRPr="00BB2B20">
                  <w:rPr>
                    <w:rFonts w:cs="Arial"/>
                    <w:sz w:val="16"/>
                    <w:szCs w:val="16"/>
                  </w:rPr>
                  <w:t>Luxembourg</w:t>
                </w:r>
              </w:smartTag>
            </w:smartTag>
          </w:p>
        </w:tc>
        <w:tc>
          <w:tcPr>
            <w:tcW w:w="651" w:type="dxa"/>
          </w:tcPr>
          <w:p w:rsidR="00EE3232" w:rsidRPr="00BB2B20" w:rsidRDefault="00EE3232" w:rsidP="00614C04">
            <w:pPr>
              <w:spacing w:before="60" w:after="60"/>
              <w:jc w:val="center"/>
              <w:rPr>
                <w:rFonts w:cs="Arial"/>
                <w:sz w:val="16"/>
                <w:szCs w:val="16"/>
              </w:rPr>
            </w:pPr>
            <w:r>
              <w:rPr>
                <w:rFonts w:cs="Arial"/>
                <w:sz w:val="16"/>
                <w:szCs w:val="16"/>
              </w:rPr>
              <w:t>4</w:t>
            </w:r>
          </w:p>
        </w:tc>
      </w:tr>
    </w:tbl>
    <w:p w:rsidR="00EE3232" w:rsidRDefault="00EE3232" w:rsidP="00EE3232">
      <w:pPr>
        <w:ind w:left="1814" w:right="1195" w:hanging="907"/>
        <w:jc w:val="both"/>
        <w:rPr>
          <w:rFonts w:cs="Arial"/>
          <w:sz w:val="18"/>
          <w:szCs w:val="18"/>
          <w:u w:val="single"/>
        </w:rPr>
      </w:pPr>
    </w:p>
    <w:p w:rsidR="00EE3232" w:rsidRDefault="00EE3232" w:rsidP="00EE3232">
      <w:pPr>
        <w:ind w:left="1814" w:right="1195" w:hanging="907"/>
        <w:jc w:val="both"/>
        <w:rPr>
          <w:rFonts w:cs="Arial"/>
          <w:sz w:val="18"/>
          <w:szCs w:val="18"/>
        </w:rPr>
      </w:pPr>
      <w:r w:rsidRPr="00EF7BC7">
        <w:rPr>
          <w:rFonts w:cs="Arial"/>
          <w:sz w:val="18"/>
          <w:szCs w:val="18"/>
          <w:u w:val="single"/>
        </w:rPr>
        <w:t>Source</w:t>
      </w:r>
      <w:r>
        <w:rPr>
          <w:rFonts w:cs="Arial"/>
          <w:sz w:val="18"/>
          <w:szCs w:val="18"/>
          <w:u w:val="single"/>
        </w:rPr>
        <w:t>s:</w:t>
      </w:r>
      <w:r>
        <w:rPr>
          <w:rFonts w:cs="Arial"/>
          <w:sz w:val="18"/>
          <w:szCs w:val="18"/>
        </w:rPr>
        <w:tab/>
        <w:t xml:space="preserve">Non </w:t>
      </w:r>
      <w:smartTag w:uri="urn:schemas-microsoft-com:office:smarttags" w:element="country-region">
        <w:r>
          <w:rPr>
            <w:rFonts w:cs="Arial"/>
            <w:sz w:val="18"/>
            <w:szCs w:val="18"/>
          </w:rPr>
          <w:t>New Zealand</w:t>
        </w:r>
      </w:smartTag>
      <w:r>
        <w:rPr>
          <w:rFonts w:cs="Arial"/>
          <w:sz w:val="18"/>
          <w:szCs w:val="18"/>
        </w:rPr>
        <w:t xml:space="preserve"> data downloaded from ‘The Poverty Site’ (</w:t>
      </w:r>
      <w:smartTag w:uri="urn:schemas-microsoft-com:office:smarttags" w:element="place">
        <w:smartTag w:uri="urn:schemas-microsoft-com:office:smarttags" w:element="country-region">
          <w:r>
            <w:rPr>
              <w:rFonts w:cs="Arial"/>
              <w:sz w:val="18"/>
              <w:szCs w:val="18"/>
            </w:rPr>
            <w:t>UK</w:t>
          </w:r>
        </w:smartTag>
      </w:smartTag>
      <w:r>
        <w:rPr>
          <w:rFonts w:cs="Arial"/>
          <w:sz w:val="18"/>
          <w:szCs w:val="18"/>
        </w:rPr>
        <w:t xml:space="preserve">), </w:t>
      </w:r>
      <w:hyperlink r:id="rId113" w:history="1">
        <w:r w:rsidRPr="007C209E">
          <w:rPr>
            <w:rStyle w:val="Hyperlink"/>
            <w:rFonts w:cs="Arial"/>
            <w:sz w:val="18"/>
            <w:szCs w:val="18"/>
          </w:rPr>
          <w:t>www.poverty.org.uk</w:t>
        </w:r>
      </w:hyperlink>
      <w:r>
        <w:rPr>
          <w:rFonts w:cs="Arial"/>
          <w:sz w:val="18"/>
          <w:szCs w:val="18"/>
        </w:rPr>
        <w:t>, on 29 July 2012.  Eurostat data.</w:t>
      </w:r>
    </w:p>
    <w:p w:rsidR="00EE3232" w:rsidRDefault="00EE3232" w:rsidP="00EE3232">
      <w:pPr>
        <w:pStyle w:val="Heading3"/>
      </w:pPr>
    </w:p>
    <w:p w:rsidR="00EE3232" w:rsidRDefault="00EE3232" w:rsidP="00EE3232">
      <w:pPr>
        <w:tabs>
          <w:tab w:val="left" w:pos="540"/>
        </w:tabs>
        <w:jc w:val="both"/>
        <w:rPr>
          <w:rFonts w:cs="Arial"/>
          <w:b/>
          <w:sz w:val="20"/>
          <w:szCs w:val="22"/>
        </w:rPr>
      </w:pPr>
      <w:r>
        <w:rPr>
          <w:rFonts w:cs="Arial"/>
          <w:b/>
          <w:szCs w:val="22"/>
        </w:rPr>
        <w:br w:type="page"/>
      </w:r>
      <w:r w:rsidRPr="00A21EFF">
        <w:rPr>
          <w:rFonts w:cs="Arial"/>
          <w:b/>
          <w:sz w:val="20"/>
          <w:szCs w:val="22"/>
        </w:rPr>
        <w:lastRenderedPageBreak/>
        <w:t>Older New Zealanders</w:t>
      </w:r>
    </w:p>
    <w:p w:rsidR="00EE3232" w:rsidRDefault="00EE3232" w:rsidP="00EE3232">
      <w:pPr>
        <w:tabs>
          <w:tab w:val="left" w:pos="540"/>
        </w:tabs>
        <w:jc w:val="both"/>
        <w:rPr>
          <w:rFonts w:cs="Arial"/>
          <w:b/>
          <w:sz w:val="20"/>
          <w:szCs w:val="22"/>
        </w:rPr>
      </w:pPr>
    </w:p>
    <w:p w:rsidR="00EE3232" w:rsidRDefault="00EE3232" w:rsidP="00EE3232">
      <w:pPr>
        <w:tabs>
          <w:tab w:val="left" w:pos="540"/>
        </w:tabs>
        <w:spacing w:after="120"/>
        <w:jc w:val="both"/>
        <w:rPr>
          <w:rFonts w:cs="Arial"/>
          <w:b/>
          <w:sz w:val="20"/>
          <w:szCs w:val="22"/>
        </w:rPr>
      </w:pPr>
      <w:r>
        <w:rPr>
          <w:rFonts w:cs="Arial"/>
          <w:b/>
          <w:noProof/>
          <w:sz w:val="20"/>
          <w:szCs w:val="22"/>
          <w:lang w:val="en-US"/>
        </w:rPr>
        <w:pict>
          <v:shape id="_x0000_s1221" type="#_x0000_t202" style="position:absolute;left:0;text-align:left;margin-left:13.6pt;margin-top:2.2pt;width:398.1pt;height:86pt;z-index:251665920">
            <v:textbox style="mso-next-textbox:#_x0000_s1221">
              <w:txbxContent>
                <w:p w:rsidR="00DE4A2A" w:rsidRDefault="00DE4A2A" w:rsidP="00EE3232">
                  <w:pPr>
                    <w:spacing w:after="60"/>
                    <w:jc w:val="center"/>
                    <w:rPr>
                      <w:sz w:val="18"/>
                      <w:szCs w:val="18"/>
                      <w:lang w:val="en-NZ"/>
                    </w:rPr>
                  </w:pPr>
                  <w:r>
                    <w:rPr>
                      <w:b/>
                      <w:sz w:val="18"/>
                      <w:szCs w:val="18"/>
                      <w:lang w:val="en-NZ"/>
                    </w:rPr>
                    <w:t>Extra care needed here</w:t>
                  </w:r>
                </w:p>
                <w:p w:rsidR="00DE4A2A" w:rsidRPr="00E175E0" w:rsidRDefault="00DE4A2A" w:rsidP="00EE3232">
                  <w:pPr>
                    <w:jc w:val="both"/>
                    <w:rPr>
                      <w:sz w:val="18"/>
                      <w:szCs w:val="18"/>
                      <w:lang w:val="en-NZ"/>
                    </w:rPr>
                  </w:pPr>
                  <w:r w:rsidRPr="00E175E0">
                    <w:rPr>
                      <w:sz w:val="18"/>
                      <w:szCs w:val="18"/>
                      <w:lang w:val="en-NZ"/>
                    </w:rPr>
                    <w:t>Using household income as an indicator of material wellbeing has some significant and well-known limitations</w:t>
                  </w:r>
                  <w:r>
                    <w:rPr>
                      <w:sz w:val="18"/>
                      <w:szCs w:val="18"/>
                      <w:lang w:val="en-NZ"/>
                    </w:rPr>
                    <w:t xml:space="preserve">, especially for international comparisons.  The reader is referred to the opening pages of this Section, the text below, and to Section I for detailed discussion and analysis of the limitations of </w:t>
                  </w:r>
                  <w:smartTag w:uri="urn:schemas-microsoft-com:office:smarttags" w:element="stockticker">
                    <w:r>
                      <w:rPr>
                        <w:sz w:val="18"/>
                        <w:szCs w:val="18"/>
                        <w:lang w:val="en-NZ"/>
                      </w:rPr>
                      <w:t>BHC</w:t>
                    </w:r>
                  </w:smartTag>
                  <w:r>
                    <w:rPr>
                      <w:sz w:val="18"/>
                      <w:szCs w:val="18"/>
                      <w:lang w:val="en-NZ"/>
                    </w:rPr>
                    <w:t xml:space="preserve"> income-based poverty comparisons, and the potential that they have for leaving misleading impressions as to how countries and groups within them are faring relative to each other.  These risks especially apply to comparisons for older people.</w:t>
                  </w:r>
                </w:p>
              </w:txbxContent>
            </v:textbox>
          </v:shape>
        </w:pict>
      </w:r>
    </w:p>
    <w:p w:rsidR="00EE3232" w:rsidRDefault="00EE3232" w:rsidP="00EE3232">
      <w:pPr>
        <w:tabs>
          <w:tab w:val="left" w:pos="540"/>
        </w:tabs>
        <w:spacing w:after="120"/>
        <w:jc w:val="both"/>
        <w:rPr>
          <w:rFonts w:cs="Arial"/>
          <w:b/>
          <w:sz w:val="20"/>
          <w:szCs w:val="22"/>
        </w:rPr>
      </w:pPr>
    </w:p>
    <w:p w:rsidR="00EE3232" w:rsidRDefault="00EE3232" w:rsidP="00EE3232">
      <w:pPr>
        <w:tabs>
          <w:tab w:val="left" w:pos="540"/>
        </w:tabs>
        <w:spacing w:after="120"/>
        <w:jc w:val="both"/>
        <w:rPr>
          <w:rFonts w:cs="Arial"/>
          <w:b/>
          <w:sz w:val="20"/>
          <w:szCs w:val="22"/>
        </w:rPr>
      </w:pPr>
    </w:p>
    <w:p w:rsidR="00EE3232" w:rsidRPr="00A21EFF" w:rsidRDefault="00EE3232" w:rsidP="00EE3232">
      <w:pPr>
        <w:tabs>
          <w:tab w:val="left" w:pos="540"/>
        </w:tabs>
        <w:spacing w:after="120"/>
        <w:jc w:val="both"/>
        <w:rPr>
          <w:rFonts w:cs="Arial"/>
          <w:b/>
          <w:sz w:val="20"/>
          <w:szCs w:val="22"/>
        </w:rPr>
      </w:pPr>
    </w:p>
    <w:p w:rsidR="00EE3232" w:rsidRDefault="00EE3232" w:rsidP="00EE3232">
      <w:pPr>
        <w:jc w:val="both"/>
        <w:rPr>
          <w:rFonts w:cs="Arial"/>
          <w:sz w:val="20"/>
          <w:szCs w:val="22"/>
        </w:rPr>
      </w:pPr>
    </w:p>
    <w:p w:rsidR="00EE3232" w:rsidRDefault="00EE3232" w:rsidP="00EE3232">
      <w:pPr>
        <w:jc w:val="both"/>
        <w:rPr>
          <w:rFonts w:cs="Arial"/>
          <w:sz w:val="20"/>
          <w:szCs w:val="22"/>
        </w:rPr>
      </w:pPr>
    </w:p>
    <w:p w:rsidR="00EE3232" w:rsidRDefault="00EE3232" w:rsidP="00EE3232">
      <w:pPr>
        <w:jc w:val="both"/>
        <w:rPr>
          <w:rFonts w:cs="Arial"/>
          <w:sz w:val="20"/>
          <w:szCs w:val="22"/>
        </w:rPr>
      </w:pPr>
    </w:p>
    <w:p w:rsidR="00EE3232" w:rsidRDefault="00EE3232" w:rsidP="00EE3232">
      <w:pPr>
        <w:jc w:val="both"/>
        <w:rPr>
          <w:rFonts w:cs="Arial"/>
          <w:sz w:val="20"/>
          <w:szCs w:val="22"/>
        </w:rPr>
      </w:pPr>
      <w:r w:rsidRPr="00A21EFF">
        <w:rPr>
          <w:rFonts w:cs="Arial"/>
          <w:sz w:val="20"/>
          <w:szCs w:val="22"/>
        </w:rPr>
        <w:t>Using the 50% of median</w:t>
      </w:r>
      <w:r>
        <w:rPr>
          <w:rFonts w:cs="Arial"/>
          <w:sz w:val="20"/>
          <w:szCs w:val="22"/>
        </w:rPr>
        <w:t xml:space="preserve"> threshold (OECD measure), </w:t>
      </w:r>
      <w:r w:rsidRPr="00A21EFF">
        <w:rPr>
          <w:rFonts w:cs="Arial"/>
          <w:sz w:val="20"/>
          <w:szCs w:val="22"/>
        </w:rPr>
        <w:t xml:space="preserve">New Zealand had </w:t>
      </w:r>
      <w:r>
        <w:rPr>
          <w:rFonts w:cs="Arial"/>
          <w:sz w:val="20"/>
          <w:szCs w:val="22"/>
        </w:rPr>
        <w:t xml:space="preserve">one of the higher </w:t>
      </w:r>
      <w:r w:rsidRPr="00A21EFF">
        <w:rPr>
          <w:rFonts w:cs="Arial"/>
          <w:sz w:val="20"/>
          <w:szCs w:val="22"/>
        </w:rPr>
        <w:t>poverty rate</w:t>
      </w:r>
      <w:r>
        <w:rPr>
          <w:rFonts w:cs="Arial"/>
          <w:sz w:val="20"/>
          <w:szCs w:val="22"/>
        </w:rPr>
        <w:t xml:space="preserve">s in the OECD in 2008-09 </w:t>
      </w:r>
      <w:r w:rsidRPr="00A21EFF">
        <w:rPr>
          <w:rFonts w:cs="Arial"/>
          <w:sz w:val="20"/>
          <w:szCs w:val="22"/>
        </w:rPr>
        <w:t>for those aged 65+</w:t>
      </w:r>
      <w:r>
        <w:rPr>
          <w:rFonts w:cs="Arial"/>
          <w:sz w:val="20"/>
          <w:szCs w:val="22"/>
        </w:rPr>
        <w:t xml:space="preserve"> (22%) – see </w:t>
      </w:r>
      <w:r w:rsidRPr="003C363F">
        <w:rPr>
          <w:rFonts w:cs="Arial"/>
          <w:b/>
          <w:sz w:val="20"/>
          <w:szCs w:val="22"/>
        </w:rPr>
        <w:t>Table J.</w:t>
      </w:r>
      <w:r>
        <w:rPr>
          <w:rFonts w:cs="Arial"/>
          <w:b/>
          <w:sz w:val="20"/>
          <w:szCs w:val="22"/>
        </w:rPr>
        <w:t>6</w:t>
      </w:r>
      <w:r w:rsidRPr="003C363F">
        <w:rPr>
          <w:rFonts w:cs="Arial"/>
          <w:b/>
          <w:sz w:val="20"/>
          <w:szCs w:val="22"/>
        </w:rPr>
        <w:t>.</w:t>
      </w:r>
      <w:r w:rsidRPr="00A21EFF">
        <w:rPr>
          <w:rFonts w:cs="Arial"/>
          <w:sz w:val="20"/>
          <w:szCs w:val="22"/>
        </w:rPr>
        <w:t xml:space="preserve">   </w:t>
      </w: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 xml:space="preserve">In previous OECD league tables (for c2000 and 2004)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had the lowest poverty rate in the OECD for the 65+ group (~2%).  </w:t>
      </w:r>
    </w:p>
    <w:p w:rsidR="00EE3232" w:rsidRDefault="00EE3232" w:rsidP="00EE3232">
      <w:pPr>
        <w:jc w:val="both"/>
        <w:rPr>
          <w:rFonts w:cs="Arial"/>
          <w:sz w:val="20"/>
          <w:szCs w:val="22"/>
        </w:rPr>
      </w:pPr>
    </w:p>
    <w:p w:rsidR="00EE3232" w:rsidRPr="004565EB" w:rsidRDefault="00EE3232" w:rsidP="00EE3232">
      <w:pPr>
        <w:jc w:val="both"/>
        <w:rPr>
          <w:rFonts w:cs="Arial"/>
          <w:b/>
          <w:sz w:val="20"/>
          <w:szCs w:val="22"/>
        </w:rPr>
      </w:pPr>
      <w:r>
        <w:rPr>
          <w:rFonts w:cs="Arial"/>
          <w:sz w:val="20"/>
          <w:szCs w:val="22"/>
        </w:rPr>
        <w:t xml:space="preserve">The sudden increase occurred because the value of New Zealand Superannuation (NZS) was above 50% of the median household income in earlier years (2001, 2004) but fell just below it during 2009.  There are many older New Zealanders whose income is little more than NZS so there is a clumping of 65+ households at around the NZS level.  In 2001, NZS had a value of just under 60% of the median.  From 2001 to 2009 the median rose in real terms at a faster rate than the real rises in NZS. In 2009 the OECD poverty line (50% of the median) cut through the clump thus producing a large change in the reported poverty rate for older New Zealanders.  There is more detail on all of this in </w:t>
      </w:r>
      <w:r w:rsidRPr="004565EB">
        <w:rPr>
          <w:rFonts w:cs="Arial"/>
          <w:b/>
          <w:sz w:val="20"/>
          <w:szCs w:val="22"/>
        </w:rPr>
        <w:t>Section I.</w:t>
      </w:r>
    </w:p>
    <w:p w:rsidR="00EE3232" w:rsidRDefault="00EE3232" w:rsidP="00EE3232">
      <w:pPr>
        <w:jc w:val="both"/>
        <w:rPr>
          <w:rFonts w:cs="Arial"/>
          <w:sz w:val="20"/>
          <w:szCs w:val="22"/>
        </w:rPr>
      </w:pPr>
    </w:p>
    <w:p w:rsidR="00EE3232" w:rsidRDefault="00EE3232" w:rsidP="00EE3232">
      <w:pPr>
        <w:jc w:val="both"/>
        <w:rPr>
          <w:rFonts w:cs="Arial"/>
          <w:sz w:val="20"/>
          <w:szCs w:val="22"/>
        </w:rPr>
      </w:pPr>
    </w:p>
    <w:p w:rsidR="00EE3232" w:rsidRPr="00A21EFF" w:rsidRDefault="00EE3232" w:rsidP="00EE3232">
      <w:pPr>
        <w:jc w:val="center"/>
        <w:rPr>
          <w:rFonts w:cs="Arial"/>
          <w:b/>
          <w:sz w:val="18"/>
        </w:rPr>
      </w:pPr>
      <w:r w:rsidRPr="00A21EFF">
        <w:rPr>
          <w:rFonts w:cs="Arial"/>
          <w:b/>
          <w:sz w:val="18"/>
        </w:rPr>
        <w:t>Table J.</w:t>
      </w:r>
      <w:r>
        <w:rPr>
          <w:rFonts w:cs="Arial"/>
          <w:b/>
          <w:sz w:val="18"/>
        </w:rPr>
        <w:t>6</w:t>
      </w:r>
    </w:p>
    <w:p w:rsidR="00EE3232" w:rsidRPr="00A21EFF" w:rsidRDefault="00EE3232" w:rsidP="00EE3232">
      <w:pPr>
        <w:jc w:val="center"/>
        <w:rPr>
          <w:rFonts w:cs="Arial"/>
          <w:b/>
          <w:sz w:val="18"/>
        </w:rPr>
      </w:pPr>
      <w:r w:rsidRPr="00A21EFF">
        <w:rPr>
          <w:rFonts w:cs="Arial"/>
          <w:b/>
          <w:sz w:val="18"/>
        </w:rPr>
        <w:t>65+ poverty rates in the OECD (%) c 200</w:t>
      </w:r>
      <w:r>
        <w:rPr>
          <w:rFonts w:cs="Arial"/>
          <w:b/>
          <w:sz w:val="18"/>
        </w:rPr>
        <w:t>8-09</w:t>
      </w:r>
      <w:r w:rsidRPr="00A21EFF">
        <w:rPr>
          <w:rFonts w:cs="Arial"/>
          <w:b/>
          <w:sz w:val="18"/>
        </w:rPr>
        <w:t xml:space="preserve">: </w:t>
      </w:r>
    </w:p>
    <w:p w:rsidR="00EE3232" w:rsidRPr="00A21EFF" w:rsidRDefault="00EE3232" w:rsidP="00EE3232">
      <w:pPr>
        <w:spacing w:after="120"/>
        <w:jc w:val="center"/>
        <w:rPr>
          <w:rFonts w:cs="Arial"/>
          <w:b/>
          <w:sz w:val="18"/>
        </w:rPr>
      </w:pPr>
      <w:r w:rsidRPr="00A21EFF">
        <w:rPr>
          <w:rFonts w:cs="Arial"/>
          <w:b/>
          <w:sz w:val="18"/>
        </w:rPr>
        <w:t>50% of median threshold (</w:t>
      </w:r>
      <w:smartTag w:uri="urn:schemas-microsoft-com:office:smarttags" w:element="stockticker">
        <w:r w:rsidRPr="00A21EFF">
          <w:rPr>
            <w:rFonts w:cs="Arial"/>
            <w:b/>
            <w:sz w:val="18"/>
          </w:rPr>
          <w:t>BHC</w:t>
        </w:r>
      </w:smartTag>
      <w:r w:rsidRPr="00A21EFF">
        <w:rPr>
          <w:rFonts w:cs="Arial"/>
          <w:b/>
          <w:sz w:val="18"/>
        </w:rPr>
        <w:t>)</w:t>
      </w:r>
    </w:p>
    <w:tbl>
      <w:tblPr>
        <w:tblStyle w:val="TableGrid"/>
        <w:tblW w:w="0" w:type="auto"/>
        <w:jc w:val="center"/>
        <w:tblInd w:w="201" w:type="dxa"/>
        <w:tblLook w:val="01E0"/>
      </w:tblPr>
      <w:tblGrid>
        <w:gridCol w:w="1886"/>
        <w:gridCol w:w="720"/>
        <w:gridCol w:w="1624"/>
        <w:gridCol w:w="651"/>
      </w:tblGrid>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Korea</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45</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Ireland</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13</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Australia</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39</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United Kingdom</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12</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Estonia</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30</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Denmark</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12</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Mexico</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29</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Sweden</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10</w:t>
            </w:r>
          </w:p>
        </w:tc>
      </w:tr>
      <w:tr w:rsidR="00EE3232">
        <w:trPr>
          <w:jc w:val="center"/>
        </w:trPr>
        <w:tc>
          <w:tcPr>
            <w:tcW w:w="1886" w:type="dxa"/>
            <w:vAlign w:val="center"/>
          </w:tcPr>
          <w:p w:rsidR="00EE3232" w:rsidRPr="00C16AD2" w:rsidRDefault="00EE3232" w:rsidP="00614C04">
            <w:pPr>
              <w:tabs>
                <w:tab w:val="left" w:pos="1677"/>
              </w:tabs>
              <w:spacing w:before="40" w:after="40"/>
              <w:rPr>
                <w:rFonts w:cs="Arial"/>
                <w:sz w:val="16"/>
                <w:szCs w:val="16"/>
              </w:rPr>
            </w:pPr>
            <w:smartTag w:uri="urn:schemas-microsoft-com:office:smarttags" w:element="place">
              <w:smartTag w:uri="urn:schemas-microsoft-com:office:smarttags" w:element="country-region">
                <w:r w:rsidRPr="00C16AD2">
                  <w:rPr>
                    <w:rFonts w:cs="Arial"/>
                    <w:sz w:val="16"/>
                    <w:szCs w:val="16"/>
                  </w:rPr>
                  <w:t>Chile</w:t>
                </w:r>
              </w:smartTag>
            </w:smartTag>
          </w:p>
        </w:tc>
        <w:tc>
          <w:tcPr>
            <w:tcW w:w="720" w:type="dxa"/>
            <w:vAlign w:val="center"/>
          </w:tcPr>
          <w:p w:rsidR="00EE3232" w:rsidRPr="00C16AD2" w:rsidRDefault="00EE3232" w:rsidP="00614C04">
            <w:pPr>
              <w:spacing w:before="40" w:after="40"/>
              <w:jc w:val="center"/>
              <w:rPr>
                <w:rFonts w:cs="Arial"/>
                <w:sz w:val="16"/>
                <w:szCs w:val="16"/>
              </w:rPr>
            </w:pPr>
            <w:r w:rsidRPr="00C16AD2">
              <w:rPr>
                <w:rFonts w:cs="Arial"/>
                <w:sz w:val="16"/>
                <w:szCs w:val="16"/>
              </w:rPr>
              <w:t>23</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Austria</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10</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Greece</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23</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Germany</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10</w:t>
            </w:r>
          </w:p>
        </w:tc>
      </w:tr>
      <w:tr w:rsidR="00EE3232">
        <w:trPr>
          <w:jc w:val="center"/>
        </w:trPr>
        <w:tc>
          <w:tcPr>
            <w:tcW w:w="1886" w:type="dxa"/>
            <w:vAlign w:val="center"/>
          </w:tcPr>
          <w:p w:rsidR="00EE3232" w:rsidRPr="00053C03" w:rsidRDefault="00EE3232" w:rsidP="00614C04">
            <w:pPr>
              <w:tabs>
                <w:tab w:val="left" w:pos="1677"/>
              </w:tabs>
              <w:spacing w:before="40" w:after="40"/>
              <w:rPr>
                <w:rFonts w:cs="Arial"/>
                <w:b/>
                <w:sz w:val="16"/>
                <w:szCs w:val="16"/>
              </w:rPr>
            </w:pPr>
            <w:smartTag w:uri="urn:schemas-microsoft-com:office:smarttags" w:element="place">
              <w:smartTag w:uri="urn:schemas-microsoft-com:office:smarttags" w:element="country-region">
                <w:r w:rsidRPr="00053C03">
                  <w:rPr>
                    <w:rFonts w:cs="Arial"/>
                    <w:b/>
                    <w:sz w:val="16"/>
                    <w:szCs w:val="16"/>
                  </w:rPr>
                  <w:t>New Zealand</w:t>
                </w:r>
              </w:smartTag>
            </w:smartTag>
            <w:r w:rsidRPr="00053C03">
              <w:rPr>
                <w:rFonts w:cs="Arial"/>
                <w:b/>
                <w:sz w:val="16"/>
                <w:szCs w:val="16"/>
              </w:rPr>
              <w:tab/>
            </w:r>
          </w:p>
        </w:tc>
        <w:tc>
          <w:tcPr>
            <w:tcW w:w="720" w:type="dxa"/>
            <w:vAlign w:val="center"/>
          </w:tcPr>
          <w:p w:rsidR="00EE3232" w:rsidRPr="00053C03" w:rsidRDefault="00EE3232" w:rsidP="00614C04">
            <w:pPr>
              <w:spacing w:before="40" w:after="40"/>
              <w:jc w:val="center"/>
              <w:rPr>
                <w:rFonts w:cs="Arial"/>
                <w:b/>
                <w:sz w:val="16"/>
                <w:szCs w:val="16"/>
              </w:rPr>
            </w:pPr>
            <w:r w:rsidRPr="00053C03">
              <w:rPr>
                <w:rFonts w:cs="Arial"/>
                <w:b/>
                <w:sz w:val="16"/>
                <w:szCs w:val="16"/>
              </w:rPr>
              <w:t>2</w:t>
            </w:r>
            <w:r>
              <w:rPr>
                <w:rFonts w:cs="Arial"/>
                <w:b/>
                <w:sz w:val="16"/>
                <w:szCs w:val="16"/>
              </w:rPr>
              <w:t>2</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Italy</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9</w:t>
            </w:r>
          </w:p>
        </w:tc>
      </w:tr>
      <w:tr w:rsidR="00EE3232">
        <w:trPr>
          <w:jc w:val="center"/>
        </w:trPr>
        <w:tc>
          <w:tcPr>
            <w:tcW w:w="1886" w:type="dxa"/>
            <w:vAlign w:val="center"/>
          </w:tcPr>
          <w:p w:rsidR="00EE3232" w:rsidRPr="00053C03" w:rsidRDefault="00EE3232" w:rsidP="00614C04">
            <w:pPr>
              <w:tabs>
                <w:tab w:val="left" w:pos="1677"/>
              </w:tabs>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Japan</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22</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Norway</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8</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United States</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22</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Poland</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8</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Spain</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21</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Iceland</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7</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Israel</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20</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Slovakia</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7</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Switzerland</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18</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Hungary</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5</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Slovenia</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16</w:t>
            </w:r>
          </w:p>
        </w:tc>
        <w:tc>
          <w:tcPr>
            <w:tcW w:w="1624" w:type="dxa"/>
            <w:vAlign w:val="center"/>
          </w:tcPr>
          <w:p w:rsidR="00EE3232" w:rsidRPr="00053C03" w:rsidRDefault="00EE3232" w:rsidP="00614C04">
            <w:pPr>
              <w:tabs>
                <w:tab w:val="left" w:pos="1677"/>
              </w:tabs>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Canada</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5</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Portugal</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15</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France</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5</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Turkey</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14</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PlaceName">
                <w:r w:rsidRPr="00053C03">
                  <w:rPr>
                    <w:rFonts w:cs="Arial"/>
                    <w:sz w:val="16"/>
                    <w:szCs w:val="16"/>
                  </w:rPr>
                  <w:t>Czech</w:t>
                </w:r>
              </w:smartTag>
              <w:r w:rsidRPr="00053C03">
                <w:rPr>
                  <w:rFonts w:cs="Arial"/>
                  <w:sz w:val="16"/>
                  <w:szCs w:val="16"/>
                </w:rPr>
                <w:t xml:space="preserve"> </w:t>
              </w:r>
              <w:smartTag w:uri="urn:schemas-microsoft-com:office:smarttags" w:element="PlaceType">
                <w:r w:rsidRPr="00053C03">
                  <w:rPr>
                    <w:rFonts w:cs="Arial"/>
                    <w:sz w:val="16"/>
                    <w:szCs w:val="16"/>
                  </w:rPr>
                  <w:t>Republic</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4</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Belgium</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14</w:t>
            </w:r>
          </w:p>
        </w:tc>
        <w:tc>
          <w:tcPr>
            <w:tcW w:w="1624" w:type="dxa"/>
            <w:vAlign w:val="center"/>
          </w:tcPr>
          <w:p w:rsidR="00EE3232" w:rsidRPr="00053C03" w:rsidRDefault="00EE3232" w:rsidP="00614C04">
            <w:pPr>
              <w:tabs>
                <w:tab w:val="left" w:pos="1677"/>
              </w:tabs>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Luxembourg</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3</w:t>
            </w:r>
          </w:p>
        </w:tc>
      </w:tr>
      <w:tr w:rsidR="00EE3232">
        <w:trPr>
          <w:jc w:val="center"/>
        </w:trPr>
        <w:tc>
          <w:tcPr>
            <w:tcW w:w="1886"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Finland</w:t>
                </w:r>
              </w:smartTag>
            </w:smartTag>
          </w:p>
        </w:tc>
        <w:tc>
          <w:tcPr>
            <w:tcW w:w="720"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13</w:t>
            </w:r>
          </w:p>
        </w:tc>
        <w:tc>
          <w:tcPr>
            <w:tcW w:w="162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Netherlands</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w:t>
            </w:r>
          </w:p>
        </w:tc>
      </w:tr>
    </w:tbl>
    <w:p w:rsidR="00EE3232" w:rsidRPr="005C7472" w:rsidRDefault="00EE3232" w:rsidP="00EE3232">
      <w:pPr>
        <w:tabs>
          <w:tab w:val="left" w:pos="1890"/>
        </w:tabs>
        <w:autoSpaceDE w:val="0"/>
        <w:autoSpaceDN w:val="0"/>
        <w:adjustRightInd w:val="0"/>
        <w:spacing w:before="120"/>
        <w:ind w:left="1170"/>
        <w:rPr>
          <w:rFonts w:ascii="Caecilia-Italic" w:hAnsi="Caecilia-Italic" w:cs="Caecilia-Italic"/>
          <w:sz w:val="16"/>
          <w:szCs w:val="16"/>
          <w:lang w:val="en-US"/>
        </w:rPr>
      </w:pPr>
      <w:r w:rsidRPr="005C7472">
        <w:rPr>
          <w:rFonts w:cs="Arial"/>
          <w:sz w:val="16"/>
          <w:szCs w:val="16"/>
          <w:u w:val="single"/>
        </w:rPr>
        <w:t>Source:</w:t>
      </w:r>
      <w:r w:rsidRPr="005C7472">
        <w:rPr>
          <w:rFonts w:cs="Arial"/>
          <w:sz w:val="16"/>
          <w:szCs w:val="16"/>
        </w:rPr>
        <w:tab/>
        <w:t xml:space="preserve">Data downloaded from the OECD at </w:t>
      </w:r>
      <w:r w:rsidRPr="005C7472">
        <w:rPr>
          <w:rFonts w:cs="Arial"/>
          <w:iCs/>
          <w:sz w:val="16"/>
          <w:szCs w:val="16"/>
          <w:lang w:val="en-US"/>
        </w:rPr>
        <w:t>http://dx.doi.org/10.1787/888932381893</w:t>
      </w:r>
    </w:p>
    <w:p w:rsidR="00EE3232" w:rsidRPr="005C7472" w:rsidRDefault="00EE3232" w:rsidP="00EE3232">
      <w:pPr>
        <w:tabs>
          <w:tab w:val="left" w:pos="1890"/>
        </w:tabs>
        <w:spacing w:before="60"/>
        <w:ind w:left="1170" w:right="1195"/>
        <w:jc w:val="both"/>
        <w:rPr>
          <w:rFonts w:cs="Arial"/>
          <w:sz w:val="16"/>
          <w:szCs w:val="16"/>
        </w:rPr>
      </w:pPr>
      <w:r w:rsidRPr="005C7472">
        <w:rPr>
          <w:rFonts w:cs="Arial"/>
          <w:sz w:val="16"/>
          <w:szCs w:val="16"/>
        </w:rPr>
        <w:tab/>
        <w:t xml:space="preserve">See also OECD (2011) Table EQ2.2. </w:t>
      </w:r>
    </w:p>
    <w:p w:rsidR="00EE3232" w:rsidRDefault="00EE3232" w:rsidP="00EE3232">
      <w:pPr>
        <w:jc w:val="center"/>
        <w:rPr>
          <w:rFonts w:cs="Arial"/>
          <w:b/>
          <w:sz w:val="18"/>
          <w:szCs w:val="18"/>
        </w:rPr>
      </w:pP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 xml:space="preserve">By 2010 the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rate had fallen to 13% and in 2011 11%.  This decline reflects two things: first, the median remained much the same in 2011 as in 2009 in real terms; and second, </w:t>
      </w:r>
      <w:r>
        <w:rPr>
          <w:rFonts w:cs="Arial"/>
          <w:sz w:val="20"/>
          <w:szCs w:val="22"/>
        </w:rPr>
        <w:lastRenderedPageBreak/>
        <w:t>NZS rose in real terms in that time, especially because of the April 2009 and October 2010 income tax changes.</w:t>
      </w:r>
      <w:r>
        <w:rPr>
          <w:rStyle w:val="FootnoteReference"/>
          <w:rFonts w:cs="Arial"/>
          <w:sz w:val="20"/>
          <w:szCs w:val="22"/>
        </w:rPr>
        <w:footnoteReference w:id="90"/>
      </w: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 xml:space="preserve">This sudden rise and fall of the income poverty rate for older New Zealanders can easily leave the misleading impression that there has been a very large and sudden change for the worse in the actual living conditions of many older New Zealanders, followed by an equally sudden improvement.  Neither conclusion is warranted.  The rapid changes simply reflect the existence of the ‘pensioner spike’ in the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income distribution.</w:t>
      </w:r>
    </w:p>
    <w:p w:rsidR="00EE3232" w:rsidRDefault="00EE3232" w:rsidP="00EE3232">
      <w:pPr>
        <w:jc w:val="both"/>
        <w:rPr>
          <w:rFonts w:cs="Arial"/>
          <w:sz w:val="20"/>
          <w:szCs w:val="22"/>
        </w:rPr>
      </w:pPr>
    </w:p>
    <w:p w:rsidR="00EE3232" w:rsidRPr="003445AE" w:rsidRDefault="00EE3232" w:rsidP="00EE3232">
      <w:pPr>
        <w:jc w:val="both"/>
        <w:rPr>
          <w:rFonts w:cs="Arial"/>
          <w:sz w:val="20"/>
        </w:rPr>
      </w:pPr>
      <w:r w:rsidRPr="003445AE">
        <w:rPr>
          <w:rFonts w:cs="Arial"/>
          <w:sz w:val="20"/>
        </w:rPr>
        <w:t xml:space="preserve">In its 2007 country report for </w:t>
      </w:r>
      <w:smartTag w:uri="urn:schemas-microsoft-com:office:smarttags" w:element="country-region">
        <w:r w:rsidRPr="003445AE">
          <w:rPr>
            <w:rFonts w:cs="Arial"/>
            <w:sz w:val="20"/>
          </w:rPr>
          <w:t>New Zealand</w:t>
        </w:r>
      </w:smartTag>
      <w:r w:rsidRPr="003445AE">
        <w:rPr>
          <w:rFonts w:cs="Arial"/>
          <w:sz w:val="20"/>
        </w:rPr>
        <w:t xml:space="preserve">, the OECD noted that </w:t>
      </w:r>
      <w:smartTag w:uri="urn:schemas-microsoft-com:office:smarttags" w:element="place">
        <w:smartTag w:uri="urn:schemas-microsoft-com:office:smarttags" w:element="country-region">
          <w:r w:rsidRPr="003445AE">
            <w:rPr>
              <w:rFonts w:cs="Arial"/>
              <w:sz w:val="20"/>
            </w:rPr>
            <w:t>New Zealand</w:t>
          </w:r>
        </w:smartTag>
      </w:smartTag>
      <w:r w:rsidRPr="003445AE">
        <w:rPr>
          <w:rFonts w:cs="Arial"/>
          <w:sz w:val="20"/>
        </w:rPr>
        <w:t xml:space="preserve"> has “successfully erased poverty among the elderly”, basing its assessment on the information in the 2000 version of Table J.6.</w:t>
      </w:r>
      <w:r w:rsidRPr="003445AE">
        <w:rPr>
          <w:rStyle w:val="FootnoteReference"/>
          <w:rFonts w:cs="Arial"/>
          <w:sz w:val="20"/>
        </w:rPr>
        <w:footnoteReference w:id="91"/>
      </w:r>
      <w:r w:rsidRPr="003445AE">
        <w:rPr>
          <w:rFonts w:cs="Arial"/>
          <w:sz w:val="20"/>
        </w:rPr>
        <w:t xml:space="preserve">  To be consistent, it would now have to report something along the lines that “poverty among the elderly in </w:t>
      </w:r>
      <w:smartTag w:uri="urn:schemas-microsoft-com:office:smarttags" w:element="place">
        <w:smartTag w:uri="urn:schemas-microsoft-com:office:smarttags" w:element="country-region">
          <w:r w:rsidRPr="003445AE">
            <w:rPr>
              <w:rFonts w:cs="Arial"/>
              <w:sz w:val="20"/>
            </w:rPr>
            <w:t>New Zealand</w:t>
          </w:r>
        </w:smartTag>
      </w:smartTag>
      <w:r w:rsidRPr="003445AE">
        <w:rPr>
          <w:rFonts w:cs="Arial"/>
          <w:sz w:val="20"/>
        </w:rPr>
        <w:t xml:space="preserve"> is very high compared with other OECD countries and is clearly a matter that the country needs to address.”   If it did so, it would be consistent, but it would be misleading on both counts. </w:t>
      </w:r>
    </w:p>
    <w:p w:rsidR="00EE3232" w:rsidRPr="003445AE" w:rsidRDefault="00EE3232" w:rsidP="00EE3232">
      <w:pPr>
        <w:jc w:val="both"/>
        <w:rPr>
          <w:rFonts w:cs="Arial"/>
          <w:sz w:val="20"/>
        </w:rPr>
      </w:pPr>
    </w:p>
    <w:p w:rsidR="00EE3232" w:rsidRPr="003445AE" w:rsidRDefault="00EE3232" w:rsidP="00EE3232">
      <w:pPr>
        <w:autoSpaceDE w:val="0"/>
        <w:autoSpaceDN w:val="0"/>
        <w:adjustRightInd w:val="0"/>
        <w:jc w:val="both"/>
        <w:rPr>
          <w:rFonts w:cs="Arial"/>
          <w:sz w:val="20"/>
          <w:lang w:val="en-US"/>
        </w:rPr>
      </w:pPr>
      <w:r w:rsidRPr="003445AE">
        <w:rPr>
          <w:rFonts w:cs="Arial"/>
          <w:sz w:val="20"/>
          <w:lang w:val="en-US"/>
        </w:rPr>
        <w:t>The opening pages of this section raised serious questions about the value and wisdom of international league tables which use income-based measures of poverty and which leave the reader with the impression that the rankings somehow reflect the degree of material hardship being experienced by different groups across the countries ranked in the table.  The rapid and large changes for ‘poverty rates’ for older New Zealanders as noted above provide another reason to treat such tables with great care.</w:t>
      </w:r>
    </w:p>
    <w:p w:rsidR="00EE3232" w:rsidRDefault="00EE3232" w:rsidP="00EE3232">
      <w:pPr>
        <w:autoSpaceDE w:val="0"/>
        <w:autoSpaceDN w:val="0"/>
        <w:adjustRightInd w:val="0"/>
        <w:rPr>
          <w:rFonts w:cs="Arial"/>
          <w:sz w:val="19"/>
          <w:szCs w:val="19"/>
          <w:lang w:val="en-US"/>
        </w:rPr>
      </w:pPr>
    </w:p>
    <w:p w:rsidR="00EE3232" w:rsidRPr="00203511" w:rsidRDefault="00EE3232" w:rsidP="00EE3232">
      <w:pPr>
        <w:spacing w:after="120"/>
        <w:jc w:val="both"/>
        <w:rPr>
          <w:rFonts w:cs="Arial"/>
          <w:sz w:val="20"/>
          <w:szCs w:val="22"/>
        </w:rPr>
      </w:pPr>
      <w:r w:rsidRPr="00BC6582">
        <w:rPr>
          <w:rFonts w:cs="Arial"/>
          <w:b/>
          <w:sz w:val="20"/>
          <w:szCs w:val="22"/>
        </w:rPr>
        <w:t>Table J.</w:t>
      </w:r>
      <w:r>
        <w:rPr>
          <w:rFonts w:cs="Arial"/>
          <w:b/>
          <w:sz w:val="20"/>
          <w:szCs w:val="22"/>
        </w:rPr>
        <w:t>7</w:t>
      </w:r>
      <w:r w:rsidRPr="00BC6582">
        <w:rPr>
          <w:rFonts w:cs="Arial"/>
          <w:sz w:val="20"/>
          <w:szCs w:val="22"/>
        </w:rPr>
        <w:t xml:space="preserve"> compares poverty rates </w:t>
      </w:r>
      <w:r>
        <w:rPr>
          <w:rFonts w:cs="Arial"/>
          <w:sz w:val="20"/>
          <w:szCs w:val="22"/>
        </w:rPr>
        <w:t xml:space="preserve">for older people </w:t>
      </w:r>
      <w:r w:rsidRPr="00BC6582">
        <w:rPr>
          <w:rFonts w:cs="Arial"/>
          <w:sz w:val="20"/>
          <w:szCs w:val="22"/>
        </w:rPr>
        <w:t xml:space="preserve">using a 60% threshold for selected European countries and </w:t>
      </w:r>
      <w:smartTag w:uri="urn:schemas-microsoft-com:office:smarttags" w:element="place">
        <w:smartTag w:uri="urn:schemas-microsoft-com:office:smarttags" w:element="country-region">
          <w:r w:rsidRPr="00BC6582">
            <w:rPr>
              <w:rFonts w:cs="Arial"/>
              <w:sz w:val="20"/>
              <w:szCs w:val="22"/>
            </w:rPr>
            <w:t>New Zealand</w:t>
          </w:r>
        </w:smartTag>
      </w:smartTag>
      <w:r w:rsidRPr="00BC6582">
        <w:rPr>
          <w:rFonts w:cs="Arial"/>
          <w:sz w:val="20"/>
          <w:szCs w:val="22"/>
        </w:rPr>
        <w:t xml:space="preserve">. </w:t>
      </w:r>
      <w:r>
        <w:rPr>
          <w:rFonts w:cs="Arial"/>
          <w:sz w:val="20"/>
          <w:szCs w:val="22"/>
        </w:rPr>
        <w:t xml:space="preserve"> Using this higher threshold, poverty figures are more stable from year to year as the threshold is above most clumps or pensioner spikes in the income distributions.</w:t>
      </w:r>
      <w:r w:rsidRPr="00BC6582">
        <w:rPr>
          <w:rFonts w:cs="Arial"/>
          <w:sz w:val="20"/>
          <w:szCs w:val="22"/>
        </w:rPr>
        <w:t xml:space="preserve"> </w:t>
      </w:r>
    </w:p>
    <w:p w:rsidR="00EE3232" w:rsidRPr="00BC6582" w:rsidRDefault="00EE3232" w:rsidP="00EE3232">
      <w:pPr>
        <w:jc w:val="center"/>
        <w:rPr>
          <w:rFonts w:cs="Arial"/>
          <w:b/>
          <w:sz w:val="18"/>
        </w:rPr>
      </w:pPr>
      <w:r w:rsidRPr="00BC6582">
        <w:rPr>
          <w:rFonts w:cs="Arial"/>
          <w:b/>
          <w:sz w:val="18"/>
        </w:rPr>
        <w:t>Table J</w:t>
      </w:r>
      <w:r>
        <w:rPr>
          <w:rFonts w:cs="Arial"/>
          <w:b/>
          <w:sz w:val="18"/>
        </w:rPr>
        <w:t>.7</w:t>
      </w:r>
    </w:p>
    <w:p w:rsidR="00EE3232" w:rsidRPr="00BC6582" w:rsidRDefault="00EE3232" w:rsidP="00EE3232">
      <w:pPr>
        <w:jc w:val="center"/>
        <w:rPr>
          <w:rFonts w:cs="Arial"/>
          <w:b/>
          <w:sz w:val="18"/>
        </w:rPr>
      </w:pPr>
      <w:r w:rsidRPr="00BC6582">
        <w:rPr>
          <w:rFonts w:cs="Arial"/>
          <w:b/>
          <w:sz w:val="18"/>
        </w:rPr>
        <w:t xml:space="preserve">65+ poverty rates in </w:t>
      </w:r>
      <w:r>
        <w:rPr>
          <w:rFonts w:cs="Arial"/>
          <w:b/>
          <w:sz w:val="18"/>
        </w:rPr>
        <w:t>selected European countries</w:t>
      </w:r>
      <w:r w:rsidRPr="00BC6582">
        <w:rPr>
          <w:rFonts w:cs="Arial"/>
          <w:b/>
          <w:sz w:val="18"/>
        </w:rPr>
        <w:t xml:space="preserve"> and </w:t>
      </w:r>
      <w:smartTag w:uri="urn:schemas-microsoft-com:office:smarttags" w:element="place">
        <w:smartTag w:uri="urn:schemas-microsoft-com:office:smarttags" w:element="country-region">
          <w:r w:rsidRPr="00BC6582">
            <w:rPr>
              <w:rFonts w:cs="Arial"/>
              <w:b/>
              <w:sz w:val="18"/>
            </w:rPr>
            <w:t>New Zealand</w:t>
          </w:r>
        </w:smartTag>
      </w:smartTag>
      <w:r w:rsidRPr="00BC6582">
        <w:rPr>
          <w:rFonts w:cs="Arial"/>
          <w:b/>
          <w:sz w:val="18"/>
        </w:rPr>
        <w:t xml:space="preserve"> (%) c 20</w:t>
      </w:r>
      <w:r>
        <w:rPr>
          <w:rFonts w:cs="Arial"/>
          <w:b/>
          <w:sz w:val="18"/>
        </w:rPr>
        <w:t>10</w:t>
      </w:r>
      <w:r w:rsidRPr="00BC6582">
        <w:rPr>
          <w:rFonts w:cs="Arial"/>
          <w:b/>
          <w:sz w:val="18"/>
        </w:rPr>
        <w:t xml:space="preserve">: </w:t>
      </w:r>
    </w:p>
    <w:p w:rsidR="00EE3232" w:rsidRPr="00BC6582" w:rsidRDefault="00EE3232" w:rsidP="00EE3232">
      <w:pPr>
        <w:spacing w:after="120"/>
        <w:jc w:val="center"/>
        <w:rPr>
          <w:rFonts w:cs="Arial"/>
          <w:b/>
          <w:sz w:val="18"/>
        </w:rPr>
      </w:pPr>
      <w:r w:rsidRPr="00BC6582">
        <w:rPr>
          <w:rFonts w:cs="Arial"/>
          <w:b/>
          <w:sz w:val="18"/>
        </w:rPr>
        <w:t>60% of median threshold (</w:t>
      </w:r>
      <w:smartTag w:uri="urn:schemas-microsoft-com:office:smarttags" w:element="stockticker">
        <w:r w:rsidRPr="00BC6582">
          <w:rPr>
            <w:rFonts w:cs="Arial"/>
            <w:b/>
            <w:sz w:val="18"/>
          </w:rPr>
          <w:t>BHC</w:t>
        </w:r>
      </w:smartTag>
      <w:r w:rsidRPr="00BC6582">
        <w:rPr>
          <w:rFonts w:cs="Arial"/>
          <w:b/>
          <w:sz w:val="18"/>
        </w:rPr>
        <w:t>)</w:t>
      </w:r>
    </w:p>
    <w:tbl>
      <w:tblPr>
        <w:tblStyle w:val="TableGrid"/>
        <w:tblW w:w="0" w:type="auto"/>
        <w:jc w:val="center"/>
        <w:tblLook w:val="01E0"/>
      </w:tblPr>
      <w:tblGrid>
        <w:gridCol w:w="1814"/>
        <w:gridCol w:w="756"/>
        <w:gridCol w:w="1768"/>
        <w:gridCol w:w="651"/>
      </w:tblGrid>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Australia</w:t>
                </w:r>
              </w:smartTag>
            </w:smartTag>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&gt;45</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Austria</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15</w:t>
            </w:r>
          </w:p>
        </w:tc>
      </w:tr>
      <w:tr w:rsidR="00EE3232">
        <w:trPr>
          <w:jc w:val="center"/>
        </w:trPr>
        <w:tc>
          <w:tcPr>
            <w:tcW w:w="1814" w:type="dxa"/>
            <w:vAlign w:val="center"/>
          </w:tcPr>
          <w:p w:rsidR="00EE3232" w:rsidRPr="00053C03" w:rsidRDefault="00EE3232" w:rsidP="00614C04">
            <w:pPr>
              <w:spacing w:before="40" w:after="40"/>
              <w:rPr>
                <w:rFonts w:cs="Arial"/>
                <w:b/>
                <w:sz w:val="16"/>
                <w:szCs w:val="16"/>
              </w:rPr>
            </w:pPr>
            <w:smartTag w:uri="urn:schemas-microsoft-com:office:smarttags" w:element="place">
              <w:smartTag w:uri="urn:schemas-microsoft-com:office:smarttags" w:element="country-region">
                <w:r w:rsidRPr="00053C03">
                  <w:rPr>
                    <w:rFonts w:cs="Arial"/>
                    <w:b/>
                    <w:sz w:val="16"/>
                    <w:szCs w:val="16"/>
                  </w:rPr>
                  <w:t>New Zealand</w:t>
                </w:r>
              </w:smartTag>
            </w:smartTag>
          </w:p>
        </w:tc>
        <w:tc>
          <w:tcPr>
            <w:tcW w:w="756" w:type="dxa"/>
            <w:vAlign w:val="center"/>
          </w:tcPr>
          <w:p w:rsidR="00EE3232" w:rsidRPr="00053C03" w:rsidRDefault="00EE3232" w:rsidP="00614C04">
            <w:pPr>
              <w:spacing w:before="40" w:after="40"/>
              <w:jc w:val="center"/>
              <w:rPr>
                <w:rFonts w:cs="Arial"/>
                <w:b/>
                <w:sz w:val="16"/>
                <w:szCs w:val="16"/>
              </w:rPr>
            </w:pPr>
            <w:r w:rsidRPr="00053C03">
              <w:rPr>
                <w:rFonts w:cs="Arial"/>
                <w:b/>
                <w:sz w:val="16"/>
                <w:szCs w:val="16"/>
              </w:rPr>
              <w:t>3</w:t>
            </w:r>
            <w:r>
              <w:rPr>
                <w:rFonts w:cs="Arial"/>
                <w:b/>
                <w:sz w:val="16"/>
                <w:szCs w:val="16"/>
              </w:rPr>
              <w:t>2</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Estonia</w:t>
                </w:r>
              </w:smartTag>
            </w:smartTag>
          </w:p>
        </w:tc>
        <w:tc>
          <w:tcPr>
            <w:tcW w:w="651" w:type="dxa"/>
            <w:vAlign w:val="center"/>
          </w:tcPr>
          <w:p w:rsidR="00EE3232" w:rsidRPr="00053C03" w:rsidRDefault="00EE3232" w:rsidP="00614C04">
            <w:pPr>
              <w:spacing w:before="40" w:after="40"/>
              <w:jc w:val="center"/>
              <w:rPr>
                <w:rFonts w:cs="Arial"/>
                <w:sz w:val="16"/>
                <w:szCs w:val="16"/>
              </w:rPr>
            </w:pPr>
            <w:r>
              <w:rPr>
                <w:rFonts w:cs="Arial"/>
                <w:sz w:val="16"/>
                <w:szCs w:val="16"/>
              </w:rPr>
              <w:t>15</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Switzerland</w:t>
                </w:r>
              </w:smartTag>
            </w:smartTag>
          </w:p>
        </w:tc>
        <w:tc>
          <w:tcPr>
            <w:tcW w:w="756" w:type="dxa"/>
            <w:vAlign w:val="center"/>
          </w:tcPr>
          <w:p w:rsidR="00EE3232" w:rsidRPr="00053C03" w:rsidRDefault="00EE3232" w:rsidP="00614C04">
            <w:pPr>
              <w:spacing w:before="40" w:after="40"/>
              <w:jc w:val="center"/>
              <w:rPr>
                <w:rFonts w:cs="Arial"/>
                <w:sz w:val="16"/>
                <w:szCs w:val="16"/>
              </w:rPr>
            </w:pPr>
            <w:r>
              <w:rPr>
                <w:rFonts w:cs="Arial"/>
                <w:sz w:val="16"/>
                <w:szCs w:val="16"/>
              </w:rPr>
              <w:t>28</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Iceland</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5</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Spain</w:t>
                </w:r>
              </w:smartTag>
            </w:smartTag>
          </w:p>
        </w:tc>
        <w:tc>
          <w:tcPr>
            <w:tcW w:w="756" w:type="dxa"/>
            <w:vAlign w:val="center"/>
          </w:tcPr>
          <w:p w:rsidR="00EE3232" w:rsidRPr="00053C03" w:rsidRDefault="00EE3232" w:rsidP="00614C04">
            <w:pPr>
              <w:spacing w:before="40" w:after="40"/>
              <w:jc w:val="center"/>
              <w:rPr>
                <w:rFonts w:cs="Arial"/>
                <w:sz w:val="16"/>
                <w:szCs w:val="16"/>
              </w:rPr>
            </w:pPr>
            <w:r>
              <w:rPr>
                <w:rFonts w:cs="Arial"/>
                <w:sz w:val="16"/>
                <w:szCs w:val="16"/>
              </w:rPr>
              <w:t>22</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Germany</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4</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United Kingdom</w:t>
                </w:r>
              </w:smartTag>
            </w:smartTag>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w:t>
            </w:r>
            <w:r>
              <w:rPr>
                <w:rFonts w:cs="Arial"/>
                <w:sz w:val="16"/>
                <w:szCs w:val="16"/>
              </w:rPr>
              <w:t>1</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Poland</w:t>
                </w:r>
              </w:smartTag>
            </w:smartTag>
          </w:p>
        </w:tc>
        <w:tc>
          <w:tcPr>
            <w:tcW w:w="651" w:type="dxa"/>
            <w:vAlign w:val="center"/>
          </w:tcPr>
          <w:p w:rsidR="00EE3232" w:rsidRPr="00053C03" w:rsidRDefault="00EE3232" w:rsidP="00614C04">
            <w:pPr>
              <w:spacing w:before="40" w:after="40"/>
              <w:jc w:val="center"/>
              <w:rPr>
                <w:rFonts w:cs="Arial"/>
                <w:noProof/>
                <w:sz w:val="16"/>
                <w:szCs w:val="16"/>
                <w:lang w:val="en-US"/>
              </w:rPr>
            </w:pPr>
            <w:r w:rsidRPr="00053C03">
              <w:rPr>
                <w:rFonts w:cs="Arial"/>
                <w:noProof/>
                <w:sz w:val="16"/>
                <w:szCs w:val="16"/>
                <w:lang w:val="en-US"/>
              </w:rPr>
              <w:t>14</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Greece</w:t>
                </w:r>
              </w:smartTag>
            </w:smartTag>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21</w:t>
            </w:r>
          </w:p>
        </w:tc>
        <w:tc>
          <w:tcPr>
            <w:tcW w:w="1768" w:type="dxa"/>
            <w:vAlign w:val="center"/>
          </w:tcPr>
          <w:p w:rsidR="00EE3232" w:rsidRPr="00053C03" w:rsidRDefault="00EE3232" w:rsidP="00614C04">
            <w:pPr>
              <w:spacing w:before="40" w:after="40"/>
              <w:ind w:right="749" w:hanging="33"/>
              <w:rPr>
                <w:rFonts w:cs="Arial"/>
                <w:sz w:val="16"/>
                <w:szCs w:val="16"/>
              </w:rPr>
            </w:pPr>
            <w:smartTag w:uri="urn:schemas-microsoft-com:office:smarttags" w:element="place">
              <w:smartTag w:uri="urn:schemas-microsoft-com:office:smarttags" w:element="country-region">
                <w:r w:rsidRPr="00053C03">
                  <w:rPr>
                    <w:rFonts w:cs="Arial"/>
                    <w:sz w:val="16"/>
                    <w:szCs w:val="16"/>
                  </w:rPr>
                  <w:t>Norway</w:t>
                </w:r>
              </w:smartTag>
            </w:smartTag>
          </w:p>
        </w:tc>
        <w:tc>
          <w:tcPr>
            <w:tcW w:w="651" w:type="dxa"/>
            <w:vAlign w:val="center"/>
          </w:tcPr>
          <w:p w:rsidR="00EE3232" w:rsidRPr="00053C03" w:rsidRDefault="00EE3232" w:rsidP="00614C04">
            <w:pPr>
              <w:spacing w:before="40" w:after="40"/>
              <w:ind w:firstLine="12"/>
              <w:jc w:val="center"/>
              <w:rPr>
                <w:rFonts w:cs="Arial"/>
                <w:sz w:val="16"/>
                <w:szCs w:val="16"/>
              </w:rPr>
            </w:pPr>
            <w:r w:rsidRPr="00053C03">
              <w:rPr>
                <w:rFonts w:cs="Arial"/>
                <w:sz w:val="16"/>
                <w:szCs w:val="16"/>
              </w:rPr>
              <w:t>12</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Portugal</w:t>
                </w:r>
              </w:smartTag>
            </w:smartTag>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2</w:t>
            </w:r>
            <w:r>
              <w:rPr>
                <w:rFonts w:cs="Arial"/>
                <w:sz w:val="16"/>
                <w:szCs w:val="16"/>
              </w:rPr>
              <w:t>1</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Ireland</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1</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Belgium</w:t>
                </w:r>
              </w:smartTag>
            </w:smartTag>
          </w:p>
        </w:tc>
        <w:tc>
          <w:tcPr>
            <w:tcW w:w="756" w:type="dxa"/>
            <w:vAlign w:val="center"/>
          </w:tcPr>
          <w:p w:rsidR="00EE3232" w:rsidRPr="00053C03" w:rsidRDefault="00EE3232" w:rsidP="00614C04">
            <w:pPr>
              <w:spacing w:before="40" w:after="40"/>
              <w:jc w:val="center"/>
              <w:rPr>
                <w:rFonts w:cs="Arial"/>
                <w:sz w:val="16"/>
                <w:szCs w:val="16"/>
              </w:rPr>
            </w:pPr>
            <w:r>
              <w:rPr>
                <w:rFonts w:cs="Arial"/>
                <w:sz w:val="16"/>
                <w:szCs w:val="16"/>
              </w:rPr>
              <w:t>19</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France</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0</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Finland</w:t>
                </w:r>
              </w:smartTag>
            </w:smartTag>
          </w:p>
        </w:tc>
        <w:tc>
          <w:tcPr>
            <w:tcW w:w="756" w:type="dxa"/>
            <w:vAlign w:val="center"/>
          </w:tcPr>
          <w:p w:rsidR="00EE3232" w:rsidRPr="00053C03" w:rsidRDefault="00EE3232" w:rsidP="00614C04">
            <w:pPr>
              <w:spacing w:before="40" w:after="40"/>
              <w:jc w:val="center"/>
              <w:rPr>
                <w:rFonts w:cs="Arial"/>
                <w:sz w:val="16"/>
                <w:szCs w:val="16"/>
              </w:rPr>
            </w:pPr>
            <w:r>
              <w:rPr>
                <w:rFonts w:cs="Arial"/>
                <w:sz w:val="16"/>
                <w:szCs w:val="16"/>
              </w:rPr>
              <w:t>18</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Lithuania</w:t>
                </w:r>
              </w:smartTag>
            </w:smartTag>
          </w:p>
        </w:tc>
        <w:tc>
          <w:tcPr>
            <w:tcW w:w="651" w:type="dxa"/>
            <w:vAlign w:val="center"/>
          </w:tcPr>
          <w:p w:rsidR="00EE3232" w:rsidRPr="00053C03" w:rsidRDefault="00EE3232" w:rsidP="00614C04">
            <w:pPr>
              <w:spacing w:before="40" w:after="40"/>
              <w:jc w:val="center"/>
              <w:rPr>
                <w:rFonts w:cs="Arial"/>
                <w:sz w:val="16"/>
                <w:szCs w:val="16"/>
              </w:rPr>
            </w:pPr>
            <w:r>
              <w:rPr>
                <w:rFonts w:cs="Arial"/>
                <w:sz w:val="16"/>
                <w:szCs w:val="16"/>
              </w:rPr>
              <w:t>10</w:t>
            </w:r>
          </w:p>
        </w:tc>
      </w:tr>
      <w:tr w:rsidR="00EE3232">
        <w:trPr>
          <w:jc w:val="center"/>
        </w:trPr>
        <w:tc>
          <w:tcPr>
            <w:tcW w:w="1814" w:type="dxa"/>
            <w:vAlign w:val="center"/>
          </w:tcPr>
          <w:p w:rsidR="00EE3232" w:rsidRPr="00053C03" w:rsidRDefault="00EE3232" w:rsidP="00614C04">
            <w:pPr>
              <w:spacing w:before="40" w:after="40"/>
              <w:ind w:hanging="33"/>
              <w:rPr>
                <w:rFonts w:cs="Arial"/>
                <w:sz w:val="16"/>
                <w:szCs w:val="16"/>
              </w:rPr>
            </w:pPr>
            <w:smartTag w:uri="urn:schemas-microsoft-com:office:smarttags" w:element="place">
              <w:smartTag w:uri="urn:schemas-microsoft-com:office:smarttags" w:element="country-region">
                <w:r w:rsidRPr="00053C03">
                  <w:rPr>
                    <w:rFonts w:cs="Arial"/>
                    <w:sz w:val="16"/>
                    <w:szCs w:val="16"/>
                  </w:rPr>
                  <w:t>Denmark</w:t>
                </w:r>
              </w:smartTag>
            </w:smartTag>
          </w:p>
        </w:tc>
        <w:tc>
          <w:tcPr>
            <w:tcW w:w="756" w:type="dxa"/>
            <w:vAlign w:val="center"/>
          </w:tcPr>
          <w:p w:rsidR="00EE3232" w:rsidRPr="00053C03" w:rsidRDefault="00EE3232" w:rsidP="00614C04">
            <w:pPr>
              <w:spacing w:before="40" w:after="40"/>
              <w:ind w:firstLine="12"/>
              <w:jc w:val="center"/>
              <w:rPr>
                <w:rFonts w:cs="Arial"/>
                <w:sz w:val="16"/>
                <w:szCs w:val="16"/>
              </w:rPr>
            </w:pPr>
            <w:r w:rsidRPr="00053C03">
              <w:rPr>
                <w:rFonts w:cs="Arial"/>
                <w:sz w:val="16"/>
                <w:szCs w:val="16"/>
              </w:rPr>
              <w:t>18</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Slovakia</w:t>
                </w:r>
              </w:smartTag>
            </w:smartTag>
          </w:p>
        </w:tc>
        <w:tc>
          <w:tcPr>
            <w:tcW w:w="651" w:type="dxa"/>
            <w:vAlign w:val="center"/>
          </w:tcPr>
          <w:p w:rsidR="00EE3232" w:rsidRPr="00053C03" w:rsidRDefault="00EE3232" w:rsidP="00614C04">
            <w:pPr>
              <w:spacing w:before="40" w:after="40"/>
              <w:jc w:val="center"/>
              <w:rPr>
                <w:rFonts w:cs="Arial"/>
                <w:noProof/>
                <w:sz w:val="16"/>
                <w:szCs w:val="16"/>
                <w:lang w:val="en-US"/>
              </w:rPr>
            </w:pPr>
            <w:r>
              <w:rPr>
                <w:rFonts w:cs="Arial"/>
                <w:noProof/>
                <w:sz w:val="16"/>
                <w:szCs w:val="16"/>
                <w:lang w:val="en-US"/>
              </w:rPr>
              <w:t>8</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Italy</w:t>
                </w:r>
              </w:smartTag>
            </w:smartTag>
          </w:p>
        </w:tc>
        <w:tc>
          <w:tcPr>
            <w:tcW w:w="756" w:type="dxa"/>
            <w:vAlign w:val="center"/>
          </w:tcPr>
          <w:p w:rsidR="00EE3232" w:rsidRPr="00053C03" w:rsidRDefault="00EE3232" w:rsidP="00614C04">
            <w:pPr>
              <w:spacing w:before="40" w:after="40"/>
              <w:jc w:val="center"/>
              <w:rPr>
                <w:rFonts w:cs="Arial"/>
                <w:sz w:val="16"/>
                <w:szCs w:val="16"/>
              </w:rPr>
            </w:pPr>
            <w:r>
              <w:rPr>
                <w:rFonts w:cs="Arial"/>
                <w:sz w:val="16"/>
                <w:szCs w:val="16"/>
              </w:rPr>
              <w:t>17</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PlaceName">
                <w:r w:rsidRPr="00053C03">
                  <w:rPr>
                    <w:rFonts w:cs="Arial"/>
                    <w:sz w:val="16"/>
                    <w:szCs w:val="16"/>
                  </w:rPr>
                  <w:t>Czech</w:t>
                </w:r>
              </w:smartTag>
              <w:r w:rsidRPr="00053C03">
                <w:rPr>
                  <w:rFonts w:cs="Arial"/>
                  <w:sz w:val="16"/>
                  <w:szCs w:val="16"/>
                </w:rPr>
                <w:t xml:space="preserve"> </w:t>
              </w:r>
              <w:smartTag w:uri="urn:schemas-microsoft-com:office:smarttags" w:element="PlaceType">
                <w:r w:rsidRPr="00053C03">
                  <w:rPr>
                    <w:rFonts w:cs="Arial"/>
                    <w:sz w:val="16"/>
                    <w:szCs w:val="16"/>
                  </w:rPr>
                  <w:t>Republic</w:t>
                </w:r>
              </w:smartTag>
            </w:smartTag>
          </w:p>
        </w:tc>
        <w:tc>
          <w:tcPr>
            <w:tcW w:w="651"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7</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Sweden</w:t>
                </w:r>
              </w:smartTag>
            </w:smartTag>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6</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Netherlands</w:t>
                </w:r>
              </w:smartTag>
            </w:smartTag>
          </w:p>
        </w:tc>
        <w:tc>
          <w:tcPr>
            <w:tcW w:w="651" w:type="dxa"/>
            <w:vAlign w:val="center"/>
          </w:tcPr>
          <w:p w:rsidR="00EE3232" w:rsidRPr="00053C03" w:rsidRDefault="00EE3232" w:rsidP="00614C04">
            <w:pPr>
              <w:spacing w:before="40" w:after="40"/>
              <w:jc w:val="center"/>
              <w:rPr>
                <w:rFonts w:cs="Arial"/>
                <w:sz w:val="16"/>
                <w:szCs w:val="16"/>
              </w:rPr>
            </w:pPr>
            <w:r>
              <w:rPr>
                <w:rFonts w:cs="Arial"/>
                <w:sz w:val="16"/>
                <w:szCs w:val="16"/>
              </w:rPr>
              <w:t>6</w:t>
            </w:r>
          </w:p>
        </w:tc>
      </w:tr>
      <w:tr w:rsidR="00EE3232">
        <w:trPr>
          <w:jc w:val="center"/>
        </w:trPr>
        <w:tc>
          <w:tcPr>
            <w:tcW w:w="1814" w:type="dxa"/>
            <w:vAlign w:val="center"/>
          </w:tcPr>
          <w:p w:rsidR="00EE3232" w:rsidRPr="00053C03" w:rsidRDefault="00EE3232" w:rsidP="00614C04">
            <w:pPr>
              <w:spacing w:before="40" w:after="40"/>
              <w:rPr>
                <w:rFonts w:cs="Arial"/>
                <w:sz w:val="16"/>
                <w:szCs w:val="16"/>
              </w:rPr>
            </w:pPr>
            <w:r w:rsidRPr="00053C03">
              <w:rPr>
                <w:rFonts w:cs="Arial"/>
                <w:sz w:val="16"/>
                <w:szCs w:val="16"/>
              </w:rPr>
              <w:t xml:space="preserve">EU-27 </w:t>
            </w:r>
            <w:r>
              <w:rPr>
                <w:rFonts w:cs="Arial"/>
                <w:sz w:val="16"/>
                <w:szCs w:val="16"/>
              </w:rPr>
              <w:t>and EU-15</w:t>
            </w:r>
          </w:p>
        </w:tc>
        <w:tc>
          <w:tcPr>
            <w:tcW w:w="756" w:type="dxa"/>
            <w:vAlign w:val="center"/>
          </w:tcPr>
          <w:p w:rsidR="00EE3232" w:rsidRPr="00053C03" w:rsidRDefault="00EE3232" w:rsidP="00614C04">
            <w:pPr>
              <w:spacing w:before="40" w:after="40"/>
              <w:jc w:val="center"/>
              <w:rPr>
                <w:rFonts w:cs="Arial"/>
                <w:sz w:val="16"/>
                <w:szCs w:val="16"/>
              </w:rPr>
            </w:pPr>
            <w:r w:rsidRPr="00053C03">
              <w:rPr>
                <w:rFonts w:cs="Arial"/>
                <w:sz w:val="16"/>
                <w:szCs w:val="16"/>
              </w:rPr>
              <w:t>1</w:t>
            </w:r>
            <w:r>
              <w:rPr>
                <w:rFonts w:cs="Arial"/>
                <w:sz w:val="16"/>
                <w:szCs w:val="16"/>
              </w:rPr>
              <w:t>6</w:t>
            </w:r>
          </w:p>
        </w:tc>
        <w:tc>
          <w:tcPr>
            <w:tcW w:w="1768" w:type="dxa"/>
            <w:vAlign w:val="center"/>
          </w:tcPr>
          <w:p w:rsidR="00EE3232" w:rsidRPr="00053C03" w:rsidRDefault="00EE3232" w:rsidP="00614C04">
            <w:pPr>
              <w:spacing w:before="40" w:after="40"/>
              <w:rPr>
                <w:rFonts w:cs="Arial"/>
                <w:sz w:val="16"/>
                <w:szCs w:val="16"/>
              </w:rPr>
            </w:pPr>
            <w:smartTag w:uri="urn:schemas-microsoft-com:office:smarttags" w:element="place">
              <w:smartTag w:uri="urn:schemas-microsoft-com:office:smarttags" w:element="country-region">
                <w:r w:rsidRPr="00053C03">
                  <w:rPr>
                    <w:rFonts w:cs="Arial"/>
                    <w:sz w:val="16"/>
                    <w:szCs w:val="16"/>
                  </w:rPr>
                  <w:t>Hungary</w:t>
                </w:r>
              </w:smartTag>
            </w:smartTag>
          </w:p>
        </w:tc>
        <w:tc>
          <w:tcPr>
            <w:tcW w:w="651" w:type="dxa"/>
            <w:vAlign w:val="center"/>
          </w:tcPr>
          <w:p w:rsidR="00EE3232" w:rsidRPr="00053C03" w:rsidRDefault="00EE3232" w:rsidP="00614C04">
            <w:pPr>
              <w:spacing w:before="40" w:after="40"/>
              <w:jc w:val="center"/>
              <w:rPr>
                <w:rFonts w:cs="Arial"/>
                <w:sz w:val="16"/>
                <w:szCs w:val="16"/>
              </w:rPr>
            </w:pPr>
            <w:r>
              <w:rPr>
                <w:rFonts w:cs="Arial"/>
                <w:sz w:val="16"/>
                <w:szCs w:val="16"/>
              </w:rPr>
              <w:t>4</w:t>
            </w:r>
          </w:p>
        </w:tc>
      </w:tr>
    </w:tbl>
    <w:p w:rsidR="00EE3232" w:rsidRDefault="00EE3232" w:rsidP="00EE3232">
      <w:pPr>
        <w:ind w:left="1530" w:right="1195" w:hanging="900"/>
        <w:jc w:val="both"/>
        <w:rPr>
          <w:rFonts w:cs="Arial"/>
          <w:sz w:val="18"/>
          <w:szCs w:val="18"/>
          <w:u w:val="single"/>
        </w:rPr>
      </w:pPr>
    </w:p>
    <w:p w:rsidR="00EE3232" w:rsidRPr="0020045A" w:rsidRDefault="00EE3232" w:rsidP="00EE3232">
      <w:pPr>
        <w:ind w:left="1890" w:right="1721" w:hanging="810"/>
        <w:jc w:val="both"/>
        <w:rPr>
          <w:rFonts w:cs="Arial"/>
          <w:sz w:val="16"/>
          <w:szCs w:val="16"/>
        </w:rPr>
      </w:pPr>
      <w:r w:rsidRPr="0020045A">
        <w:rPr>
          <w:rFonts w:cs="Arial"/>
          <w:sz w:val="16"/>
          <w:szCs w:val="16"/>
          <w:u w:val="single"/>
        </w:rPr>
        <w:t>Sources:</w:t>
      </w:r>
      <w:r w:rsidRPr="0020045A">
        <w:rPr>
          <w:rFonts w:cs="Arial"/>
          <w:sz w:val="16"/>
          <w:szCs w:val="16"/>
        </w:rPr>
        <w:tab/>
        <w:t xml:space="preserve">The figure for </w:t>
      </w:r>
      <w:smartTag w:uri="urn:schemas-microsoft-com:office:smarttags" w:element="place">
        <w:smartTag w:uri="urn:schemas-microsoft-com:office:smarttags" w:element="country-region">
          <w:r w:rsidRPr="0020045A">
            <w:rPr>
              <w:rFonts w:cs="Arial"/>
              <w:sz w:val="16"/>
              <w:szCs w:val="16"/>
            </w:rPr>
            <w:t>Australia</w:t>
          </w:r>
        </w:smartTag>
      </w:smartTag>
      <w:r w:rsidRPr="0020045A">
        <w:rPr>
          <w:rFonts w:cs="Arial"/>
          <w:sz w:val="16"/>
          <w:szCs w:val="16"/>
        </w:rPr>
        <w:t xml:space="preserve"> is a conservative estimate based on the 50% of median figure (39%).  The other non </w:t>
      </w:r>
      <w:smartTag w:uri="urn:schemas-microsoft-com:office:smarttags" w:element="place">
        <w:smartTag w:uri="urn:schemas-microsoft-com:office:smarttags" w:element="country-region">
          <w:r w:rsidRPr="0020045A">
            <w:rPr>
              <w:rFonts w:cs="Arial"/>
              <w:sz w:val="16"/>
              <w:szCs w:val="16"/>
            </w:rPr>
            <w:t>New Zealand</w:t>
          </w:r>
        </w:smartTag>
      </w:smartTag>
      <w:r w:rsidRPr="0020045A">
        <w:rPr>
          <w:rFonts w:cs="Arial"/>
          <w:sz w:val="16"/>
          <w:szCs w:val="16"/>
        </w:rPr>
        <w:t xml:space="preserve"> figures are drawn directly from the Eurostat statistical database for ‘Living Conditions and Social Protection’, accessed on </w:t>
      </w:r>
      <w:r>
        <w:rPr>
          <w:rFonts w:cs="Arial"/>
          <w:sz w:val="16"/>
          <w:szCs w:val="16"/>
        </w:rPr>
        <w:t>22 May 2012</w:t>
      </w:r>
      <w:r w:rsidRPr="0020045A">
        <w:rPr>
          <w:rFonts w:cs="Arial"/>
          <w:sz w:val="16"/>
          <w:szCs w:val="16"/>
        </w:rPr>
        <w:t xml:space="preserve">.  </w:t>
      </w:r>
    </w:p>
    <w:p w:rsidR="00EE3232" w:rsidRDefault="00EE3232" w:rsidP="00EE3232">
      <w:pPr>
        <w:tabs>
          <w:tab w:val="left" w:pos="540"/>
        </w:tabs>
        <w:ind w:left="187"/>
        <w:jc w:val="both"/>
        <w:rPr>
          <w:rFonts w:cs="Arial"/>
          <w:szCs w:val="22"/>
        </w:rPr>
      </w:pPr>
    </w:p>
    <w:p w:rsidR="00EE3232" w:rsidRDefault="00EE3232" w:rsidP="00EE3232">
      <w:pPr>
        <w:jc w:val="both"/>
        <w:rPr>
          <w:rFonts w:cs="Arial"/>
          <w:sz w:val="20"/>
          <w:szCs w:val="22"/>
        </w:rPr>
      </w:pPr>
      <w:r w:rsidRPr="00BC6582">
        <w:rPr>
          <w:rFonts w:cs="Arial"/>
          <w:sz w:val="20"/>
          <w:szCs w:val="22"/>
        </w:rPr>
        <w:t xml:space="preserve">When using household income as an indicator of relative material wellbeing, and especially for comparisons with other age-groups, this report takes the view that an </w:t>
      </w:r>
      <w:smartTag w:uri="urn:schemas-microsoft-com:office:smarttags" w:element="stockticker">
        <w:r w:rsidRPr="00BC6582">
          <w:rPr>
            <w:rFonts w:cs="Arial"/>
            <w:sz w:val="20"/>
            <w:szCs w:val="22"/>
          </w:rPr>
          <w:t>AHC</w:t>
        </w:r>
      </w:smartTag>
      <w:r w:rsidRPr="00BC6582">
        <w:rPr>
          <w:rFonts w:cs="Arial"/>
          <w:sz w:val="20"/>
          <w:szCs w:val="22"/>
        </w:rPr>
        <w:t xml:space="preserve"> approach is more useful.  The rationale for this position is set out and discussed in the Introduction (Section A), in Section I and in Appendix 5.</w:t>
      </w:r>
      <w:r>
        <w:rPr>
          <w:rFonts w:cs="Arial"/>
          <w:sz w:val="20"/>
          <w:szCs w:val="22"/>
        </w:rPr>
        <w:t xml:space="preserve">  Comparable figures for the EU or OECD are not available.</w:t>
      </w:r>
    </w:p>
    <w:p w:rsidR="00EE3232" w:rsidRDefault="00EE3232" w:rsidP="00EE3232">
      <w:pPr>
        <w:jc w:val="both"/>
        <w:rPr>
          <w:rFonts w:cs="Arial"/>
          <w:sz w:val="20"/>
          <w:szCs w:val="22"/>
        </w:rPr>
      </w:pPr>
    </w:p>
    <w:p w:rsidR="00EE3232" w:rsidRPr="00131FDB" w:rsidRDefault="00EE3232" w:rsidP="00EE3232">
      <w:pPr>
        <w:autoSpaceDE w:val="0"/>
        <w:autoSpaceDN w:val="0"/>
        <w:adjustRightInd w:val="0"/>
        <w:jc w:val="both"/>
        <w:rPr>
          <w:rFonts w:cs="Arial"/>
          <w:sz w:val="20"/>
          <w:lang w:val="en-US"/>
        </w:rPr>
      </w:pPr>
      <w:r w:rsidRPr="00131FDB">
        <w:rPr>
          <w:rFonts w:cs="Arial"/>
          <w:sz w:val="20"/>
          <w:lang w:val="en-US"/>
        </w:rPr>
        <w:lastRenderedPageBreak/>
        <w:t>None of this is meant to imply that the comparison of household incomes within a country is of little or no use. The point is about the limitations of using household incomes for international comparisons of poverty and material hardship among those in the richer nations (eg OECD or EU), especially when it comes to the relative position of older New Zealanders.</w:t>
      </w:r>
    </w:p>
    <w:p w:rsidR="00EE3232" w:rsidRDefault="00EE3232" w:rsidP="00EE3232">
      <w:pPr>
        <w:autoSpaceDE w:val="0"/>
        <w:autoSpaceDN w:val="0"/>
        <w:adjustRightInd w:val="0"/>
        <w:rPr>
          <w:rFonts w:cs="Arial"/>
          <w:sz w:val="19"/>
          <w:szCs w:val="19"/>
          <w:lang w:val="en-US"/>
        </w:rPr>
      </w:pPr>
    </w:p>
    <w:p w:rsidR="00EE3232" w:rsidRDefault="00EE3232" w:rsidP="00EE3232">
      <w:pPr>
        <w:autoSpaceDE w:val="0"/>
        <w:autoSpaceDN w:val="0"/>
        <w:adjustRightInd w:val="0"/>
        <w:rPr>
          <w:rFonts w:cs="Arial"/>
          <w:sz w:val="19"/>
          <w:szCs w:val="19"/>
          <w:lang w:val="en-US"/>
        </w:rPr>
      </w:pPr>
    </w:p>
    <w:p w:rsidR="00EE3232" w:rsidRPr="00884F5A" w:rsidRDefault="00EE3232" w:rsidP="00EE3232">
      <w:pPr>
        <w:autoSpaceDE w:val="0"/>
        <w:autoSpaceDN w:val="0"/>
        <w:adjustRightInd w:val="0"/>
        <w:rPr>
          <w:rFonts w:cs="Arial"/>
          <w:b/>
          <w:sz w:val="20"/>
          <w:lang w:val="en-US"/>
        </w:rPr>
      </w:pPr>
      <w:r w:rsidRPr="00884F5A">
        <w:rPr>
          <w:rFonts w:cs="Arial"/>
          <w:b/>
          <w:sz w:val="20"/>
          <w:lang w:val="en-US"/>
        </w:rPr>
        <w:t xml:space="preserve">Using </w:t>
      </w:r>
      <w:r>
        <w:rPr>
          <w:rFonts w:cs="Arial"/>
          <w:b/>
          <w:sz w:val="20"/>
          <w:lang w:val="en-US"/>
        </w:rPr>
        <w:t>non-monetary indicators (</w:t>
      </w:r>
      <w:r w:rsidRPr="00884F5A">
        <w:rPr>
          <w:rFonts w:cs="Arial"/>
          <w:b/>
          <w:sz w:val="20"/>
          <w:lang w:val="en-US"/>
        </w:rPr>
        <w:t>NMIs</w:t>
      </w:r>
      <w:r>
        <w:rPr>
          <w:rFonts w:cs="Arial"/>
          <w:b/>
          <w:sz w:val="20"/>
          <w:lang w:val="en-US"/>
        </w:rPr>
        <w:t>) for international comparisons of hardship for older people (65+)</w:t>
      </w:r>
    </w:p>
    <w:p w:rsidR="00EE3232" w:rsidRDefault="00EE3232" w:rsidP="00EE3232">
      <w:pPr>
        <w:autoSpaceDE w:val="0"/>
        <w:autoSpaceDN w:val="0"/>
        <w:adjustRightInd w:val="0"/>
        <w:rPr>
          <w:rFonts w:cs="Arial"/>
          <w:sz w:val="19"/>
          <w:szCs w:val="19"/>
          <w:lang w:val="en-US"/>
        </w:rPr>
      </w:pPr>
    </w:p>
    <w:p w:rsidR="00EE3232" w:rsidRDefault="00EE3232" w:rsidP="00EE3232">
      <w:pPr>
        <w:jc w:val="both"/>
        <w:rPr>
          <w:rFonts w:cs="Arial"/>
          <w:sz w:val="20"/>
        </w:rPr>
      </w:pPr>
      <w:r>
        <w:rPr>
          <w:rFonts w:cs="Arial"/>
          <w:sz w:val="20"/>
        </w:rPr>
        <w:t xml:space="preserve">The use of NMIs or non-income measures provides a useful alternative way of assessing relative material wellbeing.  The EU has developed and adopted an official measure of material hardship (deprivation) using NMIs.  The 2008 New Zealand Living Standards Survey has the EU questions in it and this allows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to be located relative to European countries using the EU index.  See Perry (2009) for full details on this. </w:t>
      </w:r>
    </w:p>
    <w:p w:rsidR="00EE3232" w:rsidRDefault="00EE3232" w:rsidP="00EE3232">
      <w:pPr>
        <w:jc w:val="both"/>
        <w:rPr>
          <w:rFonts w:cs="Arial"/>
          <w:sz w:val="20"/>
        </w:rPr>
      </w:pPr>
    </w:p>
    <w:p w:rsidR="00EE3232" w:rsidRDefault="00EE3232" w:rsidP="00EE3232">
      <w:pPr>
        <w:jc w:val="both"/>
        <w:rPr>
          <w:rFonts w:cs="Arial"/>
          <w:sz w:val="20"/>
        </w:rPr>
      </w:pPr>
      <w:r w:rsidRPr="00E43FEC">
        <w:rPr>
          <w:rFonts w:cs="Arial"/>
          <w:b/>
          <w:sz w:val="20"/>
        </w:rPr>
        <w:t>Figure J.</w:t>
      </w:r>
      <w:r>
        <w:rPr>
          <w:rFonts w:cs="Arial"/>
          <w:b/>
          <w:sz w:val="20"/>
        </w:rPr>
        <w:t>3</w:t>
      </w:r>
      <w:r>
        <w:rPr>
          <w:rFonts w:cs="Arial"/>
          <w:sz w:val="20"/>
        </w:rPr>
        <w:t xml:space="preserve"> shows that older New Zealanders have a much lower deprivation rate (3%) than their counterparts in most European countries.  As for the population as a whole there is a reasonably clear division between the ‘old’ EU countries and those more recently gaining membership.</w:t>
      </w:r>
    </w:p>
    <w:p w:rsidR="00EE3232" w:rsidRDefault="00EE3232" w:rsidP="00EE3232">
      <w:pPr>
        <w:rPr>
          <w:rFonts w:cs="Arial"/>
          <w:b/>
          <w:sz w:val="20"/>
        </w:rPr>
      </w:pPr>
    </w:p>
    <w:p w:rsidR="00EE3232" w:rsidRPr="00870047" w:rsidRDefault="00EE3232" w:rsidP="00EE3232">
      <w:pPr>
        <w:jc w:val="center"/>
        <w:rPr>
          <w:rFonts w:cs="Arial"/>
          <w:b/>
          <w:sz w:val="18"/>
          <w:szCs w:val="18"/>
        </w:rPr>
      </w:pPr>
      <w:r>
        <w:rPr>
          <w:rFonts w:cs="Arial"/>
          <w:b/>
          <w:sz w:val="18"/>
          <w:szCs w:val="18"/>
        </w:rPr>
        <w:t>Figure</w:t>
      </w:r>
      <w:r w:rsidRPr="00870047">
        <w:rPr>
          <w:rFonts w:cs="Arial"/>
          <w:b/>
          <w:sz w:val="18"/>
          <w:szCs w:val="18"/>
        </w:rPr>
        <w:t xml:space="preserve"> </w:t>
      </w:r>
      <w:r>
        <w:rPr>
          <w:rFonts w:cs="Arial"/>
          <w:b/>
          <w:sz w:val="18"/>
          <w:szCs w:val="18"/>
        </w:rPr>
        <w:t>J.3</w:t>
      </w:r>
    </w:p>
    <w:p w:rsidR="00EE3232" w:rsidRDefault="00EE3232" w:rsidP="00EE3232">
      <w:pPr>
        <w:jc w:val="center"/>
        <w:rPr>
          <w:rFonts w:cs="Arial"/>
          <w:b/>
          <w:sz w:val="18"/>
          <w:szCs w:val="18"/>
        </w:rPr>
      </w:pPr>
      <w:r>
        <w:rPr>
          <w:rFonts w:cs="Arial"/>
          <w:b/>
          <w:sz w:val="18"/>
          <w:szCs w:val="18"/>
        </w:rPr>
        <w:t>Deprivation rates (% with 3+ enforced lacks) using the 9 item index (EU-1), those aged 65+</w:t>
      </w:r>
    </w:p>
    <w:p w:rsidR="00EE3232" w:rsidRDefault="00EE3232" w:rsidP="00EE3232">
      <w:pPr>
        <w:jc w:val="center"/>
        <w:rPr>
          <w:rFonts w:cs="Arial"/>
          <w:b/>
          <w:sz w:val="18"/>
          <w:szCs w:val="18"/>
        </w:rPr>
      </w:pPr>
      <w:r w:rsidRPr="00870047">
        <w:rPr>
          <w:rFonts w:cs="Arial"/>
          <w:b/>
          <w:sz w:val="18"/>
          <w:szCs w:val="18"/>
        </w:rPr>
        <w:t>EU</w:t>
      </w:r>
      <w:r>
        <w:rPr>
          <w:rFonts w:cs="Arial"/>
          <w:b/>
          <w:sz w:val="18"/>
          <w:szCs w:val="18"/>
        </w:rPr>
        <w:t>-25</w:t>
      </w:r>
      <w:r w:rsidRPr="00870047">
        <w:rPr>
          <w:rFonts w:cs="Arial"/>
          <w:b/>
          <w:sz w:val="18"/>
          <w:szCs w:val="18"/>
        </w:rPr>
        <w:t xml:space="preserve"> </w:t>
      </w:r>
      <w:r w:rsidRPr="00807370">
        <w:rPr>
          <w:rFonts w:cs="Arial"/>
          <w:sz w:val="18"/>
          <w:szCs w:val="18"/>
        </w:rPr>
        <w:t>-</w:t>
      </w:r>
      <w:r>
        <w:rPr>
          <w:rFonts w:cs="Arial"/>
          <w:b/>
          <w:sz w:val="18"/>
          <w:szCs w:val="18"/>
        </w:rPr>
        <w:t xml:space="preserve"> MT </w:t>
      </w:r>
      <w:r w:rsidRPr="00870047">
        <w:rPr>
          <w:rFonts w:cs="Arial"/>
          <w:b/>
          <w:sz w:val="18"/>
          <w:szCs w:val="18"/>
        </w:rPr>
        <w:t>+ NO + IS</w:t>
      </w:r>
      <w:r>
        <w:rPr>
          <w:rFonts w:cs="Arial"/>
          <w:b/>
          <w:sz w:val="18"/>
          <w:szCs w:val="18"/>
        </w:rPr>
        <w:t xml:space="preserve"> +NZ (EU 2007, NZ 2008)</w:t>
      </w:r>
    </w:p>
    <w:p w:rsidR="00EE3232" w:rsidRPr="005A693C" w:rsidRDefault="00EC0BE0" w:rsidP="00EE3232">
      <w:pPr>
        <w:jc w:val="center"/>
        <w:rPr>
          <w:rFonts w:cs="Arial"/>
          <w:b/>
          <w:sz w:val="20"/>
        </w:rPr>
      </w:pPr>
      <w:r>
        <w:rPr>
          <w:noProof/>
          <w:lang w:val="en-US"/>
        </w:rPr>
        <w:drawing>
          <wp:inline distT="0" distB="0" distL="0" distR="0">
            <wp:extent cx="3914775" cy="23145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srcRect/>
                    <a:stretch>
                      <a:fillRect/>
                    </a:stretch>
                  </pic:blipFill>
                  <pic:spPr bwMode="auto">
                    <a:xfrm>
                      <a:off x="0" y="0"/>
                      <a:ext cx="3914775" cy="2314575"/>
                    </a:xfrm>
                    <a:prstGeom prst="rect">
                      <a:avLst/>
                    </a:prstGeom>
                    <a:noFill/>
                    <a:ln w="9525">
                      <a:noFill/>
                      <a:miter lim="800000"/>
                      <a:headEnd/>
                      <a:tailEnd/>
                    </a:ln>
                  </pic:spPr>
                </pic:pic>
              </a:graphicData>
            </a:graphic>
          </wp:inline>
        </w:drawing>
      </w:r>
    </w:p>
    <w:p w:rsidR="00EE3232" w:rsidRDefault="00EE3232" w:rsidP="00EE3232">
      <w:pPr>
        <w:rPr>
          <w:rFonts w:cs="Arial"/>
          <w:b/>
          <w:sz w:val="20"/>
        </w:rPr>
      </w:pPr>
    </w:p>
    <w:p w:rsidR="00EE3232" w:rsidRPr="00784F56" w:rsidRDefault="00EE3232" w:rsidP="00EE3232">
      <w:pPr>
        <w:rPr>
          <w:rFonts w:cs="Arial"/>
          <w:b/>
          <w:sz w:val="20"/>
        </w:rPr>
      </w:pPr>
    </w:p>
    <w:p w:rsidR="00EE3232" w:rsidRPr="00870047" w:rsidRDefault="00EE3232" w:rsidP="00EE3232">
      <w:pPr>
        <w:jc w:val="center"/>
        <w:rPr>
          <w:rFonts w:cs="Arial"/>
          <w:b/>
          <w:sz w:val="18"/>
          <w:szCs w:val="18"/>
        </w:rPr>
      </w:pPr>
      <w:r>
        <w:rPr>
          <w:rFonts w:cs="Arial"/>
          <w:b/>
          <w:sz w:val="18"/>
          <w:szCs w:val="18"/>
        </w:rPr>
        <w:t>Table</w:t>
      </w:r>
      <w:r w:rsidRPr="00870047">
        <w:rPr>
          <w:rFonts w:cs="Arial"/>
          <w:b/>
          <w:sz w:val="18"/>
          <w:szCs w:val="18"/>
        </w:rPr>
        <w:t xml:space="preserve"> </w:t>
      </w:r>
      <w:r>
        <w:rPr>
          <w:rFonts w:cs="Arial"/>
          <w:b/>
          <w:sz w:val="18"/>
          <w:szCs w:val="18"/>
        </w:rPr>
        <w:t>J.8</w:t>
      </w:r>
    </w:p>
    <w:p w:rsidR="00EE3232" w:rsidRDefault="00EE3232" w:rsidP="00EE3232">
      <w:pPr>
        <w:jc w:val="center"/>
        <w:rPr>
          <w:rFonts w:cs="Arial"/>
          <w:b/>
          <w:sz w:val="18"/>
          <w:szCs w:val="18"/>
        </w:rPr>
      </w:pPr>
      <w:r>
        <w:rPr>
          <w:rFonts w:cs="Arial"/>
          <w:b/>
          <w:sz w:val="18"/>
          <w:szCs w:val="18"/>
        </w:rPr>
        <w:t>Deprivation rates (% with 3+ enforced lacks) using the 9 item index (EU-1), those aged 65+</w:t>
      </w:r>
    </w:p>
    <w:p w:rsidR="00EE3232" w:rsidRDefault="00EE3232" w:rsidP="00EE3232">
      <w:pPr>
        <w:spacing w:after="120"/>
        <w:jc w:val="center"/>
        <w:rPr>
          <w:rFonts w:cs="Arial"/>
          <w:b/>
          <w:sz w:val="18"/>
          <w:szCs w:val="18"/>
        </w:rPr>
      </w:pPr>
      <w:r w:rsidRPr="00870047">
        <w:rPr>
          <w:rFonts w:cs="Arial"/>
          <w:b/>
          <w:sz w:val="18"/>
          <w:szCs w:val="18"/>
        </w:rPr>
        <w:t>EU</w:t>
      </w:r>
      <w:r>
        <w:rPr>
          <w:rFonts w:cs="Arial"/>
          <w:b/>
          <w:sz w:val="18"/>
          <w:szCs w:val="18"/>
        </w:rPr>
        <w:t>-25</w:t>
      </w:r>
      <w:r w:rsidRPr="00870047">
        <w:rPr>
          <w:rFonts w:cs="Arial"/>
          <w:b/>
          <w:sz w:val="18"/>
          <w:szCs w:val="18"/>
        </w:rPr>
        <w:t xml:space="preserve"> </w:t>
      </w:r>
      <w:r w:rsidRPr="00807370">
        <w:rPr>
          <w:rFonts w:cs="Arial"/>
          <w:sz w:val="18"/>
          <w:szCs w:val="18"/>
        </w:rPr>
        <w:t>-</w:t>
      </w:r>
      <w:r>
        <w:rPr>
          <w:rFonts w:cs="Arial"/>
          <w:b/>
          <w:sz w:val="18"/>
          <w:szCs w:val="18"/>
        </w:rPr>
        <w:t xml:space="preserve"> MT </w:t>
      </w:r>
      <w:r w:rsidRPr="00870047">
        <w:rPr>
          <w:rFonts w:cs="Arial"/>
          <w:b/>
          <w:sz w:val="18"/>
          <w:szCs w:val="18"/>
        </w:rPr>
        <w:t>+ NO + IS</w:t>
      </w:r>
      <w:r>
        <w:rPr>
          <w:rFonts w:cs="Arial"/>
          <w:b/>
          <w:sz w:val="18"/>
          <w:szCs w:val="18"/>
        </w:rPr>
        <w:t xml:space="preserve"> +NZ (EU 2007, NZ 2008)</w:t>
      </w:r>
    </w:p>
    <w:tbl>
      <w:tblPr>
        <w:tblStyle w:val="TableGrid"/>
        <w:tblW w:w="0" w:type="auto"/>
        <w:jc w:val="center"/>
        <w:tblInd w:w="31" w:type="dxa"/>
        <w:tblLook w:val="01E0"/>
      </w:tblPr>
      <w:tblGrid>
        <w:gridCol w:w="1344"/>
        <w:gridCol w:w="664"/>
        <w:gridCol w:w="900"/>
        <w:gridCol w:w="1260"/>
        <w:gridCol w:w="720"/>
        <w:gridCol w:w="881"/>
      </w:tblGrid>
      <w:tr w:rsidR="00EE3232">
        <w:trPr>
          <w:jc w:val="center"/>
        </w:trPr>
        <w:tc>
          <w:tcPr>
            <w:tcW w:w="1344" w:type="dxa"/>
            <w:vAlign w:val="center"/>
          </w:tcPr>
          <w:p w:rsidR="00EE3232" w:rsidRPr="007C1A1D" w:rsidRDefault="00EE3232" w:rsidP="00614C04">
            <w:pPr>
              <w:spacing w:before="40" w:after="40"/>
              <w:jc w:val="center"/>
              <w:rPr>
                <w:rFonts w:cs="Arial"/>
                <w:b/>
                <w:sz w:val="14"/>
                <w:szCs w:val="16"/>
              </w:rPr>
            </w:pPr>
          </w:p>
        </w:tc>
        <w:tc>
          <w:tcPr>
            <w:tcW w:w="664" w:type="dxa"/>
            <w:vAlign w:val="center"/>
          </w:tcPr>
          <w:p w:rsidR="00EE3232" w:rsidRPr="007C1A1D" w:rsidRDefault="00EE3232" w:rsidP="00614C04">
            <w:pPr>
              <w:spacing w:before="40" w:after="40"/>
              <w:jc w:val="center"/>
              <w:rPr>
                <w:rFonts w:cs="Arial"/>
                <w:b/>
                <w:sz w:val="14"/>
                <w:szCs w:val="16"/>
              </w:rPr>
            </w:pPr>
          </w:p>
        </w:tc>
        <w:tc>
          <w:tcPr>
            <w:tcW w:w="900" w:type="dxa"/>
            <w:vAlign w:val="center"/>
          </w:tcPr>
          <w:p w:rsidR="00EE3232" w:rsidRPr="007C1A1D" w:rsidRDefault="00EE3232" w:rsidP="00614C04">
            <w:pPr>
              <w:spacing w:before="40" w:after="40"/>
              <w:jc w:val="center"/>
              <w:rPr>
                <w:rFonts w:cs="Arial"/>
                <w:b/>
                <w:sz w:val="14"/>
                <w:szCs w:val="16"/>
              </w:rPr>
            </w:pPr>
            <w:r w:rsidRPr="007C1A1D">
              <w:rPr>
                <w:rFonts w:cs="Arial"/>
                <w:b/>
                <w:sz w:val="14"/>
                <w:szCs w:val="16"/>
              </w:rPr>
              <w:t>% with 3+</w:t>
            </w:r>
          </w:p>
        </w:tc>
        <w:tc>
          <w:tcPr>
            <w:tcW w:w="1260" w:type="dxa"/>
            <w:vAlign w:val="center"/>
          </w:tcPr>
          <w:p w:rsidR="00EE3232" w:rsidRPr="007C1A1D" w:rsidRDefault="00EE3232" w:rsidP="00614C04">
            <w:pPr>
              <w:spacing w:before="40" w:after="40"/>
              <w:jc w:val="center"/>
              <w:rPr>
                <w:rFonts w:cs="Arial"/>
                <w:b/>
                <w:sz w:val="14"/>
                <w:szCs w:val="16"/>
              </w:rPr>
            </w:pPr>
          </w:p>
        </w:tc>
        <w:tc>
          <w:tcPr>
            <w:tcW w:w="720" w:type="dxa"/>
            <w:vAlign w:val="center"/>
          </w:tcPr>
          <w:p w:rsidR="00EE3232" w:rsidRPr="007C1A1D" w:rsidRDefault="00EE3232" w:rsidP="00614C04">
            <w:pPr>
              <w:spacing w:before="40" w:after="40"/>
              <w:jc w:val="center"/>
              <w:rPr>
                <w:rFonts w:cs="Arial"/>
                <w:b/>
                <w:sz w:val="14"/>
                <w:szCs w:val="16"/>
              </w:rPr>
            </w:pPr>
          </w:p>
        </w:tc>
        <w:tc>
          <w:tcPr>
            <w:tcW w:w="881" w:type="dxa"/>
            <w:tcMar>
              <w:left w:w="0" w:type="dxa"/>
              <w:right w:w="0" w:type="dxa"/>
            </w:tcMar>
            <w:vAlign w:val="center"/>
          </w:tcPr>
          <w:p w:rsidR="00EE3232" w:rsidRPr="007C1A1D" w:rsidRDefault="00EE3232" w:rsidP="00614C04">
            <w:pPr>
              <w:spacing w:before="40" w:after="40"/>
              <w:jc w:val="center"/>
              <w:rPr>
                <w:rFonts w:cs="Arial"/>
                <w:b/>
                <w:sz w:val="14"/>
                <w:szCs w:val="16"/>
              </w:rPr>
            </w:pPr>
            <w:r w:rsidRPr="007C1A1D">
              <w:rPr>
                <w:rFonts w:cs="Arial"/>
                <w:b/>
                <w:sz w:val="14"/>
                <w:szCs w:val="16"/>
              </w:rPr>
              <w:t>% with 3+</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Luxembourg</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LU</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Spain</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ES</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11</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Norway</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NO</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Italy</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IT</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14</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Netherlands</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NL</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3</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PlaceName">
                <w:r w:rsidRPr="007C1A1D">
                  <w:rPr>
                    <w:rFonts w:cs="Arial"/>
                    <w:sz w:val="14"/>
                    <w:szCs w:val="16"/>
                  </w:rPr>
                  <w:t>Czech</w:t>
                </w:r>
              </w:smartTag>
              <w:r w:rsidRPr="007C1A1D">
                <w:rPr>
                  <w:rFonts w:cs="Arial"/>
                  <w:sz w:val="14"/>
                  <w:szCs w:val="16"/>
                </w:rPr>
                <w:t xml:space="preserve"> </w:t>
              </w:r>
              <w:smartTag w:uri="urn:schemas-microsoft-com:office:smarttags" w:element="PlaceType">
                <w:r w:rsidRPr="007C1A1D">
                  <w:rPr>
                    <w:rFonts w:cs="Arial"/>
                    <w:sz w:val="14"/>
                    <w:szCs w:val="16"/>
                  </w:rPr>
                  <w:t>Republic</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CZ</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17</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Sweden</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SE</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3</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Slovenia</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SI</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18</w:t>
            </w:r>
          </w:p>
        </w:tc>
      </w:tr>
      <w:tr w:rsidR="00EE3232">
        <w:trPr>
          <w:jc w:val="center"/>
        </w:trPr>
        <w:tc>
          <w:tcPr>
            <w:tcW w:w="1344" w:type="dxa"/>
            <w:vAlign w:val="center"/>
          </w:tcPr>
          <w:p w:rsidR="00EE3232" w:rsidRPr="007C1A1D" w:rsidRDefault="00EE3232" w:rsidP="00614C04">
            <w:pPr>
              <w:spacing w:before="40" w:after="40"/>
              <w:rPr>
                <w:rFonts w:cs="Arial"/>
                <w:b/>
                <w:sz w:val="14"/>
                <w:szCs w:val="16"/>
              </w:rPr>
            </w:pPr>
            <w:smartTag w:uri="urn:schemas-microsoft-com:office:smarttags" w:element="place">
              <w:smartTag w:uri="urn:schemas-microsoft-com:office:smarttags" w:element="country-region">
                <w:r w:rsidRPr="007C1A1D">
                  <w:rPr>
                    <w:rFonts w:cs="Arial"/>
                    <w:b/>
                    <w:sz w:val="14"/>
                    <w:szCs w:val="16"/>
                  </w:rPr>
                  <w:t>New Zealand</w:t>
                </w:r>
              </w:smartTag>
            </w:smartTag>
          </w:p>
        </w:tc>
        <w:tc>
          <w:tcPr>
            <w:tcW w:w="664" w:type="dxa"/>
            <w:vAlign w:val="center"/>
          </w:tcPr>
          <w:p w:rsidR="00EE3232" w:rsidRPr="007C1A1D" w:rsidRDefault="00EE3232" w:rsidP="00614C04">
            <w:pPr>
              <w:spacing w:before="40" w:after="40"/>
              <w:jc w:val="center"/>
              <w:rPr>
                <w:rFonts w:cs="Arial"/>
                <w:b/>
                <w:sz w:val="14"/>
                <w:szCs w:val="16"/>
              </w:rPr>
            </w:pPr>
            <w:r w:rsidRPr="007C1A1D">
              <w:rPr>
                <w:rFonts w:cs="Arial"/>
                <w:b/>
                <w:sz w:val="14"/>
                <w:szCs w:val="16"/>
              </w:rPr>
              <w:t>NZ</w:t>
            </w:r>
          </w:p>
        </w:tc>
        <w:tc>
          <w:tcPr>
            <w:tcW w:w="900" w:type="dxa"/>
            <w:vAlign w:val="center"/>
          </w:tcPr>
          <w:p w:rsidR="00EE3232" w:rsidRPr="007C1A1D" w:rsidRDefault="00EE3232" w:rsidP="00614C04">
            <w:pPr>
              <w:spacing w:before="40" w:after="40"/>
              <w:jc w:val="center"/>
              <w:rPr>
                <w:rFonts w:cs="Arial"/>
                <w:b/>
                <w:sz w:val="14"/>
                <w:szCs w:val="16"/>
              </w:rPr>
            </w:pPr>
            <w:r w:rsidRPr="007C1A1D">
              <w:rPr>
                <w:rFonts w:cs="Arial"/>
                <w:b/>
                <w:sz w:val="14"/>
                <w:szCs w:val="16"/>
              </w:rPr>
              <w:t>3</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Estonia</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EE</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20</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Denmark</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DK</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Portugal</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PT</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26</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Ireland</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IE</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Greece</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GR</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29</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Iceland</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IS</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Hungary</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HU</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35</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United Kingdom</w:t>
                </w:r>
              </w:smartTag>
            </w:smartTag>
          </w:p>
        </w:tc>
        <w:tc>
          <w:tcPr>
            <w:tcW w:w="664" w:type="dxa"/>
            <w:vAlign w:val="center"/>
          </w:tcPr>
          <w:p w:rsidR="00EE3232" w:rsidRPr="007C1A1D" w:rsidRDefault="00EE3232" w:rsidP="00614C04">
            <w:pPr>
              <w:spacing w:before="40" w:after="40"/>
              <w:jc w:val="center"/>
              <w:rPr>
                <w:rFonts w:cs="Arial"/>
                <w:sz w:val="14"/>
                <w:szCs w:val="16"/>
              </w:rPr>
            </w:pPr>
            <w:smartTag w:uri="urn:schemas-microsoft-com:office:smarttags" w:element="place">
              <w:smartTag w:uri="urn:schemas-microsoft-com:office:smarttags" w:element="country-region">
                <w:r w:rsidRPr="007C1A1D">
                  <w:rPr>
                    <w:rFonts w:cs="Arial"/>
                    <w:sz w:val="14"/>
                    <w:szCs w:val="16"/>
                  </w:rPr>
                  <w:t>UK</w:t>
                </w:r>
              </w:smartTag>
            </w:smartTag>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5</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Lithuania</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LT</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39</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Germany</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DE</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7</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Poland</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PL</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41</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Finland</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FI</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8</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Slovakia</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SK</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42</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France</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FR</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8</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Cyprus</w:t>
                </w:r>
              </w:smartTag>
            </w:smartTag>
          </w:p>
        </w:tc>
        <w:tc>
          <w:tcPr>
            <w:tcW w:w="72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CY</w:t>
            </w:r>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44</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Austria</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AT</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10</w:t>
            </w:r>
          </w:p>
        </w:tc>
        <w:tc>
          <w:tcPr>
            <w:tcW w:w="1260"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Latvia</w:t>
                </w:r>
              </w:smartTag>
            </w:smartTag>
          </w:p>
        </w:tc>
        <w:tc>
          <w:tcPr>
            <w:tcW w:w="720" w:type="dxa"/>
            <w:vAlign w:val="center"/>
          </w:tcPr>
          <w:p w:rsidR="00EE3232" w:rsidRPr="007C1A1D" w:rsidRDefault="00EE3232" w:rsidP="00614C04">
            <w:pPr>
              <w:spacing w:before="40" w:after="40"/>
              <w:jc w:val="center"/>
              <w:rPr>
                <w:rFonts w:cs="Arial"/>
                <w:sz w:val="14"/>
                <w:szCs w:val="16"/>
              </w:rPr>
            </w:pPr>
            <w:smartTag w:uri="urn:schemas-microsoft-com:office:smarttags" w:element="place">
              <w:smartTag w:uri="urn:schemas-microsoft-com:office:smarttags" w:element="City">
                <w:r w:rsidRPr="007C1A1D">
                  <w:rPr>
                    <w:rFonts w:cs="Arial"/>
                    <w:sz w:val="14"/>
                    <w:szCs w:val="16"/>
                  </w:rPr>
                  <w:t>LV</w:t>
                </w:r>
              </w:smartTag>
            </w:smartTag>
          </w:p>
        </w:tc>
        <w:tc>
          <w:tcPr>
            <w:tcW w:w="881"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59</w:t>
            </w:r>
          </w:p>
        </w:tc>
      </w:tr>
      <w:tr w:rsidR="00EE3232">
        <w:trPr>
          <w:jc w:val="center"/>
        </w:trPr>
        <w:tc>
          <w:tcPr>
            <w:tcW w:w="1344" w:type="dxa"/>
            <w:vAlign w:val="center"/>
          </w:tcPr>
          <w:p w:rsidR="00EE3232" w:rsidRPr="007C1A1D" w:rsidRDefault="00EE3232" w:rsidP="00614C04">
            <w:pPr>
              <w:spacing w:before="40" w:after="40"/>
              <w:rPr>
                <w:rFonts w:cs="Arial"/>
                <w:sz w:val="14"/>
                <w:szCs w:val="16"/>
              </w:rPr>
            </w:pPr>
            <w:smartTag w:uri="urn:schemas-microsoft-com:office:smarttags" w:element="place">
              <w:smartTag w:uri="urn:schemas-microsoft-com:office:smarttags" w:element="country-region">
                <w:r w:rsidRPr="007C1A1D">
                  <w:rPr>
                    <w:rFonts w:cs="Arial"/>
                    <w:sz w:val="14"/>
                    <w:szCs w:val="16"/>
                  </w:rPr>
                  <w:t>Belgium</w:t>
                </w:r>
              </w:smartTag>
            </w:smartTag>
          </w:p>
        </w:tc>
        <w:tc>
          <w:tcPr>
            <w:tcW w:w="664"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BE</w:t>
            </w:r>
          </w:p>
        </w:tc>
        <w:tc>
          <w:tcPr>
            <w:tcW w:w="900" w:type="dxa"/>
            <w:vAlign w:val="center"/>
          </w:tcPr>
          <w:p w:rsidR="00EE3232" w:rsidRPr="007C1A1D" w:rsidRDefault="00EE3232" w:rsidP="00614C04">
            <w:pPr>
              <w:spacing w:before="40" w:after="40"/>
              <w:jc w:val="center"/>
              <w:rPr>
                <w:rFonts w:cs="Arial"/>
                <w:sz w:val="14"/>
                <w:szCs w:val="16"/>
              </w:rPr>
            </w:pPr>
            <w:r w:rsidRPr="007C1A1D">
              <w:rPr>
                <w:rFonts w:cs="Arial"/>
                <w:sz w:val="14"/>
                <w:szCs w:val="16"/>
              </w:rPr>
              <w:t>10</w:t>
            </w:r>
          </w:p>
        </w:tc>
        <w:tc>
          <w:tcPr>
            <w:tcW w:w="1260" w:type="dxa"/>
            <w:vAlign w:val="center"/>
          </w:tcPr>
          <w:p w:rsidR="00EE3232" w:rsidRPr="007C1A1D" w:rsidRDefault="00EE3232" w:rsidP="00614C04">
            <w:pPr>
              <w:spacing w:before="40" w:after="40"/>
              <w:jc w:val="center"/>
              <w:rPr>
                <w:rFonts w:cs="Arial"/>
                <w:sz w:val="14"/>
                <w:szCs w:val="16"/>
              </w:rPr>
            </w:pPr>
          </w:p>
        </w:tc>
        <w:tc>
          <w:tcPr>
            <w:tcW w:w="720" w:type="dxa"/>
            <w:vAlign w:val="center"/>
          </w:tcPr>
          <w:p w:rsidR="00EE3232" w:rsidRPr="007C1A1D" w:rsidRDefault="00EE3232" w:rsidP="00614C04">
            <w:pPr>
              <w:spacing w:before="40" w:after="40"/>
              <w:jc w:val="center"/>
              <w:rPr>
                <w:rFonts w:cs="Arial"/>
                <w:sz w:val="14"/>
                <w:szCs w:val="16"/>
              </w:rPr>
            </w:pPr>
          </w:p>
        </w:tc>
        <w:tc>
          <w:tcPr>
            <w:tcW w:w="881" w:type="dxa"/>
            <w:vAlign w:val="center"/>
          </w:tcPr>
          <w:p w:rsidR="00EE3232" w:rsidRPr="007C1A1D" w:rsidRDefault="00EE3232" w:rsidP="00614C04">
            <w:pPr>
              <w:spacing w:before="40" w:after="40"/>
              <w:jc w:val="center"/>
              <w:rPr>
                <w:rFonts w:cs="Arial"/>
                <w:sz w:val="14"/>
                <w:szCs w:val="16"/>
              </w:rPr>
            </w:pPr>
          </w:p>
        </w:tc>
      </w:tr>
    </w:tbl>
    <w:p w:rsidR="00EE3232" w:rsidRDefault="00EE3232" w:rsidP="00EE3232">
      <w:pPr>
        <w:jc w:val="center"/>
        <w:rPr>
          <w:rFonts w:cs="Arial"/>
          <w:b/>
          <w:sz w:val="18"/>
          <w:szCs w:val="18"/>
        </w:rPr>
      </w:pPr>
    </w:p>
    <w:p w:rsidR="00EE3232" w:rsidRPr="000E447F" w:rsidRDefault="00EE3232" w:rsidP="00EE3232">
      <w:pPr>
        <w:rPr>
          <w:b/>
          <w:sz w:val="24"/>
          <w:szCs w:val="24"/>
        </w:rPr>
      </w:pPr>
      <w:r>
        <w:rPr>
          <w:rFonts w:cs="Arial"/>
          <w:b/>
          <w:sz w:val="18"/>
          <w:szCs w:val="18"/>
        </w:rPr>
        <w:br w:type="page"/>
      </w:r>
      <w:r w:rsidRPr="000E447F">
        <w:rPr>
          <w:b/>
          <w:sz w:val="24"/>
          <w:szCs w:val="24"/>
        </w:rPr>
        <w:lastRenderedPageBreak/>
        <w:t>International comparisons of income inequality</w:t>
      </w:r>
    </w:p>
    <w:p w:rsidR="00EE3232" w:rsidRPr="00385190" w:rsidRDefault="00EE3232" w:rsidP="00EE3232">
      <w:pPr>
        <w:jc w:val="both"/>
        <w:rPr>
          <w:rFonts w:cs="Arial"/>
          <w:sz w:val="20"/>
          <w:szCs w:val="22"/>
          <w:u w:val="single"/>
        </w:rPr>
      </w:pPr>
    </w:p>
    <w:p w:rsidR="00EE3232" w:rsidRPr="00385190" w:rsidRDefault="00EE3232" w:rsidP="00EE3232">
      <w:pPr>
        <w:jc w:val="both"/>
        <w:rPr>
          <w:rFonts w:cs="Arial"/>
          <w:sz w:val="20"/>
          <w:szCs w:val="22"/>
        </w:rPr>
      </w:pPr>
      <w:r w:rsidRPr="00385190">
        <w:rPr>
          <w:rFonts w:cs="Arial"/>
          <w:sz w:val="20"/>
          <w:szCs w:val="22"/>
        </w:rPr>
        <w:t xml:space="preserve">The latest full set of information available from the OECD is for around </w:t>
      </w:r>
      <w:r>
        <w:rPr>
          <w:rFonts w:cs="Arial"/>
          <w:sz w:val="20"/>
          <w:szCs w:val="22"/>
        </w:rPr>
        <w:t>2008 and 2009</w:t>
      </w:r>
      <w:r w:rsidRPr="00385190">
        <w:rPr>
          <w:rFonts w:cs="Arial"/>
          <w:sz w:val="20"/>
          <w:szCs w:val="22"/>
        </w:rPr>
        <w:t>. International comparisons are given for the Gini coefficient and the P90/P10 ratio.  The OECD sources do not have comparisons for the P80/P20 ratio.</w:t>
      </w:r>
    </w:p>
    <w:p w:rsidR="00EE3232" w:rsidRPr="00385190" w:rsidRDefault="00EE3232" w:rsidP="00EE3232">
      <w:pPr>
        <w:jc w:val="both"/>
        <w:rPr>
          <w:rFonts w:cs="Arial"/>
          <w:sz w:val="20"/>
          <w:szCs w:val="22"/>
        </w:rPr>
      </w:pPr>
    </w:p>
    <w:p w:rsidR="00EE3232" w:rsidRPr="00385190" w:rsidRDefault="00EE3232" w:rsidP="00EE3232">
      <w:pPr>
        <w:jc w:val="both"/>
        <w:rPr>
          <w:rFonts w:cs="Arial"/>
          <w:sz w:val="20"/>
          <w:szCs w:val="22"/>
        </w:rPr>
      </w:pPr>
      <w:r w:rsidRPr="00385190">
        <w:rPr>
          <w:rFonts w:cs="Arial"/>
          <w:sz w:val="20"/>
          <w:szCs w:val="22"/>
        </w:rPr>
        <w:t>In contrast to the percentile ratios the Gini coefficient takes the incomes of all individuals into account.  It gives a summary of the income differences between each person in the population and every other person in the population.  A difference of, say, $1000 between two high-income people contributes as much to the index as a difference of $1000 between two low-income people.   The Gini scores (x100) range from 0 to 100 with scores closer to 100 indicating higher inequality and those nearer zero indicating lower inequality (ie greater equality).</w:t>
      </w:r>
    </w:p>
    <w:p w:rsidR="00EE3232" w:rsidRPr="00385190" w:rsidRDefault="00EE3232" w:rsidP="00EE3232">
      <w:pPr>
        <w:jc w:val="both"/>
        <w:rPr>
          <w:rFonts w:cs="Arial"/>
          <w:b/>
          <w:sz w:val="20"/>
          <w:szCs w:val="22"/>
        </w:rPr>
      </w:pPr>
    </w:p>
    <w:p w:rsidR="00EE3232" w:rsidRPr="00385190" w:rsidRDefault="00EE3232" w:rsidP="00EE3232">
      <w:pPr>
        <w:jc w:val="both"/>
        <w:rPr>
          <w:rFonts w:cs="Arial"/>
          <w:b/>
          <w:sz w:val="20"/>
          <w:szCs w:val="22"/>
        </w:rPr>
      </w:pPr>
    </w:p>
    <w:p w:rsidR="00EE3232" w:rsidRPr="00385190" w:rsidRDefault="00EE3232" w:rsidP="00EE3232">
      <w:pPr>
        <w:jc w:val="both"/>
        <w:rPr>
          <w:rFonts w:cs="Arial"/>
          <w:b/>
          <w:sz w:val="20"/>
          <w:szCs w:val="22"/>
        </w:rPr>
      </w:pPr>
      <w:r w:rsidRPr="00385190">
        <w:rPr>
          <w:rFonts w:cs="Arial"/>
          <w:b/>
          <w:sz w:val="20"/>
          <w:szCs w:val="22"/>
        </w:rPr>
        <w:t>Inequality comparisons using the Gini coefficient (c 200</w:t>
      </w:r>
      <w:r>
        <w:rPr>
          <w:rFonts w:cs="Arial"/>
          <w:b/>
          <w:sz w:val="20"/>
          <w:szCs w:val="22"/>
        </w:rPr>
        <w:t>8-2009</w:t>
      </w:r>
      <w:r w:rsidRPr="00385190">
        <w:rPr>
          <w:rFonts w:cs="Arial"/>
          <w:b/>
          <w:sz w:val="20"/>
          <w:szCs w:val="22"/>
        </w:rPr>
        <w:t>)</w:t>
      </w:r>
      <w:r>
        <w:rPr>
          <w:rFonts w:cs="Arial"/>
          <w:b/>
          <w:sz w:val="20"/>
          <w:szCs w:val="22"/>
        </w:rPr>
        <w:t xml:space="preserve"> for the whole population</w:t>
      </w:r>
      <w:r>
        <w:rPr>
          <w:rStyle w:val="FootnoteReference"/>
          <w:rFonts w:cs="Arial"/>
          <w:sz w:val="20"/>
          <w:szCs w:val="22"/>
        </w:rPr>
        <w:footnoteReference w:id="92"/>
      </w:r>
    </w:p>
    <w:p w:rsidR="00EE3232" w:rsidRPr="00385190" w:rsidRDefault="00EE3232" w:rsidP="00EE3232">
      <w:pPr>
        <w:jc w:val="both"/>
        <w:rPr>
          <w:rFonts w:cs="Arial"/>
          <w:sz w:val="20"/>
          <w:szCs w:val="22"/>
        </w:rPr>
      </w:pPr>
    </w:p>
    <w:p w:rsidR="00EE3232" w:rsidRDefault="00EE3232" w:rsidP="00EE3232">
      <w:pPr>
        <w:jc w:val="both"/>
        <w:rPr>
          <w:rFonts w:cs="Arial"/>
          <w:sz w:val="20"/>
        </w:rPr>
      </w:pPr>
      <w:r w:rsidRPr="00385190">
        <w:rPr>
          <w:rFonts w:cs="Arial"/>
          <w:b/>
          <w:sz w:val="20"/>
          <w:szCs w:val="22"/>
        </w:rPr>
        <w:t>Figure J.</w:t>
      </w:r>
      <w:r>
        <w:rPr>
          <w:rFonts w:cs="Arial"/>
          <w:b/>
          <w:sz w:val="20"/>
          <w:szCs w:val="22"/>
        </w:rPr>
        <w:t>4</w:t>
      </w:r>
      <w:r w:rsidRPr="00385190">
        <w:rPr>
          <w:rFonts w:cs="Arial"/>
          <w:sz w:val="20"/>
          <w:szCs w:val="22"/>
        </w:rPr>
        <w:t xml:space="preserve"> shows inequality rankings for 3</w:t>
      </w:r>
      <w:r>
        <w:rPr>
          <w:rFonts w:cs="Arial"/>
          <w:sz w:val="20"/>
          <w:szCs w:val="22"/>
        </w:rPr>
        <w:t>4</w:t>
      </w:r>
      <w:r w:rsidRPr="00385190">
        <w:rPr>
          <w:rFonts w:cs="Arial"/>
          <w:sz w:val="20"/>
          <w:szCs w:val="22"/>
        </w:rPr>
        <w:t xml:space="preserve"> OECD countries for around 200</w:t>
      </w:r>
      <w:r>
        <w:rPr>
          <w:rFonts w:cs="Arial"/>
          <w:sz w:val="20"/>
          <w:szCs w:val="22"/>
        </w:rPr>
        <w:t>8-2009</w:t>
      </w:r>
      <w:r w:rsidRPr="00385190">
        <w:rPr>
          <w:rFonts w:cs="Arial"/>
          <w:sz w:val="20"/>
          <w:szCs w:val="22"/>
        </w:rPr>
        <w:t xml:space="preserve"> using the Gini coefficient.  </w:t>
      </w:r>
      <w:smartTag w:uri="urn:schemas-microsoft-com:office:smarttags" w:element="place">
        <w:smartTag w:uri="urn:schemas-microsoft-com:office:smarttags" w:element="country-region">
          <w:r w:rsidRPr="00385190">
            <w:rPr>
              <w:rFonts w:cs="Arial"/>
              <w:sz w:val="20"/>
              <w:szCs w:val="22"/>
            </w:rPr>
            <w:t>New Zealand</w:t>
          </w:r>
        </w:smartTag>
      </w:smartTag>
      <w:r w:rsidRPr="00385190">
        <w:rPr>
          <w:rFonts w:cs="Arial"/>
          <w:sz w:val="20"/>
          <w:szCs w:val="22"/>
        </w:rPr>
        <w:t>’s score of 3</w:t>
      </w:r>
      <w:r>
        <w:rPr>
          <w:rFonts w:cs="Arial"/>
          <w:sz w:val="20"/>
          <w:szCs w:val="22"/>
        </w:rPr>
        <w:t>3</w:t>
      </w:r>
      <w:r w:rsidRPr="00385190">
        <w:rPr>
          <w:rFonts w:cs="Arial"/>
          <w:sz w:val="20"/>
          <w:szCs w:val="22"/>
        </w:rPr>
        <w:t xml:space="preserve"> gave a ranking of 2</w:t>
      </w:r>
      <w:r>
        <w:rPr>
          <w:rFonts w:cs="Arial"/>
          <w:sz w:val="20"/>
          <w:szCs w:val="22"/>
        </w:rPr>
        <w:t>5th</w:t>
      </w:r>
      <w:r w:rsidRPr="00385190">
        <w:rPr>
          <w:rFonts w:cs="Arial"/>
          <w:sz w:val="20"/>
          <w:szCs w:val="22"/>
        </w:rPr>
        <w:t xml:space="preserve"> out of 3</w:t>
      </w:r>
      <w:r>
        <w:rPr>
          <w:rFonts w:cs="Arial"/>
          <w:sz w:val="20"/>
          <w:szCs w:val="22"/>
        </w:rPr>
        <w:t>4</w:t>
      </w:r>
      <w:r w:rsidRPr="00385190">
        <w:rPr>
          <w:rFonts w:cs="Arial"/>
          <w:sz w:val="20"/>
          <w:szCs w:val="22"/>
        </w:rPr>
        <w:t xml:space="preserve">.   </w:t>
      </w:r>
      <w:r>
        <w:rPr>
          <w:rFonts w:cs="Arial"/>
          <w:sz w:val="20"/>
          <w:szCs w:val="22"/>
        </w:rPr>
        <w:t>Rankings are not generally a useful way of comparing countries as there is often a clustering that can mean that a very minor difference in score can be the difference between a ranking of, say, 10th and 17</w:t>
      </w:r>
      <w:r w:rsidRPr="007052AF">
        <w:rPr>
          <w:rFonts w:cs="Arial"/>
          <w:sz w:val="20"/>
          <w:szCs w:val="22"/>
          <w:vertAlign w:val="superscript"/>
        </w:rPr>
        <w:t>th</w:t>
      </w:r>
      <w:r>
        <w:rPr>
          <w:rFonts w:cs="Arial"/>
          <w:sz w:val="20"/>
          <w:szCs w:val="22"/>
        </w:rPr>
        <w:t xml:space="preserve">.  Distance from the median and relativity to countries with whom comparisons are traditionally made are more useful approaches.  </w:t>
      </w:r>
      <w:r w:rsidRPr="001B4C44">
        <w:rPr>
          <w:rFonts w:cs="Arial"/>
          <w:sz w:val="20"/>
        </w:rPr>
        <w:t>On the latest OECD figures (</w:t>
      </w:r>
      <w:r>
        <w:rPr>
          <w:rFonts w:cs="Arial"/>
          <w:sz w:val="20"/>
        </w:rPr>
        <w:t>c2008-09</w:t>
      </w:r>
      <w:r w:rsidRPr="001B4C44">
        <w:rPr>
          <w:rFonts w:cs="Arial"/>
          <w:sz w:val="20"/>
        </w:rPr>
        <w:t xml:space="preserve">), New Zealand’s </w:t>
      </w:r>
      <w:r>
        <w:rPr>
          <w:rFonts w:cs="Arial"/>
          <w:sz w:val="20"/>
        </w:rPr>
        <w:t xml:space="preserve">Gini </w:t>
      </w:r>
      <w:r w:rsidRPr="001B4C44">
        <w:rPr>
          <w:rFonts w:cs="Arial"/>
          <w:sz w:val="20"/>
        </w:rPr>
        <w:t xml:space="preserve">score of 33 was </w:t>
      </w:r>
      <w:r>
        <w:rPr>
          <w:rFonts w:cs="Arial"/>
          <w:sz w:val="20"/>
        </w:rPr>
        <w:t>close to those of</w:t>
      </w:r>
      <w:r w:rsidRPr="001B4C44">
        <w:rPr>
          <w:rFonts w:cs="Arial"/>
          <w:sz w:val="20"/>
        </w:rPr>
        <w:t xml:space="preserve"> Australia and the UK (34), Japan</w:t>
      </w:r>
      <w:r>
        <w:rPr>
          <w:rFonts w:cs="Arial"/>
          <w:sz w:val="20"/>
        </w:rPr>
        <w:t xml:space="preserve"> (33)</w:t>
      </w:r>
      <w:r w:rsidRPr="001B4C44">
        <w:rPr>
          <w:rFonts w:cs="Arial"/>
          <w:sz w:val="20"/>
        </w:rPr>
        <w:t xml:space="preserve"> and Canada</w:t>
      </w:r>
      <w:r>
        <w:rPr>
          <w:rFonts w:cs="Arial"/>
          <w:sz w:val="20"/>
        </w:rPr>
        <w:t xml:space="preserve"> (32)</w:t>
      </w:r>
      <w:r w:rsidRPr="001B4C44">
        <w:rPr>
          <w:rFonts w:cs="Arial"/>
          <w:sz w:val="20"/>
        </w:rPr>
        <w:t xml:space="preserve">, and a little above the OECD-34 median (31). </w:t>
      </w:r>
      <w:r>
        <w:rPr>
          <w:rFonts w:cs="Arial"/>
          <w:sz w:val="20"/>
        </w:rPr>
        <w:t xml:space="preserve"> Countries such as </w:t>
      </w:r>
      <w:smartTag w:uri="urn:schemas-microsoft-com:office:smarttags" w:element="country-region">
        <w:r>
          <w:rPr>
            <w:rFonts w:cs="Arial"/>
            <w:sz w:val="20"/>
          </w:rPr>
          <w:t>Denmark</w:t>
        </w:r>
      </w:smartTag>
      <w:r>
        <w:rPr>
          <w:rFonts w:cs="Arial"/>
          <w:sz w:val="20"/>
        </w:rPr>
        <w:t xml:space="preserve">, </w:t>
      </w:r>
      <w:smartTag w:uri="urn:schemas-microsoft-com:office:smarttags" w:element="country-region">
        <w:r>
          <w:rPr>
            <w:rFonts w:cs="Arial"/>
            <w:sz w:val="20"/>
          </w:rPr>
          <w:t>Norway</w:t>
        </w:r>
      </w:smartTag>
      <w:r>
        <w:rPr>
          <w:rFonts w:cs="Arial"/>
          <w:sz w:val="20"/>
        </w:rPr>
        <w:t xml:space="preserve"> and </w:t>
      </w:r>
      <w:smartTag w:uri="urn:schemas-microsoft-com:office:smarttags" w:element="place">
        <w:smartTag w:uri="urn:schemas-microsoft-com:office:smarttags" w:element="country-region">
          <w:r>
            <w:rPr>
              <w:rFonts w:cs="Arial"/>
              <w:sz w:val="20"/>
            </w:rPr>
            <w:t>Sweden</w:t>
          </w:r>
        </w:smartTag>
      </w:smartTag>
      <w:r>
        <w:rPr>
          <w:rFonts w:cs="Arial"/>
          <w:sz w:val="20"/>
        </w:rPr>
        <w:t xml:space="preserve"> have lower than average inequality (Ginis of 25-26).  The </w:t>
      </w:r>
      <w:smartTag w:uri="urn:schemas-microsoft-com:office:smarttags" w:element="place">
        <w:smartTag w:uri="urn:schemas-microsoft-com:office:smarttags" w:element="country-region">
          <w:r>
            <w:rPr>
              <w:rFonts w:cs="Arial"/>
              <w:sz w:val="20"/>
            </w:rPr>
            <w:t>US</w:t>
          </w:r>
        </w:smartTag>
      </w:smartTag>
      <w:r>
        <w:rPr>
          <w:rFonts w:cs="Arial"/>
          <w:sz w:val="20"/>
        </w:rPr>
        <w:t xml:space="preserve"> score was 38.  </w:t>
      </w:r>
    </w:p>
    <w:p w:rsidR="00EE3232" w:rsidRPr="00385190" w:rsidRDefault="00EE3232" w:rsidP="00EE3232">
      <w:pPr>
        <w:jc w:val="both"/>
        <w:rPr>
          <w:rFonts w:cs="Arial"/>
          <w:sz w:val="20"/>
          <w:szCs w:val="22"/>
        </w:rPr>
      </w:pPr>
    </w:p>
    <w:p w:rsidR="00EE3232" w:rsidRPr="00385190" w:rsidRDefault="00EE3232" w:rsidP="00EE3232">
      <w:pPr>
        <w:jc w:val="center"/>
        <w:rPr>
          <w:rFonts w:cs="Arial"/>
          <w:b/>
          <w:sz w:val="18"/>
        </w:rPr>
      </w:pPr>
      <w:r w:rsidRPr="00385190">
        <w:rPr>
          <w:rFonts w:cs="Arial"/>
          <w:b/>
          <w:sz w:val="18"/>
        </w:rPr>
        <w:t>Figure J.</w:t>
      </w:r>
      <w:r>
        <w:rPr>
          <w:rFonts w:cs="Arial"/>
          <w:b/>
          <w:sz w:val="18"/>
        </w:rPr>
        <w:t>4</w:t>
      </w:r>
    </w:p>
    <w:p w:rsidR="00EE3232" w:rsidRPr="00385190" w:rsidRDefault="00EE3232" w:rsidP="00EE3232">
      <w:pPr>
        <w:jc w:val="center"/>
        <w:rPr>
          <w:rFonts w:cs="Arial"/>
          <w:sz w:val="18"/>
          <w:u w:val="single"/>
        </w:rPr>
      </w:pPr>
      <w:r w:rsidRPr="00385190">
        <w:rPr>
          <w:rFonts w:cs="Arial"/>
          <w:b/>
          <w:sz w:val="18"/>
        </w:rPr>
        <w:t>Income inequality across the OECD: Gini coefficients</w:t>
      </w:r>
      <w:r>
        <w:rPr>
          <w:rFonts w:cs="Arial"/>
          <w:b/>
          <w:sz w:val="18"/>
        </w:rPr>
        <w:t xml:space="preserve"> (x100)</w:t>
      </w:r>
      <w:r w:rsidRPr="00385190">
        <w:rPr>
          <w:rFonts w:cs="Arial"/>
          <w:b/>
          <w:sz w:val="18"/>
        </w:rPr>
        <w:t xml:space="preserve"> for around 200</w:t>
      </w:r>
      <w:r>
        <w:rPr>
          <w:rFonts w:cs="Arial"/>
          <w:b/>
          <w:sz w:val="18"/>
        </w:rPr>
        <w:t>8-09, whole population</w:t>
      </w:r>
    </w:p>
    <w:p w:rsidR="00EE3232" w:rsidRPr="00771D24" w:rsidRDefault="00EC0BE0" w:rsidP="00EE3232">
      <w:pPr>
        <w:jc w:val="center"/>
        <w:rPr>
          <w:szCs w:val="22"/>
        </w:rPr>
      </w:pPr>
      <w:r>
        <w:rPr>
          <w:noProof/>
          <w:lang w:val="en-US"/>
        </w:rPr>
        <w:drawing>
          <wp:inline distT="0" distB="0" distL="0" distR="0">
            <wp:extent cx="5676900" cy="3952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a:srcRect/>
                    <a:stretch>
                      <a:fillRect/>
                    </a:stretch>
                  </pic:blipFill>
                  <pic:spPr bwMode="auto">
                    <a:xfrm>
                      <a:off x="0" y="0"/>
                      <a:ext cx="5676900" cy="3952875"/>
                    </a:xfrm>
                    <a:prstGeom prst="rect">
                      <a:avLst/>
                    </a:prstGeom>
                    <a:noFill/>
                    <a:ln w="9525">
                      <a:noFill/>
                      <a:miter lim="800000"/>
                      <a:headEnd/>
                      <a:tailEnd/>
                    </a:ln>
                  </pic:spPr>
                </pic:pic>
              </a:graphicData>
            </a:graphic>
          </wp:inline>
        </w:drawing>
      </w:r>
    </w:p>
    <w:p w:rsidR="00EE3232" w:rsidRPr="008F72D2" w:rsidRDefault="00EE3232" w:rsidP="00EE3232">
      <w:pPr>
        <w:ind w:left="1800" w:right="1195" w:hanging="720"/>
        <w:jc w:val="both"/>
        <w:rPr>
          <w:rFonts w:cs="Arial"/>
          <w:b/>
          <w:sz w:val="16"/>
          <w:szCs w:val="16"/>
          <w:lang w:val="en-US"/>
        </w:rPr>
      </w:pPr>
      <w:r w:rsidRPr="008F72D2">
        <w:rPr>
          <w:rFonts w:cs="Arial"/>
          <w:sz w:val="16"/>
          <w:szCs w:val="16"/>
          <w:u w:val="single"/>
          <w:lang w:val="fr-FR"/>
        </w:rPr>
        <w:t>Source:</w:t>
      </w:r>
      <w:r w:rsidRPr="008F72D2">
        <w:rPr>
          <w:rFonts w:cs="Arial"/>
          <w:sz w:val="16"/>
          <w:szCs w:val="16"/>
          <w:lang w:val="fr-FR"/>
        </w:rPr>
        <w:tab/>
        <w:t>OECD (20</w:t>
      </w:r>
      <w:r>
        <w:rPr>
          <w:rFonts w:cs="Arial"/>
          <w:sz w:val="16"/>
          <w:szCs w:val="16"/>
          <w:lang w:val="fr-FR"/>
        </w:rPr>
        <w:t>11</w:t>
      </w:r>
      <w:r w:rsidRPr="008F72D2">
        <w:rPr>
          <w:rFonts w:cs="Arial"/>
          <w:sz w:val="16"/>
          <w:szCs w:val="16"/>
          <w:lang w:val="fr-FR"/>
        </w:rPr>
        <w:t xml:space="preserve">), </w:t>
      </w:r>
      <w:r>
        <w:rPr>
          <w:rFonts w:cs="Arial"/>
          <w:sz w:val="16"/>
          <w:szCs w:val="16"/>
          <w:lang w:val="fr-FR"/>
        </w:rPr>
        <w:t>Figure</w:t>
      </w:r>
      <w:r w:rsidRPr="008F72D2">
        <w:rPr>
          <w:rFonts w:cs="Arial"/>
          <w:sz w:val="16"/>
          <w:szCs w:val="16"/>
          <w:lang w:val="fr-FR"/>
        </w:rPr>
        <w:t xml:space="preserve"> </w:t>
      </w:r>
      <w:r>
        <w:rPr>
          <w:rFonts w:cs="Arial"/>
          <w:sz w:val="16"/>
          <w:szCs w:val="16"/>
          <w:lang w:val="fr-FR"/>
        </w:rPr>
        <w:t>EQ 1.1</w:t>
      </w:r>
    </w:p>
    <w:p w:rsidR="00EE3232" w:rsidRPr="00CF6999" w:rsidRDefault="00EE3232" w:rsidP="00EE3232">
      <w:pPr>
        <w:jc w:val="both"/>
        <w:rPr>
          <w:rFonts w:cs="Arial"/>
          <w:sz w:val="20"/>
        </w:rPr>
      </w:pPr>
      <w:r>
        <w:rPr>
          <w:rFonts w:cs="Arial"/>
          <w:b/>
          <w:sz w:val="20"/>
          <w:szCs w:val="22"/>
        </w:rPr>
        <w:br w:type="page"/>
      </w:r>
      <w:smartTag w:uri="urn:schemas-microsoft-com:office:smarttags" w:element="place">
        <w:smartTag w:uri="urn:schemas-microsoft-com:office:smarttags" w:element="country-region">
          <w:r>
            <w:rPr>
              <w:rFonts w:cs="Arial"/>
              <w:sz w:val="20"/>
            </w:rPr>
            <w:lastRenderedPageBreak/>
            <w:t>New Zealand</w:t>
          </w:r>
        </w:smartTag>
      </w:smartTag>
      <w:r>
        <w:rPr>
          <w:rFonts w:cs="Arial"/>
          <w:sz w:val="20"/>
        </w:rPr>
        <w:t xml:space="preserve">’s Gini score dropped to 32 in 2010 and rose to 34 in 2011. As noted elsewhere (see the inequality pages in Section D) </w:t>
      </w:r>
      <w:r>
        <w:rPr>
          <w:sz w:val="20"/>
        </w:rPr>
        <w:t>the volatility of the inequality measures for 2009 to 2010 to 2011 reflect the impact of the global financial crisis and economic downturn on incomes, first on higher incomes, then from 2009-10 to 2010-11 on lower incomes (see Figure D.8).  It will take another survey or two to be clear about the post-crisis inequality rate.  The average of the 2009, 2010 and 2011 Gini scores is in the range that prevailed from 2004 to 2007.</w:t>
      </w:r>
    </w:p>
    <w:p w:rsidR="00EE3232" w:rsidRPr="007052AF" w:rsidRDefault="00EE3232" w:rsidP="00EE3232">
      <w:pPr>
        <w:jc w:val="both"/>
        <w:rPr>
          <w:rFonts w:cs="Arial"/>
          <w:sz w:val="20"/>
          <w:szCs w:val="22"/>
        </w:rPr>
      </w:pPr>
      <w:r>
        <w:rPr>
          <w:rFonts w:cs="Arial"/>
          <w:sz w:val="20"/>
          <w:szCs w:val="22"/>
        </w:rPr>
        <w:t xml:space="preserve"> </w:t>
      </w:r>
      <w:r w:rsidRPr="001B4C44">
        <w:rPr>
          <w:rFonts w:cs="Arial"/>
          <w:sz w:val="20"/>
        </w:rPr>
        <w:t xml:space="preserve">  </w:t>
      </w:r>
    </w:p>
    <w:p w:rsidR="00EE3232" w:rsidRDefault="00EE3232" w:rsidP="00EE3232">
      <w:pPr>
        <w:jc w:val="both"/>
        <w:rPr>
          <w:rFonts w:cs="Arial"/>
          <w:b/>
          <w:sz w:val="20"/>
          <w:szCs w:val="22"/>
        </w:rPr>
      </w:pPr>
    </w:p>
    <w:p w:rsidR="00EE3232" w:rsidRPr="00385190" w:rsidRDefault="00EE3232" w:rsidP="00EE3232">
      <w:pPr>
        <w:jc w:val="both"/>
        <w:rPr>
          <w:rFonts w:cs="Arial"/>
          <w:b/>
          <w:sz w:val="20"/>
          <w:szCs w:val="22"/>
        </w:rPr>
      </w:pPr>
      <w:r w:rsidRPr="00385190">
        <w:rPr>
          <w:rFonts w:cs="Arial"/>
          <w:b/>
          <w:sz w:val="20"/>
          <w:szCs w:val="22"/>
        </w:rPr>
        <w:t>Comparing changes in inequality in OECD countries (mid 1980s to mid 2000s)</w:t>
      </w:r>
    </w:p>
    <w:p w:rsidR="00EE3232" w:rsidRPr="00385190" w:rsidRDefault="00EE3232" w:rsidP="00EE3232">
      <w:pPr>
        <w:jc w:val="both"/>
        <w:rPr>
          <w:rFonts w:cs="Arial"/>
          <w:sz w:val="20"/>
          <w:szCs w:val="22"/>
        </w:rPr>
      </w:pPr>
    </w:p>
    <w:p w:rsidR="00EE3232" w:rsidRPr="00385190" w:rsidRDefault="00EE3232" w:rsidP="00EE3232">
      <w:pPr>
        <w:jc w:val="both"/>
        <w:rPr>
          <w:rFonts w:cs="Arial"/>
          <w:sz w:val="20"/>
          <w:szCs w:val="22"/>
        </w:rPr>
      </w:pPr>
      <w:r w:rsidRPr="00385190">
        <w:rPr>
          <w:rFonts w:cs="Arial"/>
          <w:b/>
          <w:sz w:val="20"/>
          <w:szCs w:val="22"/>
        </w:rPr>
        <w:t>Figure J.</w:t>
      </w:r>
      <w:r>
        <w:rPr>
          <w:rFonts w:cs="Arial"/>
          <w:b/>
          <w:sz w:val="20"/>
          <w:szCs w:val="22"/>
        </w:rPr>
        <w:t>5</w:t>
      </w:r>
      <w:r w:rsidRPr="00385190">
        <w:rPr>
          <w:rFonts w:cs="Arial"/>
          <w:sz w:val="20"/>
          <w:szCs w:val="22"/>
        </w:rPr>
        <w:t xml:space="preserve"> shows that of the 24 OECD nations for which data is available from the mid 1980s to around the year 2004 </w:t>
      </w:r>
      <w:smartTag w:uri="urn:schemas-microsoft-com:office:smarttags" w:element="place">
        <w:smartTag w:uri="urn:schemas-microsoft-com:office:smarttags" w:element="country-region">
          <w:r w:rsidRPr="00385190">
            <w:rPr>
              <w:rFonts w:cs="Arial"/>
              <w:sz w:val="20"/>
              <w:szCs w:val="22"/>
            </w:rPr>
            <w:t>New Zealand</w:t>
          </w:r>
        </w:smartTag>
      </w:smartTag>
      <w:r w:rsidRPr="00385190">
        <w:rPr>
          <w:rFonts w:cs="Arial"/>
          <w:sz w:val="20"/>
          <w:szCs w:val="22"/>
        </w:rPr>
        <w:t xml:space="preserve">’s increase of 6.5 was the largest.  </w:t>
      </w:r>
    </w:p>
    <w:p w:rsidR="00EE3232" w:rsidRPr="00385190" w:rsidRDefault="00EE3232" w:rsidP="00EE3232">
      <w:pPr>
        <w:jc w:val="center"/>
        <w:rPr>
          <w:rFonts w:cs="Arial"/>
          <w:b/>
          <w:sz w:val="18"/>
        </w:rPr>
      </w:pPr>
    </w:p>
    <w:p w:rsidR="00EE3232" w:rsidRPr="00385190" w:rsidRDefault="00EE3232" w:rsidP="00EE3232">
      <w:pPr>
        <w:jc w:val="center"/>
        <w:rPr>
          <w:rFonts w:cs="Arial"/>
          <w:b/>
          <w:sz w:val="18"/>
        </w:rPr>
      </w:pPr>
      <w:r w:rsidRPr="00385190">
        <w:rPr>
          <w:rFonts w:cs="Arial"/>
          <w:b/>
          <w:sz w:val="18"/>
        </w:rPr>
        <w:t>Figure J.</w:t>
      </w:r>
      <w:r>
        <w:rPr>
          <w:rFonts w:cs="Arial"/>
          <w:b/>
          <w:sz w:val="18"/>
        </w:rPr>
        <w:t>5</w:t>
      </w:r>
    </w:p>
    <w:p w:rsidR="00EE3232" w:rsidRPr="00385190" w:rsidRDefault="00EE3232" w:rsidP="00EE3232">
      <w:pPr>
        <w:jc w:val="center"/>
        <w:rPr>
          <w:rFonts w:cs="Arial"/>
          <w:b/>
          <w:sz w:val="18"/>
        </w:rPr>
      </w:pPr>
      <w:r w:rsidRPr="00385190">
        <w:rPr>
          <w:rFonts w:cs="Arial"/>
          <w:b/>
          <w:sz w:val="18"/>
        </w:rPr>
        <w:t>Gini coefficient changes, mid 1980s to mid 2000s: 24 OECD nations</w:t>
      </w:r>
    </w:p>
    <w:p w:rsidR="00EE3232" w:rsidRPr="00964346" w:rsidRDefault="00EC0BE0" w:rsidP="00EE3232">
      <w:pPr>
        <w:jc w:val="center"/>
        <w:rPr>
          <w:szCs w:val="22"/>
        </w:rPr>
      </w:pPr>
      <w:r>
        <w:rPr>
          <w:noProof/>
          <w:lang w:val="en-US"/>
        </w:rPr>
        <w:drawing>
          <wp:inline distT="0" distB="0" distL="0" distR="0">
            <wp:extent cx="3695700" cy="2257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6"/>
                    <a:srcRect/>
                    <a:stretch>
                      <a:fillRect/>
                    </a:stretch>
                  </pic:blipFill>
                  <pic:spPr bwMode="auto">
                    <a:xfrm>
                      <a:off x="0" y="0"/>
                      <a:ext cx="3695700" cy="2257425"/>
                    </a:xfrm>
                    <a:prstGeom prst="rect">
                      <a:avLst/>
                    </a:prstGeom>
                    <a:noFill/>
                    <a:ln w="9525">
                      <a:noFill/>
                      <a:miter lim="800000"/>
                      <a:headEnd/>
                      <a:tailEnd/>
                    </a:ln>
                  </pic:spPr>
                </pic:pic>
              </a:graphicData>
            </a:graphic>
          </wp:inline>
        </w:drawing>
      </w:r>
    </w:p>
    <w:p w:rsidR="00EE3232" w:rsidRPr="00CF6999" w:rsidRDefault="00EE3232" w:rsidP="00EE3232">
      <w:pPr>
        <w:ind w:left="1800" w:right="1195" w:firstLine="43"/>
        <w:jc w:val="both"/>
        <w:rPr>
          <w:rFonts w:cs="Arial"/>
          <w:b/>
          <w:sz w:val="16"/>
          <w:szCs w:val="16"/>
          <w:lang w:val="fr-FR"/>
        </w:rPr>
      </w:pPr>
      <w:r w:rsidRPr="00CF6999">
        <w:rPr>
          <w:rFonts w:cs="Arial"/>
          <w:sz w:val="16"/>
          <w:szCs w:val="16"/>
          <w:u w:val="single"/>
          <w:lang w:val="fr-FR"/>
        </w:rPr>
        <w:t>Source:</w:t>
      </w:r>
      <w:r w:rsidRPr="00CF6999">
        <w:rPr>
          <w:rFonts w:cs="Arial"/>
          <w:sz w:val="16"/>
          <w:szCs w:val="16"/>
          <w:lang w:val="fr-FR"/>
        </w:rPr>
        <w:tab/>
        <w:t xml:space="preserve">Förster and Mira d’Ercole (2007), Annex Figure A.1.5.    </w:t>
      </w:r>
    </w:p>
    <w:p w:rsidR="00EE3232" w:rsidRPr="00EF6AC2" w:rsidRDefault="00EE3232" w:rsidP="00EE3232">
      <w:pPr>
        <w:jc w:val="center"/>
        <w:rPr>
          <w:lang w:val="fr-FR"/>
        </w:rPr>
      </w:pPr>
    </w:p>
    <w:p w:rsidR="00EE3232" w:rsidRPr="00385190" w:rsidRDefault="00EE3232" w:rsidP="00EE3232">
      <w:pPr>
        <w:jc w:val="both"/>
        <w:rPr>
          <w:sz w:val="20"/>
          <w:lang w:val="en-NZ"/>
        </w:rPr>
      </w:pPr>
      <w:r w:rsidRPr="00385190">
        <w:rPr>
          <w:sz w:val="20"/>
          <w:lang w:val="en-NZ"/>
        </w:rPr>
        <w:t xml:space="preserve">The increase for </w:t>
      </w:r>
      <w:smartTag w:uri="urn:schemas-microsoft-com:office:smarttags" w:element="country-region">
        <w:r w:rsidRPr="00385190">
          <w:rPr>
            <w:sz w:val="20"/>
            <w:lang w:val="en-NZ"/>
          </w:rPr>
          <w:t>New Zealand</w:t>
        </w:r>
      </w:smartTag>
      <w:r w:rsidRPr="00385190">
        <w:rPr>
          <w:sz w:val="20"/>
          <w:lang w:val="en-NZ"/>
        </w:rPr>
        <w:t xml:space="preserve"> in the full period from the mid 1980s to the mid 2000s all occurred from the mid 1980s to the mid 1990s when </w:t>
      </w:r>
      <w:smartTag w:uri="urn:schemas-microsoft-com:office:smarttags" w:element="place">
        <w:smartTag w:uri="urn:schemas-microsoft-com:office:smarttags" w:element="country-region">
          <w:r w:rsidRPr="00385190">
            <w:rPr>
              <w:sz w:val="20"/>
              <w:lang w:val="en-NZ"/>
            </w:rPr>
            <w:t>New Zealand</w:t>
          </w:r>
        </w:smartTag>
      </w:smartTag>
      <w:r w:rsidRPr="00385190">
        <w:rPr>
          <w:sz w:val="20"/>
          <w:lang w:val="en-NZ"/>
        </w:rPr>
        <w:t xml:space="preserve">’s Gini score moved from 2 points below the OECD average to 2 points above it. </w:t>
      </w:r>
    </w:p>
    <w:p w:rsidR="00EE3232" w:rsidRPr="00385190" w:rsidRDefault="00EE3232" w:rsidP="00EE3232">
      <w:pPr>
        <w:jc w:val="both"/>
        <w:rPr>
          <w:sz w:val="20"/>
          <w:lang w:val="en-NZ"/>
        </w:rPr>
      </w:pPr>
    </w:p>
    <w:p w:rsidR="00EE3232" w:rsidRPr="00385190" w:rsidRDefault="00EE3232" w:rsidP="00EE3232">
      <w:pPr>
        <w:jc w:val="both"/>
        <w:rPr>
          <w:sz w:val="20"/>
          <w:lang w:val="en-NZ"/>
        </w:rPr>
      </w:pPr>
      <w:r w:rsidRPr="00385190">
        <w:rPr>
          <w:b/>
          <w:sz w:val="20"/>
          <w:lang w:val="en-NZ"/>
        </w:rPr>
        <w:t>Figure J.</w:t>
      </w:r>
      <w:r>
        <w:rPr>
          <w:b/>
          <w:sz w:val="20"/>
          <w:lang w:val="en-NZ"/>
        </w:rPr>
        <w:t>6</w:t>
      </w:r>
      <w:r w:rsidRPr="00385190">
        <w:rPr>
          <w:sz w:val="20"/>
          <w:lang w:val="en-NZ"/>
        </w:rPr>
        <w:t xml:space="preserve"> shows the changes for the 25 OECD countries for which data is available for the mid 1990s and c 2004. From the mid 1990s to 2004 </w:t>
      </w:r>
      <w:smartTag w:uri="urn:schemas-microsoft-com:office:smarttags" w:element="place">
        <w:smartTag w:uri="urn:schemas-microsoft-com:office:smarttags" w:element="country-region">
          <w:r w:rsidRPr="00385190">
            <w:rPr>
              <w:sz w:val="20"/>
              <w:lang w:val="en-NZ"/>
            </w:rPr>
            <w:t>New Zealand</w:t>
          </w:r>
        </w:smartTag>
      </w:smartTag>
      <w:r w:rsidRPr="00385190">
        <w:rPr>
          <w:sz w:val="20"/>
          <w:lang w:val="en-NZ"/>
        </w:rPr>
        <w:t xml:space="preserve">’s Gini score did not change.  </w:t>
      </w:r>
    </w:p>
    <w:p w:rsidR="00EE3232" w:rsidRPr="002E108C" w:rsidRDefault="00EE3232" w:rsidP="00EE3232">
      <w:pPr>
        <w:jc w:val="both"/>
        <w:rPr>
          <w:sz w:val="18"/>
          <w:szCs w:val="18"/>
          <w:lang w:val="en-NZ"/>
        </w:rPr>
      </w:pPr>
    </w:p>
    <w:p w:rsidR="00EE3232" w:rsidRPr="002E108C" w:rsidRDefault="00EE3232" w:rsidP="00EE3232">
      <w:pPr>
        <w:jc w:val="center"/>
        <w:rPr>
          <w:rFonts w:cs="Arial"/>
          <w:b/>
          <w:sz w:val="18"/>
          <w:szCs w:val="18"/>
        </w:rPr>
      </w:pPr>
      <w:r w:rsidRPr="002E108C">
        <w:rPr>
          <w:rFonts w:cs="Arial"/>
          <w:b/>
          <w:sz w:val="18"/>
          <w:szCs w:val="18"/>
        </w:rPr>
        <w:t>Figure J.</w:t>
      </w:r>
      <w:r>
        <w:rPr>
          <w:rFonts w:cs="Arial"/>
          <w:b/>
          <w:sz w:val="18"/>
          <w:szCs w:val="18"/>
        </w:rPr>
        <w:t>6</w:t>
      </w:r>
    </w:p>
    <w:p w:rsidR="00EE3232" w:rsidRPr="002E108C" w:rsidRDefault="00EE3232" w:rsidP="00EE3232">
      <w:pPr>
        <w:jc w:val="center"/>
        <w:rPr>
          <w:sz w:val="18"/>
          <w:szCs w:val="18"/>
        </w:rPr>
      </w:pPr>
      <w:r w:rsidRPr="002E108C">
        <w:rPr>
          <w:rFonts w:cs="Arial"/>
          <w:b/>
          <w:sz w:val="18"/>
          <w:szCs w:val="18"/>
        </w:rPr>
        <w:t>Gini coefficient changes, mid 1990s to mid 2000s: 25 OECD nations</w:t>
      </w:r>
    </w:p>
    <w:p w:rsidR="00EE3232" w:rsidRPr="006B53CF" w:rsidRDefault="00EC0BE0" w:rsidP="00EE3232">
      <w:pPr>
        <w:jc w:val="center"/>
      </w:pPr>
      <w:r>
        <w:rPr>
          <w:noProof/>
          <w:lang w:val="en-US"/>
        </w:rPr>
        <w:drawing>
          <wp:inline distT="0" distB="0" distL="0" distR="0">
            <wp:extent cx="3695700" cy="22383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a:srcRect/>
                    <a:stretch>
                      <a:fillRect/>
                    </a:stretch>
                  </pic:blipFill>
                  <pic:spPr bwMode="auto">
                    <a:xfrm>
                      <a:off x="0" y="0"/>
                      <a:ext cx="3695700" cy="2238375"/>
                    </a:xfrm>
                    <a:prstGeom prst="rect">
                      <a:avLst/>
                    </a:prstGeom>
                    <a:noFill/>
                    <a:ln w="9525">
                      <a:noFill/>
                      <a:miter lim="800000"/>
                      <a:headEnd/>
                      <a:tailEnd/>
                    </a:ln>
                  </pic:spPr>
                </pic:pic>
              </a:graphicData>
            </a:graphic>
          </wp:inline>
        </w:drawing>
      </w:r>
    </w:p>
    <w:p w:rsidR="00EE3232" w:rsidRPr="00CF6999" w:rsidRDefault="00EE3232" w:rsidP="00EE3232">
      <w:pPr>
        <w:ind w:left="1800" w:right="1195" w:hanging="99"/>
        <w:jc w:val="both"/>
        <w:rPr>
          <w:rFonts w:cs="Arial"/>
          <w:b/>
          <w:sz w:val="16"/>
          <w:szCs w:val="16"/>
          <w:lang w:val="fr-FR"/>
        </w:rPr>
      </w:pPr>
      <w:r w:rsidRPr="00CF6999">
        <w:rPr>
          <w:rFonts w:cs="Arial"/>
          <w:sz w:val="16"/>
          <w:szCs w:val="16"/>
          <w:u w:val="single"/>
          <w:lang w:val="fr-FR"/>
        </w:rPr>
        <w:t>Source:</w:t>
      </w:r>
      <w:r w:rsidRPr="00CF6999">
        <w:rPr>
          <w:rFonts w:cs="Arial"/>
          <w:sz w:val="16"/>
          <w:szCs w:val="16"/>
          <w:lang w:val="fr-FR"/>
        </w:rPr>
        <w:tab/>
        <w:t xml:space="preserve">Förster and Mira d’Ercole (2007), Annex Figure A.1.5.  </w:t>
      </w:r>
    </w:p>
    <w:p w:rsidR="00EE3232" w:rsidRPr="0066486B" w:rsidRDefault="00EE3232" w:rsidP="00EE3232">
      <w:pPr>
        <w:ind w:left="1800" w:right="1195" w:hanging="720"/>
        <w:jc w:val="both"/>
        <w:rPr>
          <w:rFonts w:cs="Arial"/>
          <w:b/>
          <w:szCs w:val="22"/>
          <w:lang w:val="en-US"/>
        </w:rPr>
      </w:pPr>
    </w:p>
    <w:p w:rsidR="00EE3232" w:rsidRDefault="00EE3232" w:rsidP="00EE3232">
      <w:pPr>
        <w:jc w:val="both"/>
        <w:rPr>
          <w:rFonts w:cs="Arial"/>
          <w:b/>
          <w:szCs w:val="22"/>
        </w:rPr>
      </w:pPr>
    </w:p>
    <w:p w:rsidR="00EE3232" w:rsidRPr="00385190" w:rsidRDefault="00EE3232" w:rsidP="00EE3232">
      <w:pPr>
        <w:jc w:val="both"/>
        <w:rPr>
          <w:rFonts w:cs="Arial"/>
          <w:sz w:val="20"/>
          <w:szCs w:val="22"/>
        </w:rPr>
      </w:pPr>
      <w:r>
        <w:rPr>
          <w:rFonts w:cs="Arial"/>
          <w:b/>
          <w:sz w:val="20"/>
          <w:szCs w:val="22"/>
        </w:rPr>
        <w:br w:type="page"/>
      </w:r>
      <w:r w:rsidRPr="00385190">
        <w:rPr>
          <w:rFonts w:cs="Arial"/>
          <w:b/>
          <w:sz w:val="20"/>
          <w:szCs w:val="22"/>
        </w:rPr>
        <w:lastRenderedPageBreak/>
        <w:t>Inequality comparisons using the Gini coefficient (c 200</w:t>
      </w:r>
      <w:r>
        <w:rPr>
          <w:rFonts w:cs="Arial"/>
          <w:b/>
          <w:sz w:val="20"/>
          <w:szCs w:val="22"/>
        </w:rPr>
        <w:t>8-2009</w:t>
      </w:r>
      <w:r w:rsidRPr="00385190">
        <w:rPr>
          <w:rFonts w:cs="Arial"/>
          <w:b/>
          <w:sz w:val="20"/>
          <w:szCs w:val="22"/>
        </w:rPr>
        <w:t>)</w:t>
      </w:r>
      <w:r>
        <w:rPr>
          <w:rFonts w:cs="Arial"/>
          <w:b/>
          <w:sz w:val="20"/>
          <w:szCs w:val="22"/>
        </w:rPr>
        <w:t>, for the ‘working-age’ population (18 to 65 years)</w:t>
      </w:r>
    </w:p>
    <w:p w:rsidR="00EE3232" w:rsidRDefault="00EE3232" w:rsidP="00EE3232">
      <w:pPr>
        <w:jc w:val="both"/>
        <w:rPr>
          <w:rFonts w:cs="Arial"/>
          <w:b/>
          <w:sz w:val="20"/>
          <w:szCs w:val="22"/>
        </w:rPr>
      </w:pPr>
    </w:p>
    <w:p w:rsidR="00EE3232" w:rsidRPr="00385190" w:rsidRDefault="00EE3232" w:rsidP="00EE3232">
      <w:pPr>
        <w:jc w:val="both"/>
        <w:rPr>
          <w:rFonts w:cs="Arial"/>
          <w:sz w:val="20"/>
          <w:szCs w:val="22"/>
        </w:rPr>
      </w:pPr>
      <w:r w:rsidRPr="00385190">
        <w:rPr>
          <w:rFonts w:cs="Arial"/>
          <w:b/>
          <w:sz w:val="20"/>
          <w:szCs w:val="22"/>
        </w:rPr>
        <w:t>Figure J.</w:t>
      </w:r>
      <w:r>
        <w:rPr>
          <w:rFonts w:cs="Arial"/>
          <w:b/>
          <w:sz w:val="20"/>
          <w:szCs w:val="22"/>
        </w:rPr>
        <w:t>7</w:t>
      </w:r>
      <w:r w:rsidRPr="00385190">
        <w:rPr>
          <w:rFonts w:cs="Arial"/>
          <w:sz w:val="20"/>
          <w:szCs w:val="22"/>
        </w:rPr>
        <w:t xml:space="preserve"> shows inequality rankings for </w:t>
      </w:r>
      <w:r>
        <w:rPr>
          <w:rFonts w:cs="Arial"/>
          <w:sz w:val="20"/>
          <w:szCs w:val="22"/>
        </w:rPr>
        <w:t xml:space="preserve">the working-age population for </w:t>
      </w:r>
      <w:r w:rsidRPr="00385190">
        <w:rPr>
          <w:rFonts w:cs="Arial"/>
          <w:sz w:val="20"/>
          <w:szCs w:val="22"/>
        </w:rPr>
        <w:t>3</w:t>
      </w:r>
      <w:r>
        <w:rPr>
          <w:rFonts w:cs="Arial"/>
          <w:sz w:val="20"/>
          <w:szCs w:val="22"/>
        </w:rPr>
        <w:t>4</w:t>
      </w:r>
      <w:r w:rsidRPr="00385190">
        <w:rPr>
          <w:rFonts w:cs="Arial"/>
          <w:sz w:val="20"/>
          <w:szCs w:val="22"/>
        </w:rPr>
        <w:t xml:space="preserve"> OECD countries for around 200</w:t>
      </w:r>
      <w:r>
        <w:rPr>
          <w:rFonts w:cs="Arial"/>
          <w:sz w:val="20"/>
          <w:szCs w:val="22"/>
        </w:rPr>
        <w:t>8-09</w:t>
      </w:r>
      <w:r w:rsidRPr="00385190">
        <w:rPr>
          <w:rFonts w:cs="Arial"/>
          <w:sz w:val="20"/>
          <w:szCs w:val="22"/>
        </w:rPr>
        <w:t xml:space="preserve"> using the Gini coefficient.  </w:t>
      </w:r>
      <w:smartTag w:uri="urn:schemas-microsoft-com:office:smarttags" w:element="place">
        <w:smartTag w:uri="urn:schemas-microsoft-com:office:smarttags" w:element="country-region">
          <w:r w:rsidRPr="00385190">
            <w:rPr>
              <w:rFonts w:cs="Arial"/>
              <w:sz w:val="20"/>
              <w:szCs w:val="22"/>
            </w:rPr>
            <w:t>New Zealand</w:t>
          </w:r>
        </w:smartTag>
      </w:smartTag>
      <w:r w:rsidRPr="00385190">
        <w:rPr>
          <w:rFonts w:cs="Arial"/>
          <w:sz w:val="20"/>
          <w:szCs w:val="22"/>
        </w:rPr>
        <w:t xml:space="preserve">’s score of </w:t>
      </w:r>
      <w:r>
        <w:rPr>
          <w:rFonts w:cs="Arial"/>
          <w:sz w:val="20"/>
          <w:szCs w:val="22"/>
        </w:rPr>
        <w:t>32</w:t>
      </w:r>
      <w:r w:rsidRPr="00385190">
        <w:rPr>
          <w:rFonts w:cs="Arial"/>
          <w:sz w:val="20"/>
          <w:szCs w:val="22"/>
        </w:rPr>
        <w:t xml:space="preserve"> gave a ranking of 2</w:t>
      </w:r>
      <w:r>
        <w:rPr>
          <w:rFonts w:cs="Arial"/>
          <w:sz w:val="20"/>
          <w:szCs w:val="22"/>
        </w:rPr>
        <w:t>1st</w:t>
      </w:r>
      <w:r w:rsidRPr="00385190">
        <w:rPr>
          <w:rFonts w:cs="Arial"/>
          <w:sz w:val="20"/>
          <w:szCs w:val="22"/>
        </w:rPr>
        <w:t xml:space="preserve"> out of 3</w:t>
      </w:r>
      <w:r>
        <w:rPr>
          <w:rFonts w:cs="Arial"/>
          <w:sz w:val="20"/>
          <w:szCs w:val="22"/>
        </w:rPr>
        <w:t xml:space="preserve">4. </w:t>
      </w:r>
      <w:r w:rsidRPr="00385190">
        <w:rPr>
          <w:rFonts w:cs="Arial"/>
          <w:sz w:val="20"/>
          <w:szCs w:val="22"/>
        </w:rPr>
        <w:t xml:space="preserve">This was below that of the </w:t>
      </w:r>
      <w:smartTag w:uri="urn:schemas-microsoft-com:office:smarttags" w:element="country-region">
        <w:r w:rsidRPr="00385190">
          <w:rPr>
            <w:rFonts w:cs="Arial"/>
            <w:sz w:val="20"/>
            <w:szCs w:val="22"/>
          </w:rPr>
          <w:t>United States</w:t>
        </w:r>
      </w:smartTag>
      <w:r w:rsidRPr="00385190">
        <w:rPr>
          <w:rFonts w:cs="Arial"/>
          <w:sz w:val="20"/>
          <w:szCs w:val="22"/>
        </w:rPr>
        <w:t xml:space="preserve"> (3</w:t>
      </w:r>
      <w:r>
        <w:rPr>
          <w:rFonts w:cs="Arial"/>
          <w:sz w:val="20"/>
          <w:szCs w:val="22"/>
        </w:rPr>
        <w:t>7</w:t>
      </w:r>
      <w:r w:rsidRPr="00385190">
        <w:rPr>
          <w:rFonts w:cs="Arial"/>
          <w:sz w:val="20"/>
          <w:szCs w:val="22"/>
        </w:rPr>
        <w:t>)</w:t>
      </w:r>
      <w:r>
        <w:rPr>
          <w:rFonts w:cs="Arial"/>
          <w:sz w:val="20"/>
          <w:szCs w:val="22"/>
        </w:rPr>
        <w:t xml:space="preserve">, and the </w:t>
      </w:r>
      <w:smartTag w:uri="urn:schemas-microsoft-com:office:smarttags" w:element="country-region">
        <w:r>
          <w:rPr>
            <w:rFonts w:cs="Arial"/>
            <w:sz w:val="20"/>
            <w:szCs w:val="22"/>
          </w:rPr>
          <w:t>UK</w:t>
        </w:r>
      </w:smartTag>
      <w:r>
        <w:rPr>
          <w:rFonts w:cs="Arial"/>
          <w:sz w:val="20"/>
          <w:szCs w:val="22"/>
        </w:rPr>
        <w:t xml:space="preserve"> (35) and very close </w:t>
      </w:r>
      <w:smartTag w:uri="urn:schemas-microsoft-com:office:smarttags" w:element="country-region">
        <w:r>
          <w:rPr>
            <w:rFonts w:cs="Arial"/>
            <w:sz w:val="20"/>
            <w:szCs w:val="22"/>
          </w:rPr>
          <w:t>Ireland</w:t>
        </w:r>
      </w:smartTag>
      <w:r>
        <w:rPr>
          <w:rFonts w:cs="Arial"/>
          <w:sz w:val="20"/>
          <w:szCs w:val="22"/>
        </w:rPr>
        <w:t xml:space="preserve">, the </w:t>
      </w:r>
      <w:smartTag w:uri="urn:schemas-microsoft-com:office:smarttags" w:element="country-region">
        <w:r>
          <w:rPr>
            <w:rFonts w:cs="Arial"/>
            <w:sz w:val="20"/>
            <w:szCs w:val="22"/>
          </w:rPr>
          <w:t>UK</w:t>
        </w:r>
      </w:smartTag>
      <w:r>
        <w:rPr>
          <w:rFonts w:cs="Arial"/>
          <w:sz w:val="20"/>
          <w:szCs w:val="22"/>
        </w:rPr>
        <w:t xml:space="preserve">, </w:t>
      </w:r>
      <w:smartTag w:uri="urn:schemas-microsoft-com:office:smarttags" w:element="country-region">
        <w:r>
          <w:rPr>
            <w:rFonts w:cs="Arial"/>
            <w:sz w:val="20"/>
            <w:szCs w:val="22"/>
          </w:rPr>
          <w:t>Japan</w:t>
        </w:r>
      </w:smartTag>
      <w:r>
        <w:rPr>
          <w:rFonts w:cs="Arial"/>
          <w:sz w:val="20"/>
          <w:szCs w:val="22"/>
        </w:rPr>
        <w:t xml:space="preserve"> and </w:t>
      </w:r>
      <w:smartTag w:uri="urn:schemas-microsoft-com:office:smarttags" w:element="place">
        <w:smartTag w:uri="urn:schemas-microsoft-com:office:smarttags" w:element="country-region">
          <w:r>
            <w:rPr>
              <w:rFonts w:cs="Arial"/>
              <w:sz w:val="20"/>
              <w:szCs w:val="22"/>
            </w:rPr>
            <w:t>Australia</w:t>
          </w:r>
        </w:smartTag>
      </w:smartTag>
      <w:r>
        <w:rPr>
          <w:rFonts w:cs="Arial"/>
          <w:sz w:val="20"/>
          <w:szCs w:val="22"/>
        </w:rPr>
        <w:t>.</w:t>
      </w:r>
      <w:r w:rsidRPr="00385190">
        <w:rPr>
          <w:rFonts w:cs="Arial"/>
          <w:sz w:val="20"/>
          <w:szCs w:val="22"/>
        </w:rPr>
        <w:t xml:space="preserve">  </w:t>
      </w:r>
      <w:r>
        <w:rPr>
          <w:rFonts w:cs="Arial"/>
          <w:sz w:val="20"/>
          <w:szCs w:val="22"/>
        </w:rPr>
        <w:t>The OECD median was just over 30.</w:t>
      </w:r>
    </w:p>
    <w:p w:rsidR="00EE3232" w:rsidRPr="00385190" w:rsidRDefault="00EE3232" w:rsidP="00EE3232">
      <w:pPr>
        <w:jc w:val="both"/>
        <w:rPr>
          <w:rFonts w:cs="Arial"/>
          <w:sz w:val="20"/>
          <w:szCs w:val="22"/>
        </w:rPr>
      </w:pPr>
    </w:p>
    <w:p w:rsidR="00EE3232" w:rsidRPr="00385190" w:rsidRDefault="00EE3232" w:rsidP="00EE3232">
      <w:pPr>
        <w:jc w:val="center"/>
        <w:rPr>
          <w:rFonts w:cs="Arial"/>
          <w:b/>
          <w:sz w:val="18"/>
        </w:rPr>
      </w:pPr>
      <w:r w:rsidRPr="00385190">
        <w:rPr>
          <w:rFonts w:cs="Arial"/>
          <w:b/>
          <w:sz w:val="18"/>
        </w:rPr>
        <w:t>Figure J.</w:t>
      </w:r>
      <w:r>
        <w:rPr>
          <w:rFonts w:cs="Arial"/>
          <w:b/>
          <w:sz w:val="18"/>
        </w:rPr>
        <w:t>7</w:t>
      </w:r>
    </w:p>
    <w:p w:rsidR="00EE3232" w:rsidRDefault="00EE3232" w:rsidP="00EE3232">
      <w:pPr>
        <w:jc w:val="center"/>
        <w:rPr>
          <w:rFonts w:cs="Arial"/>
          <w:b/>
          <w:sz w:val="18"/>
        </w:rPr>
      </w:pPr>
      <w:r w:rsidRPr="00385190">
        <w:rPr>
          <w:rFonts w:cs="Arial"/>
          <w:b/>
          <w:sz w:val="18"/>
        </w:rPr>
        <w:t xml:space="preserve">Income inequality across the OECD: </w:t>
      </w:r>
    </w:p>
    <w:p w:rsidR="00EE3232" w:rsidRPr="00385190" w:rsidRDefault="00EE3232" w:rsidP="00EE3232">
      <w:pPr>
        <w:jc w:val="center"/>
        <w:rPr>
          <w:rFonts w:cs="Arial"/>
          <w:sz w:val="18"/>
          <w:u w:val="single"/>
        </w:rPr>
      </w:pPr>
      <w:r w:rsidRPr="00385190">
        <w:rPr>
          <w:rFonts w:cs="Arial"/>
          <w:b/>
          <w:sz w:val="18"/>
        </w:rPr>
        <w:t>Gini coefficients</w:t>
      </w:r>
      <w:r>
        <w:rPr>
          <w:rFonts w:cs="Arial"/>
          <w:b/>
          <w:sz w:val="18"/>
        </w:rPr>
        <w:t xml:space="preserve"> (x100)</w:t>
      </w:r>
      <w:r w:rsidRPr="00385190">
        <w:rPr>
          <w:rFonts w:cs="Arial"/>
          <w:b/>
          <w:sz w:val="18"/>
        </w:rPr>
        <w:t xml:space="preserve"> for around 200</w:t>
      </w:r>
      <w:r>
        <w:rPr>
          <w:rFonts w:cs="Arial"/>
          <w:b/>
          <w:sz w:val="18"/>
        </w:rPr>
        <w:t>8-09, working age (18 to 65 years)</w:t>
      </w:r>
    </w:p>
    <w:p w:rsidR="00EE3232" w:rsidRPr="0062458D" w:rsidRDefault="00EC0BE0" w:rsidP="00EE3232">
      <w:pPr>
        <w:jc w:val="both"/>
        <w:rPr>
          <w:rFonts w:cs="Arial"/>
          <w:b/>
          <w:szCs w:val="22"/>
        </w:rPr>
      </w:pPr>
      <w:r>
        <w:rPr>
          <w:noProof/>
          <w:lang w:val="en-US"/>
        </w:rPr>
        <w:drawing>
          <wp:inline distT="0" distB="0" distL="0" distR="0">
            <wp:extent cx="5657850" cy="40671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a:srcRect/>
                    <a:stretch>
                      <a:fillRect/>
                    </a:stretch>
                  </pic:blipFill>
                  <pic:spPr bwMode="auto">
                    <a:xfrm>
                      <a:off x="0" y="0"/>
                      <a:ext cx="5657850" cy="4067175"/>
                    </a:xfrm>
                    <a:prstGeom prst="rect">
                      <a:avLst/>
                    </a:prstGeom>
                    <a:noFill/>
                    <a:ln w="9525">
                      <a:noFill/>
                      <a:miter lim="800000"/>
                      <a:headEnd/>
                      <a:tailEnd/>
                    </a:ln>
                  </pic:spPr>
                </pic:pic>
              </a:graphicData>
            </a:graphic>
          </wp:inline>
        </w:drawing>
      </w:r>
    </w:p>
    <w:p w:rsidR="00EE3232" w:rsidRPr="008F72D2" w:rsidRDefault="00EE3232" w:rsidP="00EE3232">
      <w:pPr>
        <w:ind w:left="1800" w:right="1195" w:hanging="720"/>
        <w:jc w:val="both"/>
        <w:rPr>
          <w:rFonts w:cs="Arial"/>
          <w:b/>
          <w:sz w:val="16"/>
          <w:szCs w:val="16"/>
          <w:lang w:val="en-US"/>
        </w:rPr>
      </w:pPr>
      <w:r w:rsidRPr="008F72D2">
        <w:rPr>
          <w:rFonts w:cs="Arial"/>
          <w:sz w:val="16"/>
          <w:szCs w:val="16"/>
          <w:u w:val="single"/>
          <w:lang w:val="fr-FR"/>
        </w:rPr>
        <w:t>Source:</w:t>
      </w:r>
      <w:r w:rsidRPr="008F72D2">
        <w:rPr>
          <w:rFonts w:cs="Arial"/>
          <w:sz w:val="16"/>
          <w:szCs w:val="16"/>
          <w:lang w:val="fr-FR"/>
        </w:rPr>
        <w:tab/>
        <w:t>OECD (20</w:t>
      </w:r>
      <w:r>
        <w:rPr>
          <w:rFonts w:cs="Arial"/>
          <w:sz w:val="16"/>
          <w:szCs w:val="16"/>
          <w:lang w:val="fr-FR"/>
        </w:rPr>
        <w:t>11c</w:t>
      </w:r>
      <w:r w:rsidRPr="008F72D2">
        <w:rPr>
          <w:rFonts w:cs="Arial"/>
          <w:sz w:val="16"/>
          <w:szCs w:val="16"/>
          <w:lang w:val="fr-FR"/>
        </w:rPr>
        <w:t>)</w:t>
      </w:r>
    </w:p>
    <w:p w:rsidR="00EE3232" w:rsidRPr="00385190" w:rsidRDefault="00EE3232" w:rsidP="00EE3232">
      <w:pPr>
        <w:jc w:val="both"/>
        <w:rPr>
          <w:rFonts w:cs="Arial"/>
          <w:b/>
          <w:sz w:val="20"/>
          <w:szCs w:val="22"/>
        </w:rPr>
      </w:pPr>
      <w:r>
        <w:rPr>
          <w:rFonts w:cs="Arial"/>
          <w:b/>
          <w:szCs w:val="22"/>
        </w:rPr>
        <w:br w:type="page"/>
      </w:r>
      <w:r w:rsidRPr="00385190">
        <w:rPr>
          <w:rFonts w:cs="Arial"/>
          <w:b/>
          <w:sz w:val="20"/>
          <w:szCs w:val="22"/>
        </w:rPr>
        <w:lastRenderedPageBreak/>
        <w:t>Inequality comparisons using the P90/P10 ratio (c 2004)</w:t>
      </w:r>
    </w:p>
    <w:p w:rsidR="00EE3232" w:rsidRPr="00385190" w:rsidRDefault="00EE3232" w:rsidP="00EE3232">
      <w:pPr>
        <w:jc w:val="both"/>
        <w:rPr>
          <w:rFonts w:cs="Arial"/>
          <w:b/>
          <w:sz w:val="20"/>
          <w:szCs w:val="22"/>
        </w:rPr>
      </w:pPr>
    </w:p>
    <w:p w:rsidR="00EE3232" w:rsidRPr="00385190" w:rsidRDefault="00EE3232" w:rsidP="00EE3232">
      <w:pPr>
        <w:jc w:val="both"/>
        <w:rPr>
          <w:rFonts w:cs="Arial"/>
          <w:sz w:val="20"/>
          <w:szCs w:val="22"/>
        </w:rPr>
      </w:pPr>
      <w:smartTag w:uri="urn:schemas-microsoft-com:office:smarttags" w:element="country-region">
        <w:r w:rsidRPr="00385190">
          <w:rPr>
            <w:rFonts w:cs="Arial"/>
            <w:sz w:val="20"/>
            <w:szCs w:val="22"/>
          </w:rPr>
          <w:t>New Zealand</w:t>
        </w:r>
      </w:smartTag>
      <w:r w:rsidRPr="00385190">
        <w:rPr>
          <w:rFonts w:cs="Arial"/>
          <w:sz w:val="20"/>
          <w:szCs w:val="22"/>
        </w:rPr>
        <w:t xml:space="preserve">’s ratio of 4.3 in 2004 gave </w:t>
      </w:r>
      <w:smartTag w:uri="urn:schemas-microsoft-com:office:smarttags" w:element="place">
        <w:smartTag w:uri="urn:schemas-microsoft-com:office:smarttags" w:element="country-region">
          <w:r w:rsidRPr="00385190">
            <w:rPr>
              <w:rFonts w:cs="Arial"/>
              <w:sz w:val="20"/>
              <w:szCs w:val="22"/>
            </w:rPr>
            <w:t>New Zealand</w:t>
          </w:r>
        </w:smartTag>
      </w:smartTag>
      <w:r w:rsidRPr="00385190">
        <w:rPr>
          <w:rFonts w:cs="Arial"/>
          <w:sz w:val="20"/>
          <w:szCs w:val="22"/>
        </w:rPr>
        <w:t xml:space="preserve"> a ranking of 19th out of 30 OECD countries.  </w:t>
      </w:r>
      <w:smartTag w:uri="urn:schemas-microsoft-com:office:smarttags" w:element="country-region">
        <w:r w:rsidRPr="00385190">
          <w:rPr>
            <w:rFonts w:cs="Arial"/>
            <w:sz w:val="20"/>
            <w:szCs w:val="22"/>
          </w:rPr>
          <w:t>New Zealand</w:t>
        </w:r>
      </w:smartTag>
      <w:r w:rsidRPr="00385190">
        <w:rPr>
          <w:rFonts w:cs="Arial"/>
          <w:sz w:val="20"/>
          <w:szCs w:val="22"/>
        </w:rPr>
        <w:t xml:space="preserve">’s P90:P10 ratio was below that of the </w:t>
      </w:r>
      <w:smartTag w:uri="urn:schemas-microsoft-com:office:smarttags" w:element="country-region">
        <w:r w:rsidRPr="00385190">
          <w:rPr>
            <w:rFonts w:cs="Arial"/>
            <w:sz w:val="20"/>
            <w:szCs w:val="22"/>
          </w:rPr>
          <w:t>United States</w:t>
        </w:r>
      </w:smartTag>
      <w:r w:rsidRPr="00385190">
        <w:rPr>
          <w:rFonts w:cs="Arial"/>
          <w:sz w:val="20"/>
          <w:szCs w:val="22"/>
        </w:rPr>
        <w:t xml:space="preserve"> (5.9), similar to that of </w:t>
      </w:r>
      <w:smartTag w:uri="urn:schemas-microsoft-com:office:smarttags" w:element="country-region">
        <w:r w:rsidRPr="00385190">
          <w:rPr>
            <w:rFonts w:cs="Arial"/>
            <w:sz w:val="20"/>
            <w:szCs w:val="22"/>
          </w:rPr>
          <w:t>Ireland</w:t>
        </w:r>
      </w:smartTag>
      <w:r w:rsidRPr="00385190">
        <w:rPr>
          <w:rFonts w:cs="Arial"/>
          <w:sz w:val="20"/>
          <w:szCs w:val="22"/>
        </w:rPr>
        <w:t xml:space="preserve"> (4.4), </w:t>
      </w:r>
      <w:smartTag w:uri="urn:schemas-microsoft-com:office:smarttags" w:element="country-region">
        <w:r>
          <w:rPr>
            <w:rFonts w:cs="Arial"/>
            <w:sz w:val="20"/>
            <w:szCs w:val="22"/>
          </w:rPr>
          <w:t>Italy</w:t>
        </w:r>
      </w:smartTag>
      <w:r>
        <w:rPr>
          <w:rFonts w:cs="Arial"/>
          <w:sz w:val="20"/>
          <w:szCs w:val="22"/>
        </w:rPr>
        <w:t xml:space="preserve"> (4.3), </w:t>
      </w:r>
      <w:r w:rsidRPr="00385190">
        <w:rPr>
          <w:rFonts w:cs="Arial"/>
          <w:sz w:val="20"/>
          <w:szCs w:val="22"/>
        </w:rPr>
        <w:t xml:space="preserve">the </w:t>
      </w:r>
      <w:smartTag w:uri="urn:schemas-microsoft-com:office:smarttags" w:element="country-region">
        <w:r w:rsidRPr="00385190">
          <w:rPr>
            <w:rFonts w:cs="Arial"/>
            <w:sz w:val="20"/>
            <w:szCs w:val="22"/>
          </w:rPr>
          <w:t>United Kingdom</w:t>
        </w:r>
      </w:smartTag>
      <w:r w:rsidRPr="00385190">
        <w:rPr>
          <w:rFonts w:cs="Arial"/>
          <w:sz w:val="20"/>
          <w:szCs w:val="22"/>
        </w:rPr>
        <w:t xml:space="preserve"> (4.2), and </w:t>
      </w:r>
      <w:r>
        <w:rPr>
          <w:rFonts w:cs="Arial"/>
          <w:sz w:val="20"/>
          <w:szCs w:val="22"/>
        </w:rPr>
        <w:t xml:space="preserve">a little above </w:t>
      </w:r>
      <w:smartTag w:uri="urn:schemas-microsoft-com:office:smarttags" w:element="country-region">
        <w:r w:rsidRPr="00385190">
          <w:rPr>
            <w:rFonts w:cs="Arial"/>
            <w:sz w:val="20"/>
            <w:szCs w:val="22"/>
          </w:rPr>
          <w:t>Canada</w:t>
        </w:r>
      </w:smartTag>
      <w:r w:rsidRPr="00385190">
        <w:rPr>
          <w:rFonts w:cs="Arial"/>
          <w:sz w:val="20"/>
          <w:szCs w:val="22"/>
        </w:rPr>
        <w:t xml:space="preserve"> (4.1) and </w:t>
      </w:r>
      <w:smartTag w:uri="urn:schemas-microsoft-com:office:smarttags" w:element="place">
        <w:smartTag w:uri="urn:schemas-microsoft-com:office:smarttags" w:element="country-region">
          <w:r w:rsidRPr="00385190">
            <w:rPr>
              <w:rFonts w:cs="Arial"/>
              <w:sz w:val="20"/>
              <w:szCs w:val="22"/>
            </w:rPr>
            <w:t>Australia</w:t>
          </w:r>
        </w:smartTag>
      </w:smartTag>
      <w:r>
        <w:rPr>
          <w:rFonts w:cs="Arial"/>
          <w:sz w:val="20"/>
          <w:szCs w:val="22"/>
        </w:rPr>
        <w:t xml:space="preserve"> (4.0).  The OECD average c2004 was 4.1</w:t>
      </w:r>
      <w:r w:rsidRPr="00385190">
        <w:rPr>
          <w:rFonts w:cs="Arial"/>
          <w:sz w:val="20"/>
          <w:szCs w:val="22"/>
        </w:rPr>
        <w:t xml:space="preserve">.  </w:t>
      </w:r>
      <w:smartTag w:uri="urn:schemas-microsoft-com:office:smarttags" w:element="country-region">
        <w:r>
          <w:rPr>
            <w:rFonts w:cs="Arial"/>
            <w:sz w:val="20"/>
            <w:szCs w:val="22"/>
          </w:rPr>
          <w:t>Denmark</w:t>
        </w:r>
      </w:smartTag>
      <w:r>
        <w:rPr>
          <w:rFonts w:cs="Arial"/>
          <w:sz w:val="20"/>
          <w:szCs w:val="22"/>
        </w:rPr>
        <w:t xml:space="preserve">, </w:t>
      </w:r>
      <w:smartTag w:uri="urn:schemas-microsoft-com:office:smarttags" w:element="country-region">
        <w:r>
          <w:rPr>
            <w:rFonts w:cs="Arial"/>
            <w:sz w:val="20"/>
            <w:szCs w:val="22"/>
          </w:rPr>
          <w:t>Norway</w:t>
        </w:r>
      </w:smartTag>
      <w:r>
        <w:rPr>
          <w:rFonts w:cs="Arial"/>
          <w:sz w:val="20"/>
          <w:szCs w:val="22"/>
        </w:rPr>
        <w:t xml:space="preserve"> and </w:t>
      </w:r>
      <w:smartTag w:uri="urn:schemas-microsoft-com:office:smarttags" w:element="place">
        <w:smartTag w:uri="urn:schemas-microsoft-com:office:smarttags" w:element="country-region">
          <w:r>
            <w:rPr>
              <w:rFonts w:cs="Arial"/>
              <w:sz w:val="20"/>
              <w:szCs w:val="22"/>
            </w:rPr>
            <w:t>Sweden</w:t>
          </w:r>
        </w:smartTag>
      </w:smartTag>
      <w:r>
        <w:rPr>
          <w:rFonts w:cs="Arial"/>
          <w:sz w:val="20"/>
          <w:szCs w:val="22"/>
        </w:rPr>
        <w:t xml:space="preserve"> </w:t>
      </w:r>
      <w:r w:rsidRPr="00385190">
        <w:rPr>
          <w:rFonts w:cs="Arial"/>
          <w:sz w:val="20"/>
          <w:szCs w:val="22"/>
        </w:rPr>
        <w:t>have the lowest P90/P10 ratios in the 2.7 to 2.8 range.</w:t>
      </w:r>
    </w:p>
    <w:p w:rsidR="00EE3232" w:rsidRPr="00385190" w:rsidRDefault="00EE3232" w:rsidP="00EE3232">
      <w:pPr>
        <w:jc w:val="both"/>
        <w:rPr>
          <w:rFonts w:cs="Arial"/>
          <w:sz w:val="20"/>
          <w:szCs w:val="22"/>
          <w:u w:val="single"/>
        </w:rPr>
      </w:pPr>
    </w:p>
    <w:p w:rsidR="00EE3232" w:rsidRPr="00385190" w:rsidRDefault="00EE3232" w:rsidP="00EE3232">
      <w:pPr>
        <w:jc w:val="both"/>
        <w:rPr>
          <w:rFonts w:cs="Arial"/>
          <w:sz w:val="20"/>
          <w:szCs w:val="22"/>
        </w:rPr>
      </w:pPr>
      <w:r w:rsidRPr="00385190">
        <w:rPr>
          <w:rFonts w:cs="Arial"/>
          <w:sz w:val="20"/>
          <w:szCs w:val="22"/>
        </w:rPr>
        <w:t xml:space="preserve">The P90/P10 ratio for </w:t>
      </w:r>
      <w:smartTag w:uri="urn:schemas-microsoft-com:office:smarttags" w:element="place">
        <w:smartTag w:uri="urn:schemas-microsoft-com:office:smarttags" w:element="country-region">
          <w:r w:rsidRPr="00385190">
            <w:rPr>
              <w:rFonts w:cs="Arial"/>
              <w:sz w:val="20"/>
              <w:szCs w:val="22"/>
            </w:rPr>
            <w:t>New Zealand</w:t>
          </w:r>
        </w:smartTag>
      </w:smartTag>
      <w:r w:rsidRPr="00385190">
        <w:rPr>
          <w:rFonts w:cs="Arial"/>
          <w:sz w:val="20"/>
          <w:szCs w:val="22"/>
        </w:rPr>
        <w:t xml:space="preserve"> </w:t>
      </w:r>
      <w:r>
        <w:rPr>
          <w:rFonts w:cs="Arial"/>
          <w:sz w:val="20"/>
          <w:szCs w:val="22"/>
        </w:rPr>
        <w:t>in 2010 (4.1) was lower than it was in 2004 (4.3).</w:t>
      </w:r>
    </w:p>
    <w:p w:rsidR="00EE3232" w:rsidRDefault="00EE3232" w:rsidP="00EE3232">
      <w:pPr>
        <w:jc w:val="both"/>
        <w:rPr>
          <w:rFonts w:cs="Arial"/>
          <w:sz w:val="20"/>
          <w:szCs w:val="22"/>
        </w:rPr>
      </w:pPr>
    </w:p>
    <w:p w:rsidR="00EE3232" w:rsidRDefault="00EE3232" w:rsidP="00EE3232">
      <w:pPr>
        <w:jc w:val="both"/>
        <w:rPr>
          <w:rFonts w:cs="Arial"/>
          <w:sz w:val="20"/>
          <w:szCs w:val="22"/>
        </w:rPr>
      </w:pPr>
      <w:r w:rsidRPr="00385190">
        <w:rPr>
          <w:rFonts w:cs="Arial"/>
          <w:sz w:val="20"/>
          <w:szCs w:val="22"/>
        </w:rPr>
        <w:t xml:space="preserve">P90/P10 ratios rank countries in roughly the same order as does the Gini coefficient.  </w:t>
      </w:r>
      <w:r>
        <w:rPr>
          <w:rFonts w:cs="Arial"/>
          <w:sz w:val="20"/>
          <w:szCs w:val="22"/>
        </w:rPr>
        <w:t xml:space="preserve">This is shown in </w:t>
      </w:r>
      <w:r w:rsidRPr="002E108C">
        <w:rPr>
          <w:rFonts w:cs="Arial"/>
          <w:b/>
          <w:sz w:val="20"/>
          <w:szCs w:val="22"/>
        </w:rPr>
        <w:t>Figure J.</w:t>
      </w:r>
      <w:r>
        <w:rPr>
          <w:rFonts w:cs="Arial"/>
          <w:b/>
          <w:sz w:val="20"/>
          <w:szCs w:val="22"/>
        </w:rPr>
        <w:t>8</w:t>
      </w:r>
      <w:r>
        <w:rPr>
          <w:rFonts w:cs="Arial"/>
          <w:sz w:val="20"/>
          <w:szCs w:val="22"/>
        </w:rPr>
        <w:t xml:space="preserve"> using a straight line regression fit to indicate the relationship (r = 0.96)</w:t>
      </w:r>
    </w:p>
    <w:p w:rsidR="00EE3232" w:rsidRDefault="00EE3232" w:rsidP="00EE3232">
      <w:pPr>
        <w:jc w:val="center"/>
        <w:rPr>
          <w:rFonts w:cs="Arial"/>
          <w:b/>
          <w:sz w:val="20"/>
        </w:rPr>
      </w:pPr>
    </w:p>
    <w:p w:rsidR="00EE3232" w:rsidRPr="002E108C" w:rsidRDefault="00EE3232" w:rsidP="00EE3232">
      <w:pPr>
        <w:jc w:val="center"/>
        <w:rPr>
          <w:rFonts w:cs="Arial"/>
          <w:b/>
          <w:sz w:val="18"/>
          <w:szCs w:val="18"/>
        </w:rPr>
      </w:pPr>
      <w:r w:rsidRPr="002E108C">
        <w:rPr>
          <w:rFonts w:cs="Arial"/>
          <w:b/>
          <w:sz w:val="18"/>
          <w:szCs w:val="18"/>
        </w:rPr>
        <w:t>Figure J.</w:t>
      </w:r>
      <w:r>
        <w:rPr>
          <w:rFonts w:cs="Arial"/>
          <w:b/>
          <w:sz w:val="18"/>
          <w:szCs w:val="18"/>
        </w:rPr>
        <w:t>8</w:t>
      </w:r>
    </w:p>
    <w:p w:rsidR="00EE3232" w:rsidRDefault="00EE3232" w:rsidP="00EE3232">
      <w:pPr>
        <w:jc w:val="center"/>
        <w:rPr>
          <w:rFonts w:cs="Arial"/>
          <w:b/>
          <w:sz w:val="18"/>
          <w:szCs w:val="18"/>
        </w:rPr>
      </w:pPr>
      <w:r>
        <w:rPr>
          <w:rFonts w:cs="Arial"/>
          <w:b/>
          <w:sz w:val="18"/>
          <w:szCs w:val="18"/>
        </w:rPr>
        <w:t>The Gini coefficient and the 90:10 percentile ratio rank OECD countries in much the same order:</w:t>
      </w:r>
    </w:p>
    <w:p w:rsidR="00EE3232" w:rsidRDefault="00EE3232" w:rsidP="00EE3232">
      <w:pPr>
        <w:jc w:val="center"/>
        <w:rPr>
          <w:rFonts w:cs="Arial"/>
          <w:sz w:val="20"/>
          <w:szCs w:val="22"/>
        </w:rPr>
      </w:pPr>
      <w:r>
        <w:rPr>
          <w:rFonts w:cs="Arial"/>
          <w:b/>
          <w:sz w:val="18"/>
          <w:szCs w:val="18"/>
        </w:rPr>
        <w:t>linear regression for 30 countries, c 2004</w:t>
      </w:r>
    </w:p>
    <w:p w:rsidR="00EE3232" w:rsidRPr="00827343" w:rsidRDefault="00EC0BE0" w:rsidP="00EE3232">
      <w:pPr>
        <w:jc w:val="center"/>
        <w:rPr>
          <w:szCs w:val="22"/>
        </w:rPr>
      </w:pPr>
      <w:r>
        <w:rPr>
          <w:noProof/>
          <w:lang w:val="en-US"/>
        </w:rPr>
        <w:drawing>
          <wp:inline distT="0" distB="0" distL="0" distR="0">
            <wp:extent cx="3276600" cy="20288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a:srcRect/>
                    <a:stretch>
                      <a:fillRect/>
                    </a:stretch>
                  </pic:blipFill>
                  <pic:spPr bwMode="auto">
                    <a:xfrm>
                      <a:off x="0" y="0"/>
                      <a:ext cx="3276600" cy="2028825"/>
                    </a:xfrm>
                    <a:prstGeom prst="rect">
                      <a:avLst/>
                    </a:prstGeom>
                    <a:noFill/>
                    <a:ln w="9525">
                      <a:noFill/>
                      <a:miter lim="800000"/>
                      <a:headEnd/>
                      <a:tailEnd/>
                    </a:ln>
                  </pic:spPr>
                </pic:pic>
              </a:graphicData>
            </a:graphic>
          </wp:inline>
        </w:drawing>
      </w:r>
    </w:p>
    <w:p w:rsidR="00EE3232" w:rsidRDefault="00EE3232" w:rsidP="00EE3232">
      <w:pPr>
        <w:jc w:val="both"/>
        <w:rPr>
          <w:rFonts w:cs="Arial"/>
          <w:szCs w:val="22"/>
          <w:u w:val="single"/>
        </w:rPr>
      </w:pPr>
    </w:p>
    <w:p w:rsidR="00EE3232" w:rsidRPr="00385190" w:rsidRDefault="001A7382" w:rsidP="00EE3232">
      <w:pPr>
        <w:jc w:val="both"/>
        <w:rPr>
          <w:rFonts w:cs="Arial"/>
          <w:b/>
          <w:sz w:val="20"/>
          <w:szCs w:val="22"/>
        </w:rPr>
      </w:pPr>
      <w:r>
        <w:rPr>
          <w:rFonts w:cs="Arial"/>
          <w:b/>
          <w:sz w:val="20"/>
          <w:szCs w:val="22"/>
        </w:rPr>
        <w:t>C</w:t>
      </w:r>
      <w:r w:rsidR="00EE3232">
        <w:rPr>
          <w:rFonts w:cs="Arial"/>
          <w:b/>
          <w:sz w:val="20"/>
          <w:szCs w:val="22"/>
        </w:rPr>
        <w:t xml:space="preserve">omparisons between </w:t>
      </w:r>
      <w:smartTag w:uri="urn:schemas-microsoft-com:office:smarttags" w:element="country-region">
        <w:r w:rsidR="00EE3232">
          <w:rPr>
            <w:rFonts w:cs="Arial"/>
            <w:b/>
            <w:sz w:val="20"/>
            <w:szCs w:val="22"/>
          </w:rPr>
          <w:t>Australia</w:t>
        </w:r>
      </w:smartTag>
      <w:r w:rsidR="00EE3232">
        <w:rPr>
          <w:rFonts w:cs="Arial"/>
          <w:b/>
          <w:sz w:val="20"/>
          <w:szCs w:val="22"/>
        </w:rPr>
        <w:t xml:space="preserve"> and </w:t>
      </w:r>
      <w:smartTag w:uri="urn:schemas-microsoft-com:office:smarttags" w:element="place">
        <w:smartTag w:uri="urn:schemas-microsoft-com:office:smarttags" w:element="country-region">
          <w:r w:rsidR="00EE3232">
            <w:rPr>
              <w:rFonts w:cs="Arial"/>
              <w:b/>
              <w:sz w:val="20"/>
              <w:szCs w:val="22"/>
            </w:rPr>
            <w:t>New Zealand</w:t>
          </w:r>
        </w:smartTag>
      </w:smartTag>
    </w:p>
    <w:p w:rsidR="00EE3232" w:rsidRPr="00385190" w:rsidRDefault="00EE3232" w:rsidP="00EE3232">
      <w:pPr>
        <w:jc w:val="both"/>
        <w:rPr>
          <w:rFonts w:cs="Arial"/>
          <w:b/>
          <w:sz w:val="20"/>
          <w:szCs w:val="22"/>
        </w:rPr>
      </w:pPr>
    </w:p>
    <w:p w:rsidR="00EE3232" w:rsidRDefault="00EE3232" w:rsidP="00EE3232">
      <w:pPr>
        <w:rPr>
          <w:rFonts w:cs="Arial"/>
          <w:sz w:val="20"/>
          <w:szCs w:val="22"/>
        </w:rPr>
      </w:pPr>
      <w:r w:rsidRPr="00692089">
        <w:rPr>
          <w:rFonts w:cs="Arial"/>
          <w:b/>
          <w:sz w:val="20"/>
          <w:szCs w:val="22"/>
        </w:rPr>
        <w:t>Table J.</w:t>
      </w:r>
      <w:r>
        <w:rPr>
          <w:rFonts w:cs="Arial"/>
          <w:b/>
          <w:sz w:val="20"/>
          <w:szCs w:val="22"/>
        </w:rPr>
        <w:t>9</w:t>
      </w:r>
      <w:r>
        <w:rPr>
          <w:rFonts w:cs="Arial"/>
          <w:sz w:val="20"/>
          <w:szCs w:val="22"/>
        </w:rPr>
        <w:t xml:space="preserve"> shows that household income inequality in </w:t>
      </w:r>
      <w:smartTag w:uri="urn:schemas-microsoft-com:office:smarttags" w:element="country-region">
        <w:r>
          <w:rPr>
            <w:rFonts w:cs="Arial"/>
            <w:sz w:val="20"/>
            <w:szCs w:val="22"/>
          </w:rPr>
          <w:t>Australia</w:t>
        </w:r>
      </w:smartTag>
      <w:r>
        <w:rPr>
          <w:rFonts w:cs="Arial"/>
          <w:sz w:val="20"/>
          <w:szCs w:val="22"/>
        </w:rPr>
        <w:t xml:space="preserve"> (2009-10) and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(2009) is similar on three measures.  In each case, the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figure is slightly lower, but there is unlikely to be any statistically significant difference between them.</w:t>
      </w:r>
      <w:r>
        <w:rPr>
          <w:rStyle w:val="FootnoteReference"/>
          <w:rFonts w:cs="Arial"/>
          <w:sz w:val="20"/>
          <w:szCs w:val="22"/>
        </w:rPr>
        <w:footnoteReference w:id="93"/>
      </w:r>
      <w:r>
        <w:rPr>
          <w:rFonts w:cs="Arial"/>
          <w:sz w:val="20"/>
          <w:szCs w:val="22"/>
        </w:rPr>
        <w:t xml:space="preserve"> </w:t>
      </w:r>
      <w:r w:rsidRPr="00385190">
        <w:rPr>
          <w:rFonts w:cs="Arial"/>
          <w:sz w:val="20"/>
          <w:szCs w:val="22"/>
        </w:rPr>
        <w:t xml:space="preserve">  </w:t>
      </w:r>
    </w:p>
    <w:p w:rsidR="00EE3232" w:rsidRDefault="00EE3232" w:rsidP="00EE3232">
      <w:pPr>
        <w:rPr>
          <w:rFonts w:cs="Arial"/>
          <w:sz w:val="20"/>
          <w:szCs w:val="22"/>
        </w:rPr>
      </w:pPr>
    </w:p>
    <w:p w:rsidR="00EE3232" w:rsidRPr="00BC6582" w:rsidRDefault="00EE3232" w:rsidP="00EE3232">
      <w:pPr>
        <w:jc w:val="center"/>
        <w:rPr>
          <w:rFonts w:cs="Arial"/>
          <w:b/>
          <w:sz w:val="18"/>
        </w:rPr>
      </w:pPr>
      <w:r w:rsidRPr="00BC6582">
        <w:rPr>
          <w:rFonts w:cs="Arial"/>
          <w:b/>
          <w:sz w:val="18"/>
        </w:rPr>
        <w:t>Table J</w:t>
      </w:r>
      <w:r>
        <w:rPr>
          <w:rFonts w:cs="Arial"/>
          <w:b/>
          <w:sz w:val="18"/>
        </w:rPr>
        <w:t>.9</w:t>
      </w:r>
    </w:p>
    <w:p w:rsidR="00EE3232" w:rsidRPr="00BC6582" w:rsidRDefault="00EE3232" w:rsidP="00EE3232">
      <w:pPr>
        <w:spacing w:after="120"/>
        <w:jc w:val="center"/>
        <w:rPr>
          <w:rFonts w:cs="Arial"/>
          <w:b/>
          <w:sz w:val="18"/>
        </w:rPr>
      </w:pPr>
      <w:r>
        <w:rPr>
          <w:rFonts w:cs="Arial"/>
          <w:b/>
          <w:sz w:val="18"/>
        </w:rPr>
        <w:t xml:space="preserve">Income inequality: </w:t>
      </w:r>
      <w:smartTag w:uri="urn:schemas-microsoft-com:office:smarttags" w:element="country-region">
        <w:r>
          <w:rPr>
            <w:rFonts w:cs="Arial"/>
            <w:b/>
            <w:sz w:val="18"/>
          </w:rPr>
          <w:t>New Zealand</w:t>
        </w:r>
      </w:smartTag>
      <w:r>
        <w:rPr>
          <w:rFonts w:cs="Arial"/>
          <w:b/>
          <w:sz w:val="18"/>
        </w:rPr>
        <w:t xml:space="preserve"> and </w:t>
      </w:r>
      <w:smartTag w:uri="urn:schemas-microsoft-com:office:smarttags" w:element="place">
        <w:smartTag w:uri="urn:schemas-microsoft-com:office:smarttags" w:element="country-region">
          <w:r>
            <w:rPr>
              <w:rFonts w:cs="Arial"/>
              <w:b/>
              <w:sz w:val="18"/>
            </w:rPr>
            <w:t>Australia</w:t>
          </w:r>
        </w:smartTag>
      </w:smartTag>
      <w:r>
        <w:rPr>
          <w:rFonts w:cs="Arial"/>
          <w:b/>
          <w:sz w:val="18"/>
        </w:rPr>
        <w:t xml:space="preserve"> compared</w:t>
      </w:r>
    </w:p>
    <w:tbl>
      <w:tblPr>
        <w:tblStyle w:val="TableGrid"/>
        <w:tblW w:w="0" w:type="auto"/>
        <w:jc w:val="center"/>
        <w:tblInd w:w="-8" w:type="dxa"/>
        <w:tblLook w:val="01E0"/>
      </w:tblPr>
      <w:tblGrid>
        <w:gridCol w:w="1986"/>
        <w:gridCol w:w="1399"/>
        <w:gridCol w:w="1260"/>
      </w:tblGrid>
      <w:tr w:rsidR="00EE3232">
        <w:trPr>
          <w:jc w:val="center"/>
        </w:trPr>
        <w:tc>
          <w:tcPr>
            <w:tcW w:w="1986" w:type="dxa"/>
          </w:tcPr>
          <w:p w:rsidR="00EE3232" w:rsidRPr="00D94765" w:rsidRDefault="00EE3232" w:rsidP="00614C04">
            <w:pPr>
              <w:spacing w:before="60" w:after="60"/>
              <w:rPr>
                <w:rFonts w:cs="Arial"/>
                <w:b/>
                <w:sz w:val="16"/>
                <w:szCs w:val="16"/>
              </w:rPr>
            </w:pPr>
          </w:p>
        </w:tc>
        <w:tc>
          <w:tcPr>
            <w:tcW w:w="1399" w:type="dxa"/>
          </w:tcPr>
          <w:p w:rsidR="00EE3232" w:rsidRPr="00692089" w:rsidRDefault="00EE3232" w:rsidP="00614C04">
            <w:pPr>
              <w:spacing w:before="60" w:after="60"/>
              <w:jc w:val="center"/>
              <w:rPr>
                <w:rFonts w:cs="Arial"/>
                <w:b/>
                <w:sz w:val="16"/>
                <w:szCs w:val="16"/>
              </w:rPr>
            </w:pPr>
            <w:smartTag w:uri="urn:schemas-microsoft-com:office:smarttags" w:element="place">
              <w:smartTag w:uri="urn:schemas-microsoft-com:office:smarttags" w:element="country-region">
                <w:r w:rsidRPr="00692089">
                  <w:rPr>
                    <w:rFonts w:cs="Arial"/>
                    <w:b/>
                    <w:sz w:val="16"/>
                    <w:szCs w:val="16"/>
                  </w:rPr>
                  <w:t>New Zealand</w:t>
                </w:r>
              </w:smartTag>
            </w:smartTag>
          </w:p>
        </w:tc>
        <w:tc>
          <w:tcPr>
            <w:tcW w:w="1260" w:type="dxa"/>
          </w:tcPr>
          <w:p w:rsidR="00EE3232" w:rsidRPr="00692089" w:rsidRDefault="00EE3232" w:rsidP="00614C04">
            <w:pPr>
              <w:spacing w:before="60" w:after="60"/>
              <w:jc w:val="center"/>
              <w:rPr>
                <w:rFonts w:cs="Arial"/>
                <w:b/>
                <w:sz w:val="16"/>
                <w:szCs w:val="16"/>
              </w:rPr>
            </w:pPr>
            <w:smartTag w:uri="urn:schemas-microsoft-com:office:smarttags" w:element="place">
              <w:smartTag w:uri="urn:schemas-microsoft-com:office:smarttags" w:element="country-region">
                <w:r w:rsidRPr="00692089">
                  <w:rPr>
                    <w:rFonts w:cs="Arial"/>
                    <w:b/>
                    <w:sz w:val="16"/>
                    <w:szCs w:val="16"/>
                  </w:rPr>
                  <w:t>Australia</w:t>
                </w:r>
              </w:smartTag>
            </w:smartTag>
          </w:p>
        </w:tc>
      </w:tr>
      <w:tr w:rsidR="00EE3232">
        <w:trPr>
          <w:jc w:val="center"/>
        </w:trPr>
        <w:tc>
          <w:tcPr>
            <w:tcW w:w="1986" w:type="dxa"/>
            <w:vAlign w:val="center"/>
          </w:tcPr>
          <w:p w:rsidR="00EE3232" w:rsidRPr="00BB2B20" w:rsidRDefault="00EE3232" w:rsidP="00614C04">
            <w:pPr>
              <w:spacing w:before="60" w:after="60"/>
              <w:rPr>
                <w:rFonts w:cs="Arial"/>
                <w:sz w:val="16"/>
                <w:szCs w:val="16"/>
              </w:rPr>
            </w:pPr>
            <w:r>
              <w:rPr>
                <w:rFonts w:cs="Arial"/>
                <w:sz w:val="16"/>
                <w:szCs w:val="16"/>
              </w:rPr>
              <w:t>Gini</w:t>
            </w:r>
          </w:p>
        </w:tc>
        <w:tc>
          <w:tcPr>
            <w:tcW w:w="1399" w:type="dxa"/>
            <w:vAlign w:val="center"/>
          </w:tcPr>
          <w:p w:rsidR="00EE3232" w:rsidRPr="00BB2B20" w:rsidRDefault="00EE3232" w:rsidP="00614C04">
            <w:pPr>
              <w:spacing w:before="60" w:after="60"/>
              <w:jc w:val="center"/>
              <w:rPr>
                <w:rFonts w:cs="Arial"/>
                <w:sz w:val="16"/>
                <w:szCs w:val="16"/>
              </w:rPr>
            </w:pPr>
            <w:r>
              <w:rPr>
                <w:rFonts w:cs="Arial"/>
                <w:sz w:val="16"/>
                <w:szCs w:val="16"/>
              </w:rPr>
              <w:t>32.5</w:t>
            </w:r>
          </w:p>
        </w:tc>
        <w:tc>
          <w:tcPr>
            <w:tcW w:w="1260" w:type="dxa"/>
            <w:vAlign w:val="center"/>
          </w:tcPr>
          <w:p w:rsidR="00EE3232" w:rsidRPr="00BB2B20" w:rsidRDefault="00EE3232" w:rsidP="00614C04">
            <w:pPr>
              <w:spacing w:before="60" w:after="60"/>
              <w:ind w:hanging="33"/>
              <w:jc w:val="center"/>
              <w:rPr>
                <w:rFonts w:cs="Arial"/>
                <w:sz w:val="16"/>
                <w:szCs w:val="16"/>
              </w:rPr>
            </w:pPr>
            <w:r>
              <w:rPr>
                <w:rFonts w:cs="Arial"/>
                <w:sz w:val="16"/>
                <w:szCs w:val="16"/>
              </w:rPr>
              <w:t>32.8</w:t>
            </w:r>
          </w:p>
        </w:tc>
      </w:tr>
      <w:tr w:rsidR="00EE3232">
        <w:trPr>
          <w:jc w:val="center"/>
        </w:trPr>
        <w:tc>
          <w:tcPr>
            <w:tcW w:w="1986" w:type="dxa"/>
            <w:vAlign w:val="center"/>
          </w:tcPr>
          <w:p w:rsidR="00EE3232" w:rsidRPr="00BB2B20" w:rsidRDefault="00EE3232" w:rsidP="00614C04">
            <w:pPr>
              <w:spacing w:before="60" w:after="60"/>
              <w:rPr>
                <w:rFonts w:cs="Arial"/>
                <w:sz w:val="16"/>
                <w:szCs w:val="16"/>
              </w:rPr>
            </w:pPr>
            <w:r>
              <w:rPr>
                <w:rFonts w:cs="Arial"/>
                <w:sz w:val="16"/>
                <w:szCs w:val="16"/>
              </w:rPr>
              <w:t>80:20 percentile ratio</w:t>
            </w:r>
          </w:p>
        </w:tc>
        <w:tc>
          <w:tcPr>
            <w:tcW w:w="1399" w:type="dxa"/>
            <w:vAlign w:val="center"/>
          </w:tcPr>
          <w:p w:rsidR="00EE3232" w:rsidRPr="00BB2B20" w:rsidRDefault="00EE3232" w:rsidP="00614C04">
            <w:pPr>
              <w:spacing w:before="60" w:after="60"/>
              <w:jc w:val="center"/>
              <w:rPr>
                <w:rFonts w:cs="Arial"/>
                <w:sz w:val="16"/>
                <w:szCs w:val="16"/>
              </w:rPr>
            </w:pPr>
            <w:r>
              <w:rPr>
                <w:rFonts w:cs="Arial"/>
                <w:sz w:val="16"/>
                <w:szCs w:val="16"/>
              </w:rPr>
              <w:t>2.52</w:t>
            </w:r>
          </w:p>
        </w:tc>
        <w:tc>
          <w:tcPr>
            <w:tcW w:w="1260" w:type="dxa"/>
            <w:vAlign w:val="center"/>
          </w:tcPr>
          <w:p w:rsidR="00EE3232" w:rsidRPr="00BB2B20" w:rsidRDefault="00EE3232" w:rsidP="00614C04">
            <w:pPr>
              <w:spacing w:before="60" w:after="60"/>
              <w:jc w:val="center"/>
              <w:rPr>
                <w:rFonts w:cs="Arial"/>
                <w:sz w:val="16"/>
                <w:szCs w:val="16"/>
              </w:rPr>
            </w:pPr>
            <w:r>
              <w:rPr>
                <w:rFonts w:cs="Arial"/>
                <w:sz w:val="16"/>
                <w:szCs w:val="16"/>
              </w:rPr>
              <w:t>2.70</w:t>
            </w:r>
          </w:p>
        </w:tc>
      </w:tr>
      <w:tr w:rsidR="00EE3232">
        <w:trPr>
          <w:jc w:val="center"/>
        </w:trPr>
        <w:tc>
          <w:tcPr>
            <w:tcW w:w="1986" w:type="dxa"/>
            <w:vAlign w:val="center"/>
          </w:tcPr>
          <w:p w:rsidR="00EE3232" w:rsidRPr="00BB2B20" w:rsidRDefault="00EE3232" w:rsidP="00614C04">
            <w:pPr>
              <w:spacing w:before="60" w:after="60"/>
              <w:rPr>
                <w:rFonts w:cs="Arial"/>
                <w:sz w:val="16"/>
                <w:szCs w:val="16"/>
              </w:rPr>
            </w:pPr>
            <w:r>
              <w:rPr>
                <w:rFonts w:cs="Arial"/>
                <w:sz w:val="16"/>
                <w:szCs w:val="16"/>
              </w:rPr>
              <w:t>90:10 percentile ratio</w:t>
            </w:r>
          </w:p>
        </w:tc>
        <w:tc>
          <w:tcPr>
            <w:tcW w:w="1399" w:type="dxa"/>
            <w:vAlign w:val="center"/>
          </w:tcPr>
          <w:p w:rsidR="00EE3232" w:rsidRPr="00BB2B20" w:rsidRDefault="00EE3232" w:rsidP="00614C04">
            <w:pPr>
              <w:spacing w:before="60" w:after="60"/>
              <w:jc w:val="center"/>
              <w:rPr>
                <w:rFonts w:cs="Arial"/>
                <w:sz w:val="16"/>
                <w:szCs w:val="16"/>
              </w:rPr>
            </w:pPr>
            <w:r>
              <w:rPr>
                <w:rFonts w:cs="Arial"/>
                <w:sz w:val="16"/>
                <w:szCs w:val="16"/>
              </w:rPr>
              <w:t>4.0</w:t>
            </w:r>
          </w:p>
        </w:tc>
        <w:tc>
          <w:tcPr>
            <w:tcW w:w="1260" w:type="dxa"/>
            <w:vAlign w:val="center"/>
          </w:tcPr>
          <w:p w:rsidR="00EE3232" w:rsidRPr="00BB2B20" w:rsidRDefault="00EE3232" w:rsidP="00614C04">
            <w:pPr>
              <w:spacing w:before="60" w:after="60"/>
              <w:jc w:val="center"/>
              <w:rPr>
                <w:rFonts w:cs="Arial"/>
                <w:sz w:val="16"/>
                <w:szCs w:val="16"/>
              </w:rPr>
            </w:pPr>
            <w:r>
              <w:rPr>
                <w:rFonts w:cs="Arial"/>
                <w:sz w:val="16"/>
                <w:szCs w:val="16"/>
              </w:rPr>
              <w:t>4.2</w:t>
            </w:r>
          </w:p>
        </w:tc>
      </w:tr>
    </w:tbl>
    <w:p w:rsidR="00EE3232" w:rsidRDefault="00EE3232" w:rsidP="00EE3232">
      <w:pPr>
        <w:spacing w:before="120"/>
        <w:ind w:left="1987" w:right="1195"/>
        <w:rPr>
          <w:sz w:val="18"/>
          <w:szCs w:val="18"/>
        </w:rPr>
      </w:pPr>
      <w:r w:rsidRPr="00EF7BC7">
        <w:rPr>
          <w:rFonts w:cs="Arial"/>
          <w:sz w:val="18"/>
          <w:szCs w:val="18"/>
          <w:u w:val="single"/>
        </w:rPr>
        <w:t>Source</w:t>
      </w:r>
      <w:r>
        <w:rPr>
          <w:rFonts w:cs="Arial"/>
          <w:sz w:val="18"/>
          <w:szCs w:val="18"/>
          <w:u w:val="single"/>
        </w:rPr>
        <w:t xml:space="preserve"> for Australian figures:</w:t>
      </w:r>
      <w:r>
        <w:rPr>
          <w:rFonts w:cs="Arial"/>
          <w:sz w:val="18"/>
          <w:szCs w:val="18"/>
        </w:rPr>
        <w:t xml:space="preserve">  </w:t>
      </w:r>
      <w:r w:rsidRPr="00E26DB6">
        <w:rPr>
          <w:sz w:val="18"/>
          <w:szCs w:val="18"/>
        </w:rPr>
        <w:t xml:space="preserve">Table </w:t>
      </w:r>
      <w:r>
        <w:rPr>
          <w:sz w:val="18"/>
          <w:szCs w:val="18"/>
        </w:rPr>
        <w:t>S%</w:t>
      </w:r>
      <w:r w:rsidRPr="00E26DB6">
        <w:rPr>
          <w:sz w:val="18"/>
          <w:szCs w:val="18"/>
        </w:rPr>
        <w:t xml:space="preserve"> in </w:t>
      </w:r>
      <w:smartTag w:uri="urn:schemas-microsoft-com:office:smarttags" w:element="stockticker">
        <w:r w:rsidRPr="00E26DB6">
          <w:rPr>
            <w:sz w:val="18"/>
            <w:szCs w:val="18"/>
          </w:rPr>
          <w:t>ABS</w:t>
        </w:r>
      </w:smartTag>
      <w:r w:rsidRPr="00E26DB6">
        <w:rPr>
          <w:sz w:val="18"/>
          <w:szCs w:val="18"/>
        </w:rPr>
        <w:t xml:space="preserve"> (20</w:t>
      </w:r>
      <w:r>
        <w:rPr>
          <w:sz w:val="18"/>
          <w:szCs w:val="18"/>
        </w:rPr>
        <w:t>11</w:t>
      </w:r>
      <w:r w:rsidRPr="00E26DB6">
        <w:rPr>
          <w:sz w:val="18"/>
          <w:szCs w:val="18"/>
        </w:rPr>
        <w:t>)</w:t>
      </w:r>
      <w:r>
        <w:rPr>
          <w:sz w:val="18"/>
          <w:szCs w:val="18"/>
        </w:rPr>
        <w:t>, based on the 2009-10 Survey of Income and Housing (</w:t>
      </w:r>
      <w:smartTag w:uri="urn:schemas-microsoft-com:office:smarttags" w:element="stockticker">
        <w:r>
          <w:rPr>
            <w:sz w:val="18"/>
            <w:szCs w:val="18"/>
          </w:rPr>
          <w:t>SIH</w:t>
        </w:r>
      </w:smartTag>
      <w:r>
        <w:rPr>
          <w:sz w:val="18"/>
          <w:szCs w:val="18"/>
        </w:rPr>
        <w:t>).</w:t>
      </w:r>
      <w:r>
        <w:rPr>
          <w:rStyle w:val="FootnoteReference"/>
          <w:sz w:val="18"/>
          <w:szCs w:val="18"/>
        </w:rPr>
        <w:footnoteReference w:id="94"/>
      </w:r>
    </w:p>
    <w:p w:rsidR="00EE3232" w:rsidRPr="00A21EFF" w:rsidRDefault="00EE3232" w:rsidP="00EE3232">
      <w:pPr>
        <w:jc w:val="both"/>
        <w:rPr>
          <w:b/>
          <w:sz w:val="24"/>
          <w:szCs w:val="28"/>
        </w:rPr>
      </w:pPr>
      <w:r>
        <w:rPr>
          <w:b/>
          <w:sz w:val="24"/>
          <w:szCs w:val="28"/>
        </w:rPr>
        <w:br w:type="page"/>
      </w:r>
      <w:r w:rsidRPr="00A21EFF">
        <w:rPr>
          <w:b/>
          <w:sz w:val="24"/>
          <w:szCs w:val="28"/>
        </w:rPr>
        <w:lastRenderedPageBreak/>
        <w:t xml:space="preserve">International comparisons of </w:t>
      </w:r>
      <w:r>
        <w:rPr>
          <w:b/>
          <w:sz w:val="24"/>
          <w:szCs w:val="28"/>
        </w:rPr>
        <w:t>wealth inequality</w:t>
      </w: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Wealth is a key component of a household’s economic resources.</w:t>
      </w:r>
      <w:r>
        <w:rPr>
          <w:rStyle w:val="FootnoteReference"/>
          <w:rFonts w:cs="Arial"/>
          <w:sz w:val="20"/>
          <w:szCs w:val="22"/>
        </w:rPr>
        <w:footnoteReference w:id="95"/>
      </w:r>
      <w:r>
        <w:rPr>
          <w:rFonts w:cs="Arial"/>
          <w:sz w:val="20"/>
          <w:szCs w:val="22"/>
        </w:rPr>
        <w:t xml:space="preserve">  For example, households with low incomes but relatively high wealth levels are able to achieve higher actual living standards than low-income households with low wealth levels.  In practice, especially for working-age households, income and wealth are highly (but far from perfectly) correlated.  Most who are counted as income poor also have negligible financial assets and very low net worth.  (See </w:t>
      </w:r>
      <w:r w:rsidRPr="00B9412C">
        <w:rPr>
          <w:rFonts w:cs="Arial"/>
          <w:b/>
          <w:sz w:val="20"/>
          <w:szCs w:val="22"/>
        </w:rPr>
        <w:t>Figure A.1</w:t>
      </w:r>
      <w:r>
        <w:rPr>
          <w:rFonts w:cs="Arial"/>
          <w:sz w:val="20"/>
          <w:szCs w:val="22"/>
        </w:rPr>
        <w:t xml:space="preserve"> and the associated text in the Introduction (Section A).)</w:t>
      </w: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In OECD countries, the measurement of wealth is not as developed as wage and income measurement. The data issues faced by individual countries are compounded for comparisons between countries because of differences in methods and definitions.   Building on the experience of the Luxembourg Income Study (LIS), a group of researchers and institutions is developing the Luxembourg Wealth Study (LWS), an international project to assemble unit record data on household wealth into a coherent database.  The hope is that this will promote a process of reasonable harmonisation of definitions and methodologies across countries, and will facilitate more reliable international comparisons of wealth distribution.</w:t>
      </w:r>
    </w:p>
    <w:p w:rsidR="00EE3232" w:rsidRDefault="00EE3232" w:rsidP="00EE3232">
      <w:pPr>
        <w:jc w:val="both"/>
        <w:rPr>
          <w:rFonts w:cs="Arial"/>
          <w:sz w:val="20"/>
          <w:szCs w:val="22"/>
        </w:rPr>
      </w:pPr>
    </w:p>
    <w:p w:rsidR="00EE3232" w:rsidRDefault="00EE3232" w:rsidP="00EE3232">
      <w:pPr>
        <w:jc w:val="both"/>
        <w:rPr>
          <w:rFonts w:cs="Arial"/>
          <w:sz w:val="20"/>
          <w:szCs w:val="22"/>
        </w:rPr>
      </w:pPr>
      <w:r w:rsidRPr="00720E1D">
        <w:rPr>
          <w:rFonts w:cs="Arial"/>
          <w:b/>
          <w:sz w:val="20"/>
          <w:szCs w:val="22"/>
        </w:rPr>
        <w:t>Table J.10</w:t>
      </w:r>
      <w:r>
        <w:rPr>
          <w:rFonts w:cs="Arial"/>
          <w:sz w:val="20"/>
          <w:szCs w:val="22"/>
        </w:rPr>
        <w:t xml:space="preserve"> shows some of the findings from early research from the LWS project – the share of total wealth held by the top wealth decile for seven OECD countries, and wealth inequality as measured using the Gini coefficient.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is not a participant in the LWS, but roughly comparable figures are available using the SoFIE dataset.</w:t>
      </w:r>
    </w:p>
    <w:p w:rsidR="00EE3232" w:rsidRDefault="00EE3232" w:rsidP="00EE3232">
      <w:pPr>
        <w:jc w:val="both"/>
        <w:rPr>
          <w:rFonts w:cs="Arial"/>
          <w:sz w:val="20"/>
          <w:szCs w:val="22"/>
        </w:rPr>
      </w:pPr>
    </w:p>
    <w:p w:rsidR="00EE3232" w:rsidRPr="00BC6582" w:rsidRDefault="00EE3232" w:rsidP="00EE3232">
      <w:pPr>
        <w:jc w:val="center"/>
        <w:rPr>
          <w:rFonts w:cs="Arial"/>
          <w:b/>
          <w:sz w:val="18"/>
        </w:rPr>
      </w:pPr>
      <w:r w:rsidRPr="00BC6582">
        <w:rPr>
          <w:rFonts w:cs="Arial"/>
          <w:b/>
          <w:sz w:val="18"/>
        </w:rPr>
        <w:t>Table J</w:t>
      </w:r>
      <w:r>
        <w:rPr>
          <w:rFonts w:cs="Arial"/>
          <w:b/>
          <w:sz w:val="18"/>
        </w:rPr>
        <w:t>.10</w:t>
      </w:r>
    </w:p>
    <w:p w:rsidR="00EE3232" w:rsidRDefault="00EE3232" w:rsidP="00EE3232">
      <w:pPr>
        <w:spacing w:after="120"/>
        <w:jc w:val="center"/>
        <w:rPr>
          <w:rFonts w:cs="Arial"/>
          <w:sz w:val="20"/>
          <w:szCs w:val="22"/>
        </w:rPr>
      </w:pPr>
      <w:r>
        <w:rPr>
          <w:rFonts w:cs="Arial"/>
          <w:b/>
          <w:sz w:val="18"/>
        </w:rPr>
        <w:t>Wealth inequality: shares of total wealth held by the top wealth decile (%), and wealth Ginis</w:t>
      </w:r>
    </w:p>
    <w:tbl>
      <w:tblPr>
        <w:tblStyle w:val="TableGrid"/>
        <w:tblW w:w="0" w:type="auto"/>
        <w:tblInd w:w="288" w:type="dxa"/>
        <w:tblLayout w:type="fixed"/>
        <w:tblLook w:val="01E0"/>
      </w:tblPr>
      <w:tblGrid>
        <w:gridCol w:w="1800"/>
        <w:gridCol w:w="851"/>
        <w:gridCol w:w="851"/>
        <w:gridCol w:w="851"/>
        <w:gridCol w:w="851"/>
        <w:gridCol w:w="851"/>
        <w:gridCol w:w="851"/>
        <w:gridCol w:w="851"/>
        <w:gridCol w:w="851"/>
      </w:tblGrid>
      <w:tr w:rsidR="00EE3232">
        <w:tc>
          <w:tcPr>
            <w:tcW w:w="1800" w:type="dxa"/>
          </w:tcPr>
          <w:p w:rsidR="00EE3232" w:rsidRPr="002F21DE" w:rsidRDefault="00EE3232" w:rsidP="00614C04">
            <w:pPr>
              <w:spacing w:before="40"/>
              <w:jc w:val="center"/>
              <w:rPr>
                <w:rFonts w:cs="Arial"/>
                <w:b/>
                <w:sz w:val="16"/>
                <w:szCs w:val="16"/>
              </w:rPr>
            </w:pP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Italy</w:t>
                </w:r>
              </w:smartTag>
            </w:smartTag>
          </w:p>
          <w:p w:rsidR="00EE3232" w:rsidRPr="002F21DE" w:rsidRDefault="00EE3232" w:rsidP="00614C04">
            <w:pPr>
              <w:spacing w:before="40"/>
              <w:jc w:val="center"/>
              <w:rPr>
                <w:rFonts w:cs="Arial"/>
                <w:sz w:val="16"/>
                <w:szCs w:val="16"/>
              </w:rPr>
            </w:pPr>
            <w:r w:rsidRPr="002F21DE">
              <w:rPr>
                <w:rFonts w:cs="Arial"/>
                <w:sz w:val="16"/>
                <w:szCs w:val="16"/>
              </w:rPr>
              <w:t>2002</w:t>
            </w: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UK</w:t>
                </w:r>
              </w:smartTag>
            </w:smartTag>
          </w:p>
          <w:p w:rsidR="00EE3232" w:rsidRPr="002F21DE" w:rsidRDefault="00EE3232" w:rsidP="00614C04">
            <w:pPr>
              <w:spacing w:before="40"/>
              <w:jc w:val="center"/>
              <w:rPr>
                <w:rFonts w:cs="Arial"/>
                <w:sz w:val="16"/>
                <w:szCs w:val="16"/>
              </w:rPr>
            </w:pPr>
            <w:r w:rsidRPr="002F21DE">
              <w:rPr>
                <w:rFonts w:cs="Arial"/>
                <w:sz w:val="16"/>
                <w:szCs w:val="16"/>
              </w:rPr>
              <w:t>2000</w:t>
            </w: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Finland</w:t>
                </w:r>
              </w:smartTag>
            </w:smartTag>
          </w:p>
          <w:p w:rsidR="00EE3232" w:rsidRPr="002F21DE" w:rsidRDefault="00EE3232" w:rsidP="00614C04">
            <w:pPr>
              <w:spacing w:before="40"/>
              <w:jc w:val="center"/>
              <w:rPr>
                <w:rFonts w:cs="Arial"/>
                <w:sz w:val="16"/>
                <w:szCs w:val="16"/>
              </w:rPr>
            </w:pPr>
            <w:r w:rsidRPr="002F21DE">
              <w:rPr>
                <w:rFonts w:cs="Arial"/>
                <w:sz w:val="16"/>
                <w:szCs w:val="16"/>
              </w:rPr>
              <w:t>1998</w:t>
            </w:r>
          </w:p>
        </w:tc>
        <w:tc>
          <w:tcPr>
            <w:tcW w:w="851" w:type="dxa"/>
          </w:tcPr>
          <w:p w:rsidR="00EE3232" w:rsidRDefault="00EE3232" w:rsidP="00614C04">
            <w:pPr>
              <w:spacing w:before="40"/>
              <w:jc w:val="center"/>
              <w:rPr>
                <w:rFonts w:cs="Arial"/>
                <w:b/>
                <w:sz w:val="16"/>
                <w:szCs w:val="16"/>
              </w:rPr>
            </w:pPr>
            <w:r w:rsidRPr="002F21DE">
              <w:rPr>
                <w:rFonts w:cs="Arial"/>
                <w:b/>
                <w:sz w:val="16"/>
                <w:szCs w:val="16"/>
              </w:rPr>
              <w:t>NZ</w:t>
            </w:r>
          </w:p>
          <w:p w:rsidR="00EE3232" w:rsidRPr="002F21DE" w:rsidRDefault="00EE3232" w:rsidP="00614C04">
            <w:pPr>
              <w:spacing w:before="40"/>
              <w:jc w:val="center"/>
              <w:rPr>
                <w:rFonts w:cs="Arial"/>
                <w:sz w:val="16"/>
                <w:szCs w:val="16"/>
              </w:rPr>
            </w:pPr>
            <w:r w:rsidRPr="002F21DE">
              <w:rPr>
                <w:rFonts w:cs="Arial"/>
                <w:sz w:val="16"/>
                <w:szCs w:val="16"/>
              </w:rPr>
              <w:t>2003</w:t>
            </w:r>
            <w:r>
              <w:rPr>
                <w:rFonts w:cs="Arial"/>
                <w:sz w:val="16"/>
                <w:szCs w:val="16"/>
              </w:rPr>
              <w:t>-04</w:t>
            </w: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Canada</w:t>
                </w:r>
              </w:smartTag>
            </w:smartTag>
          </w:p>
          <w:p w:rsidR="00EE3232" w:rsidRPr="002F21DE" w:rsidRDefault="00EE3232" w:rsidP="00614C04">
            <w:pPr>
              <w:spacing w:before="40"/>
              <w:jc w:val="center"/>
              <w:rPr>
                <w:rFonts w:cs="Arial"/>
                <w:sz w:val="16"/>
                <w:szCs w:val="16"/>
              </w:rPr>
            </w:pPr>
            <w:r w:rsidRPr="002F21DE">
              <w:rPr>
                <w:rFonts w:cs="Arial"/>
                <w:sz w:val="16"/>
                <w:szCs w:val="16"/>
              </w:rPr>
              <w:t>1999</w:t>
            </w:r>
          </w:p>
        </w:tc>
        <w:tc>
          <w:tcPr>
            <w:tcW w:w="851" w:type="dxa"/>
            <w:tcMar>
              <w:left w:w="43" w:type="dxa"/>
              <w:right w:w="43" w:type="dxa"/>
            </w:tcMar>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Germany</w:t>
                </w:r>
              </w:smartTag>
            </w:smartTag>
          </w:p>
          <w:p w:rsidR="00EE3232" w:rsidRPr="002F21DE" w:rsidRDefault="00EE3232" w:rsidP="00614C04">
            <w:pPr>
              <w:spacing w:before="40"/>
              <w:jc w:val="center"/>
              <w:rPr>
                <w:rFonts w:cs="Arial"/>
                <w:sz w:val="16"/>
                <w:szCs w:val="16"/>
              </w:rPr>
            </w:pPr>
            <w:r w:rsidRPr="002F21DE">
              <w:rPr>
                <w:rFonts w:cs="Arial"/>
                <w:sz w:val="16"/>
                <w:szCs w:val="16"/>
              </w:rPr>
              <w:t>2002</w:t>
            </w: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Sweden</w:t>
                </w:r>
              </w:smartTag>
            </w:smartTag>
          </w:p>
          <w:p w:rsidR="00EE3232" w:rsidRPr="002F21DE" w:rsidRDefault="00EE3232" w:rsidP="00614C04">
            <w:pPr>
              <w:spacing w:before="40"/>
              <w:jc w:val="center"/>
              <w:rPr>
                <w:rFonts w:cs="Arial"/>
                <w:sz w:val="16"/>
                <w:szCs w:val="16"/>
              </w:rPr>
            </w:pPr>
            <w:r w:rsidRPr="002F21DE">
              <w:rPr>
                <w:rFonts w:cs="Arial"/>
                <w:sz w:val="16"/>
                <w:szCs w:val="16"/>
              </w:rPr>
              <w:t>2002</w:t>
            </w:r>
          </w:p>
        </w:tc>
        <w:tc>
          <w:tcPr>
            <w:tcW w:w="851" w:type="dxa"/>
          </w:tcPr>
          <w:p w:rsidR="00EE3232" w:rsidRDefault="00EE3232" w:rsidP="00614C04">
            <w:pPr>
              <w:spacing w:before="40"/>
              <w:jc w:val="center"/>
              <w:rPr>
                <w:rFonts w:cs="Arial"/>
                <w:b/>
                <w:sz w:val="16"/>
                <w:szCs w:val="16"/>
              </w:rPr>
            </w:pPr>
            <w:smartTag w:uri="urn:schemas-microsoft-com:office:smarttags" w:element="place">
              <w:smartTag w:uri="urn:schemas-microsoft-com:office:smarttags" w:element="country-region">
                <w:r w:rsidRPr="002F21DE">
                  <w:rPr>
                    <w:rFonts w:cs="Arial"/>
                    <w:b/>
                    <w:sz w:val="16"/>
                    <w:szCs w:val="16"/>
                  </w:rPr>
                  <w:t>USA</w:t>
                </w:r>
              </w:smartTag>
            </w:smartTag>
          </w:p>
          <w:p w:rsidR="00EE3232" w:rsidRPr="002F21DE" w:rsidRDefault="00EE3232" w:rsidP="00614C04">
            <w:pPr>
              <w:spacing w:before="40"/>
              <w:jc w:val="center"/>
              <w:rPr>
                <w:rFonts w:cs="Arial"/>
                <w:sz w:val="16"/>
                <w:szCs w:val="16"/>
              </w:rPr>
            </w:pPr>
            <w:r w:rsidRPr="002F21DE">
              <w:rPr>
                <w:rFonts w:cs="Arial"/>
                <w:sz w:val="16"/>
                <w:szCs w:val="16"/>
              </w:rPr>
              <w:t>2001</w:t>
            </w:r>
          </w:p>
        </w:tc>
      </w:tr>
      <w:tr w:rsidR="00EE3232">
        <w:tc>
          <w:tcPr>
            <w:tcW w:w="1800" w:type="dxa"/>
          </w:tcPr>
          <w:p w:rsidR="00EE3232" w:rsidRPr="0029119F" w:rsidRDefault="00EE3232" w:rsidP="00614C04">
            <w:pPr>
              <w:spacing w:before="60" w:after="60"/>
              <w:rPr>
                <w:rFonts w:cs="Arial"/>
                <w:b/>
                <w:sz w:val="16"/>
                <w:szCs w:val="16"/>
              </w:rPr>
            </w:pPr>
            <w:r w:rsidRPr="0029119F">
              <w:rPr>
                <w:rFonts w:cs="Arial"/>
                <w:b/>
                <w:sz w:val="16"/>
                <w:szCs w:val="16"/>
              </w:rPr>
              <w:t>Share of we</w:t>
            </w:r>
            <w:r>
              <w:rPr>
                <w:rFonts w:cs="Arial"/>
                <w:b/>
                <w:sz w:val="16"/>
                <w:szCs w:val="16"/>
              </w:rPr>
              <w:t>al</w:t>
            </w:r>
            <w:r w:rsidRPr="0029119F">
              <w:rPr>
                <w:rFonts w:cs="Arial"/>
                <w:b/>
                <w:sz w:val="16"/>
                <w:szCs w:val="16"/>
              </w:rPr>
              <w:t>th held by top decile</w:t>
            </w:r>
            <w:r>
              <w:rPr>
                <w:rFonts w:cs="Arial"/>
                <w:b/>
                <w:sz w:val="16"/>
                <w:szCs w:val="16"/>
              </w:rPr>
              <w:t xml:space="preserve"> (%)</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42</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45</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45</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52</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53</w:t>
            </w:r>
          </w:p>
        </w:tc>
        <w:tc>
          <w:tcPr>
            <w:tcW w:w="851" w:type="dxa"/>
            <w:tcMar>
              <w:left w:w="43" w:type="dxa"/>
              <w:right w:w="43" w:type="dxa"/>
            </w:tcMar>
            <w:vAlign w:val="center"/>
          </w:tcPr>
          <w:p w:rsidR="00EE3232" w:rsidRPr="002F21DE" w:rsidRDefault="00EE3232" w:rsidP="00614C04">
            <w:pPr>
              <w:spacing w:before="60" w:after="60"/>
              <w:jc w:val="center"/>
              <w:rPr>
                <w:rFonts w:cs="Arial"/>
                <w:sz w:val="16"/>
                <w:szCs w:val="16"/>
              </w:rPr>
            </w:pPr>
            <w:r>
              <w:rPr>
                <w:rFonts w:cs="Arial"/>
                <w:sz w:val="16"/>
                <w:szCs w:val="16"/>
              </w:rPr>
              <w:t>55</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58</w:t>
            </w:r>
          </w:p>
        </w:tc>
        <w:tc>
          <w:tcPr>
            <w:tcW w:w="851" w:type="dxa"/>
            <w:vAlign w:val="center"/>
          </w:tcPr>
          <w:p w:rsidR="00EE3232" w:rsidRPr="002F21DE" w:rsidRDefault="00EE3232" w:rsidP="00614C04">
            <w:pPr>
              <w:spacing w:before="60" w:after="60"/>
              <w:jc w:val="center"/>
              <w:rPr>
                <w:rFonts w:cs="Arial"/>
                <w:sz w:val="16"/>
                <w:szCs w:val="16"/>
              </w:rPr>
            </w:pPr>
            <w:r>
              <w:rPr>
                <w:rFonts w:cs="Arial"/>
                <w:sz w:val="16"/>
                <w:szCs w:val="16"/>
              </w:rPr>
              <w:t>71</w:t>
            </w:r>
          </w:p>
        </w:tc>
      </w:tr>
      <w:tr w:rsidR="00EE3232">
        <w:tc>
          <w:tcPr>
            <w:tcW w:w="1800" w:type="dxa"/>
          </w:tcPr>
          <w:p w:rsidR="00EE3232" w:rsidRPr="0029119F" w:rsidRDefault="00EE3232" w:rsidP="00614C04">
            <w:pPr>
              <w:spacing w:before="120" w:after="120"/>
              <w:rPr>
                <w:rFonts w:cs="Arial"/>
                <w:b/>
                <w:sz w:val="16"/>
                <w:szCs w:val="16"/>
              </w:rPr>
            </w:pPr>
            <w:r w:rsidRPr="0029119F">
              <w:rPr>
                <w:rFonts w:cs="Arial"/>
                <w:b/>
                <w:sz w:val="16"/>
                <w:szCs w:val="16"/>
              </w:rPr>
              <w:t>Gini coefficient</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61</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66</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68</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69</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75</w:t>
            </w:r>
          </w:p>
        </w:tc>
        <w:tc>
          <w:tcPr>
            <w:tcW w:w="851" w:type="dxa"/>
            <w:tcMar>
              <w:left w:w="43" w:type="dxa"/>
              <w:right w:w="43" w:type="dxa"/>
            </w:tcMar>
            <w:vAlign w:val="center"/>
          </w:tcPr>
          <w:p w:rsidR="00EE3232" w:rsidRDefault="00EE3232" w:rsidP="00614C04">
            <w:pPr>
              <w:spacing w:before="120" w:after="120"/>
              <w:jc w:val="center"/>
              <w:rPr>
                <w:rFonts w:cs="Arial"/>
                <w:sz w:val="16"/>
                <w:szCs w:val="16"/>
              </w:rPr>
            </w:pPr>
            <w:r>
              <w:rPr>
                <w:rFonts w:cs="Arial"/>
                <w:sz w:val="16"/>
                <w:szCs w:val="16"/>
              </w:rPr>
              <w:t>80</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89</w:t>
            </w:r>
          </w:p>
        </w:tc>
        <w:tc>
          <w:tcPr>
            <w:tcW w:w="851" w:type="dxa"/>
            <w:vAlign w:val="center"/>
          </w:tcPr>
          <w:p w:rsidR="00EE3232" w:rsidRDefault="00EE3232" w:rsidP="00614C04">
            <w:pPr>
              <w:spacing w:before="120" w:after="120"/>
              <w:jc w:val="center"/>
              <w:rPr>
                <w:rFonts w:cs="Arial"/>
                <w:sz w:val="16"/>
                <w:szCs w:val="16"/>
              </w:rPr>
            </w:pPr>
            <w:r>
              <w:rPr>
                <w:rFonts w:cs="Arial"/>
                <w:sz w:val="16"/>
                <w:szCs w:val="16"/>
              </w:rPr>
              <w:t>84</w:t>
            </w:r>
          </w:p>
        </w:tc>
      </w:tr>
    </w:tbl>
    <w:p w:rsidR="00EE3232" w:rsidRDefault="00EE3232" w:rsidP="00EE3232">
      <w:pPr>
        <w:spacing w:before="120"/>
        <w:ind w:left="1080" w:right="191" w:hanging="900"/>
        <w:jc w:val="both"/>
        <w:rPr>
          <w:sz w:val="18"/>
          <w:szCs w:val="18"/>
        </w:rPr>
      </w:pPr>
      <w:r w:rsidRPr="00EF7BC7">
        <w:rPr>
          <w:rFonts w:cs="Arial"/>
          <w:sz w:val="18"/>
          <w:szCs w:val="18"/>
          <w:u w:val="single"/>
        </w:rPr>
        <w:t>Source</w:t>
      </w:r>
      <w:r>
        <w:rPr>
          <w:rFonts w:cs="Arial"/>
          <w:sz w:val="18"/>
          <w:szCs w:val="18"/>
          <w:u w:val="single"/>
        </w:rPr>
        <w:t>s:</w:t>
      </w:r>
      <w:r>
        <w:rPr>
          <w:rFonts w:cs="Arial"/>
          <w:sz w:val="18"/>
          <w:szCs w:val="18"/>
        </w:rPr>
        <w:t xml:space="preserve">  </w:t>
      </w:r>
      <w:r>
        <w:rPr>
          <w:rFonts w:cs="Arial"/>
          <w:sz w:val="18"/>
          <w:szCs w:val="18"/>
        </w:rPr>
        <w:tab/>
        <w:t xml:space="preserve">For </w:t>
      </w:r>
      <w:smartTag w:uri="urn:schemas-microsoft-com:office:smarttags" w:element="place">
        <w:smartTag w:uri="urn:schemas-microsoft-com:office:smarttags" w:element="country-region">
          <w:r>
            <w:rPr>
              <w:rFonts w:cs="Arial"/>
              <w:sz w:val="18"/>
              <w:szCs w:val="18"/>
            </w:rPr>
            <w:t>New Zealand</w:t>
          </w:r>
        </w:smartTag>
      </w:smartTag>
      <w:r>
        <w:rPr>
          <w:rFonts w:cs="Arial"/>
          <w:sz w:val="18"/>
          <w:szCs w:val="18"/>
        </w:rPr>
        <w:t>, the source is Statistics New Zealand (2007), analysis based on the Survey of Family, Income and Employment (2003-04).  For the other countries, see OECD (2008), Table 10.3, based on the LWS database.  The figures should be taken as indicative only.  For more details and an assessment of the reliability of the information from the early LWS research see OECD (2008), Chapter 10.</w:t>
      </w:r>
    </w:p>
    <w:p w:rsidR="00EE3232" w:rsidRDefault="00EE3232" w:rsidP="00EE3232">
      <w:pPr>
        <w:jc w:val="both"/>
        <w:rPr>
          <w:rFonts w:cs="Arial"/>
          <w:sz w:val="20"/>
          <w:szCs w:val="22"/>
        </w:rPr>
      </w:pPr>
    </w:p>
    <w:p w:rsidR="00EE3232" w:rsidRDefault="00EE3232" w:rsidP="00EE3232">
      <w:pPr>
        <w:jc w:val="both"/>
        <w:rPr>
          <w:rFonts w:cs="Arial"/>
          <w:sz w:val="20"/>
          <w:szCs w:val="22"/>
        </w:rPr>
      </w:pPr>
      <w:r>
        <w:rPr>
          <w:rFonts w:cs="Arial"/>
          <w:sz w:val="20"/>
          <w:szCs w:val="22"/>
        </w:rPr>
        <w:t>From Table J.10 and other analysis, two high level findings are that:</w:t>
      </w:r>
    </w:p>
    <w:p w:rsidR="00EE3232" w:rsidRDefault="00EE3232" w:rsidP="00614C04">
      <w:pPr>
        <w:numPr>
          <w:ilvl w:val="0"/>
          <w:numId w:val="74"/>
        </w:numPr>
        <w:spacing w:before="120"/>
        <w:ind w:left="634"/>
        <w:jc w:val="both"/>
        <w:rPr>
          <w:rFonts w:cs="Arial"/>
          <w:sz w:val="20"/>
          <w:szCs w:val="22"/>
        </w:rPr>
      </w:pPr>
      <w:r>
        <w:rPr>
          <w:rFonts w:cs="Arial"/>
          <w:sz w:val="20"/>
          <w:szCs w:val="22"/>
        </w:rPr>
        <w:t>wealth is distributed much more unequally than income (especially disposable income after tax and transfers)</w:t>
      </w:r>
    </w:p>
    <w:p w:rsidR="00EE3232" w:rsidRDefault="00EE3232" w:rsidP="00614C04">
      <w:pPr>
        <w:numPr>
          <w:ilvl w:val="0"/>
          <w:numId w:val="75"/>
        </w:numPr>
        <w:tabs>
          <w:tab w:val="clear" w:pos="630"/>
          <w:tab w:val="num" w:pos="1080"/>
        </w:tabs>
        <w:spacing w:before="60"/>
        <w:ind w:left="1080" w:hanging="274"/>
        <w:jc w:val="both"/>
        <w:rPr>
          <w:rFonts w:cs="Arial"/>
          <w:sz w:val="20"/>
          <w:szCs w:val="22"/>
        </w:rPr>
      </w:pPr>
      <w:r>
        <w:rPr>
          <w:rFonts w:cs="Arial"/>
          <w:sz w:val="20"/>
          <w:szCs w:val="22"/>
        </w:rPr>
        <w:t>Gini scores for wealth inequality are generally in the range from 60 to 80, compared with 25 to 40 for income inequality</w:t>
      </w:r>
      <w:r>
        <w:rPr>
          <w:rStyle w:val="FootnoteReference"/>
          <w:rFonts w:cs="Arial"/>
          <w:sz w:val="20"/>
          <w:szCs w:val="22"/>
        </w:rPr>
        <w:footnoteReference w:id="96"/>
      </w:r>
    </w:p>
    <w:p w:rsidR="00EE3232" w:rsidRDefault="00EE3232" w:rsidP="00614C04">
      <w:pPr>
        <w:numPr>
          <w:ilvl w:val="0"/>
          <w:numId w:val="75"/>
        </w:numPr>
        <w:tabs>
          <w:tab w:val="clear" w:pos="630"/>
          <w:tab w:val="num" w:pos="1080"/>
        </w:tabs>
        <w:spacing w:before="60"/>
        <w:ind w:left="1080" w:hanging="274"/>
        <w:jc w:val="both"/>
        <w:rPr>
          <w:rFonts w:cs="Arial"/>
          <w:sz w:val="20"/>
          <w:szCs w:val="22"/>
        </w:rPr>
      </w:pPr>
      <w:r>
        <w:rPr>
          <w:rFonts w:cs="Arial"/>
          <w:sz w:val="20"/>
          <w:szCs w:val="22"/>
        </w:rPr>
        <w:t xml:space="preserve">for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the top wealth decile accounts for 52% of the total wealth, whereas the top income decile accounts for 25% of the total income</w:t>
      </w:r>
    </w:p>
    <w:p w:rsidR="00EE3232" w:rsidRDefault="00EE3232" w:rsidP="00614C04">
      <w:pPr>
        <w:numPr>
          <w:ilvl w:val="0"/>
          <w:numId w:val="74"/>
        </w:numPr>
        <w:spacing w:before="120"/>
        <w:ind w:left="634"/>
        <w:jc w:val="both"/>
        <w:rPr>
          <w:rFonts w:cs="Arial"/>
          <w:sz w:val="20"/>
          <w:szCs w:val="22"/>
        </w:rPr>
      </w:pPr>
      <w:r>
        <w:rPr>
          <w:rFonts w:cs="Arial"/>
          <w:sz w:val="20"/>
          <w:szCs w:val="22"/>
        </w:rPr>
        <w:t xml:space="preserve">wealth inequality in </w:t>
      </w:r>
      <w:smartTag w:uri="urn:schemas-microsoft-com:office:smarttags" w:element="place">
        <w:smartTag w:uri="urn:schemas-microsoft-com:office:smarttags" w:element="country-region">
          <w:r>
            <w:rPr>
              <w:rFonts w:cs="Arial"/>
              <w:sz w:val="20"/>
              <w:szCs w:val="22"/>
            </w:rPr>
            <w:t>New Zealand</w:t>
          </w:r>
        </w:smartTag>
      </w:smartTag>
      <w:r>
        <w:rPr>
          <w:rFonts w:cs="Arial"/>
          <w:sz w:val="20"/>
          <w:szCs w:val="22"/>
        </w:rPr>
        <w:t xml:space="preserve"> appears to be not greatly different to what prevails in many other OECD countries.</w:t>
      </w:r>
    </w:p>
    <w:p w:rsidR="00EE3232" w:rsidRDefault="00EE3232" w:rsidP="00EE3232">
      <w:pPr>
        <w:jc w:val="both"/>
        <w:rPr>
          <w:rFonts w:cs="Arial"/>
          <w:sz w:val="20"/>
          <w:szCs w:val="22"/>
        </w:rPr>
      </w:pPr>
    </w:p>
    <w:p w:rsidR="00EE3232" w:rsidRPr="000A3723" w:rsidRDefault="00EE3232" w:rsidP="00EE3232">
      <w:pPr>
        <w:ind w:left="1980" w:right="1195"/>
        <w:rPr>
          <w:lang w:val="en-NZ"/>
        </w:rPr>
        <w:sectPr w:rsidR="00EE3232" w:rsidRPr="000A3723" w:rsidSect="006E1E14">
          <w:headerReference w:type="default" r:id="rId120"/>
          <w:pgSz w:w="11909" w:h="16834" w:code="9"/>
          <w:pgMar w:top="1440" w:right="1584" w:bottom="1440" w:left="1584" w:header="706" w:footer="706" w:gutter="0"/>
          <w:cols w:space="720"/>
        </w:sectPr>
      </w:pPr>
      <w:r>
        <w:rPr>
          <w:sz w:val="18"/>
          <w:szCs w:val="18"/>
        </w:rPr>
        <w:t xml:space="preserve"> </w:t>
      </w:r>
    </w:p>
    <w:p w:rsidR="00EE3232" w:rsidRPr="001F6116" w:rsidRDefault="00EE3232" w:rsidP="00EE3232">
      <w:pPr>
        <w:pStyle w:val="Heading1"/>
        <w:jc w:val="center"/>
        <w:rPr>
          <w:sz w:val="32"/>
        </w:rPr>
      </w:pPr>
      <w:r w:rsidRPr="001F6116">
        <w:rPr>
          <w:sz w:val="32"/>
        </w:rPr>
        <w:lastRenderedPageBreak/>
        <w:t>Section K</w:t>
      </w:r>
    </w:p>
    <w:p w:rsidR="00EE3232" w:rsidRPr="001F6116" w:rsidRDefault="00496A43" w:rsidP="00EE3232">
      <w:pPr>
        <w:jc w:val="center"/>
        <w:rPr>
          <w:b/>
          <w:sz w:val="32"/>
          <w:szCs w:val="32"/>
          <w:lang w:val="en-NZ"/>
        </w:rPr>
      </w:pPr>
      <w:r>
        <w:rPr>
          <w:b/>
          <w:sz w:val="32"/>
          <w:szCs w:val="32"/>
          <w:lang w:val="en-NZ"/>
        </w:rPr>
        <w:t>U</w:t>
      </w:r>
      <w:r w:rsidR="00EE3232">
        <w:rPr>
          <w:b/>
          <w:sz w:val="32"/>
          <w:szCs w:val="32"/>
          <w:lang w:val="en-NZ"/>
        </w:rPr>
        <w:t>sing non-monetary indicators</w:t>
      </w:r>
      <w:r>
        <w:rPr>
          <w:b/>
          <w:sz w:val="32"/>
          <w:szCs w:val="32"/>
          <w:lang w:val="en-NZ"/>
        </w:rPr>
        <w:t xml:space="preserve"> to assess material hardship</w:t>
      </w:r>
    </w:p>
    <w:p w:rsidR="00EE3232" w:rsidRDefault="00EE3232" w:rsidP="00EE3232">
      <w:pPr>
        <w:jc w:val="both"/>
        <w:rPr>
          <w:rFonts w:cs="Arial"/>
          <w:szCs w:val="22"/>
        </w:rPr>
      </w:pPr>
    </w:p>
    <w:p w:rsidR="002D2836" w:rsidRDefault="002D2836" w:rsidP="002D2836">
      <w:pPr>
        <w:jc w:val="both"/>
        <w:rPr>
          <w:rFonts w:cs="Arial"/>
          <w:sz w:val="20"/>
        </w:rPr>
      </w:pPr>
      <w:r>
        <w:rPr>
          <w:rFonts w:cs="Arial"/>
          <w:sz w:val="20"/>
        </w:rPr>
        <w:t>There</w:t>
      </w:r>
      <w:r w:rsidRPr="009F4852">
        <w:rPr>
          <w:rFonts w:cs="Arial"/>
          <w:sz w:val="20"/>
        </w:rPr>
        <w:t xml:space="preserve"> is increasing acceptance internationally that in addition to income-based </w:t>
      </w:r>
      <w:r>
        <w:rPr>
          <w:rFonts w:cs="Arial"/>
          <w:sz w:val="20"/>
        </w:rPr>
        <w:t>measures</w:t>
      </w:r>
      <w:r w:rsidRPr="009F4852">
        <w:rPr>
          <w:rFonts w:cs="Arial"/>
          <w:sz w:val="20"/>
        </w:rPr>
        <w:t xml:space="preserve">, non-income measures </w:t>
      </w:r>
      <w:r>
        <w:rPr>
          <w:rFonts w:cs="Arial"/>
          <w:sz w:val="20"/>
        </w:rPr>
        <w:t>are</w:t>
      </w:r>
      <w:r w:rsidRPr="009F4852">
        <w:rPr>
          <w:rFonts w:cs="Arial"/>
          <w:sz w:val="20"/>
        </w:rPr>
        <w:t xml:space="preserve"> needed to provide a more comprehensive and accurate picture of the material wellbeing of households. </w:t>
      </w:r>
      <w:r>
        <w:rPr>
          <w:rFonts w:cs="Arial"/>
          <w:sz w:val="20"/>
        </w:rPr>
        <w:t xml:space="preserve">  Income-based measures can be seen as indicators of ‘command over resources’ or as proxies for the ‘inputs’ into material wellbeing.  Non-income measures focus on the actual living conditions (‘outcomes’) such as access to household durables, the ability to keep warm, have a good meal each day, keep oneself adequately clothed, repair or replace basic appliances as required, visit the doctor, pay the utility and rent/mortgage bills on time, pursue hobbies and other interests, and so on.   These</w:t>
      </w:r>
      <w:r w:rsidRPr="009F4852">
        <w:rPr>
          <w:rFonts w:cs="Arial"/>
          <w:sz w:val="20"/>
        </w:rPr>
        <w:t xml:space="preserve"> more direct non-income measures </w:t>
      </w:r>
      <w:r>
        <w:rPr>
          <w:rFonts w:cs="Arial"/>
          <w:sz w:val="20"/>
        </w:rPr>
        <w:t>are sometimes referred to as non-monetary indicators (NMIs).</w:t>
      </w:r>
      <w:r w:rsidRPr="009F4852">
        <w:rPr>
          <w:rFonts w:cs="Arial"/>
          <w:sz w:val="20"/>
        </w:rPr>
        <w:t xml:space="preserve"> </w:t>
      </w:r>
    </w:p>
    <w:p w:rsidR="002D2836" w:rsidRDefault="002D2836" w:rsidP="002D2836">
      <w:pPr>
        <w:jc w:val="both"/>
        <w:rPr>
          <w:rFonts w:cs="Arial"/>
          <w:sz w:val="20"/>
        </w:rPr>
      </w:pPr>
    </w:p>
    <w:p w:rsidR="002D2836" w:rsidRDefault="002D2836" w:rsidP="002D2836">
      <w:pPr>
        <w:jc w:val="both"/>
        <w:rPr>
          <w:rFonts w:cs="Arial"/>
          <w:sz w:val="20"/>
        </w:rPr>
      </w:pPr>
      <w:r>
        <w:rPr>
          <w:rFonts w:cs="Arial"/>
          <w:sz w:val="20"/>
        </w:rPr>
        <w:t xml:space="preserve">The impetus for pursuing this wider (or alternative) perspective comes from several factors: </w:t>
      </w:r>
    </w:p>
    <w:p w:rsidR="003C2F25" w:rsidRDefault="003C2F25" w:rsidP="003C2F25">
      <w:pPr>
        <w:numPr>
          <w:ilvl w:val="0"/>
          <w:numId w:val="100"/>
        </w:numPr>
        <w:spacing w:before="120"/>
        <w:ind w:left="714" w:hanging="357"/>
        <w:jc w:val="both"/>
        <w:rPr>
          <w:rFonts w:cs="Arial"/>
          <w:sz w:val="20"/>
        </w:rPr>
      </w:pPr>
      <w:r>
        <w:rPr>
          <w:rFonts w:cs="Arial"/>
          <w:sz w:val="20"/>
        </w:rPr>
        <w:t>an interest in developing a better understanding of the actual material circumstances of households with low incomes</w:t>
      </w:r>
    </w:p>
    <w:p w:rsidR="002D2836" w:rsidRDefault="002D2836" w:rsidP="003C2F25">
      <w:pPr>
        <w:numPr>
          <w:ilvl w:val="0"/>
          <w:numId w:val="100"/>
        </w:numPr>
        <w:spacing w:before="120"/>
        <w:ind w:left="714" w:hanging="357"/>
        <w:jc w:val="both"/>
        <w:rPr>
          <w:rFonts w:cs="Arial"/>
          <w:sz w:val="20"/>
        </w:rPr>
      </w:pPr>
      <w:r>
        <w:rPr>
          <w:rFonts w:cs="Arial"/>
          <w:sz w:val="20"/>
        </w:rPr>
        <w:t xml:space="preserve">an increasing awareness of the limitations of relying on income-based measures alone for assessing </w:t>
      </w:r>
      <w:r w:rsidR="003C2F25">
        <w:rPr>
          <w:rFonts w:cs="Arial"/>
          <w:sz w:val="20"/>
        </w:rPr>
        <w:t>household material wellbeing and hardship</w:t>
      </w:r>
    </w:p>
    <w:p w:rsidR="002D2836" w:rsidRDefault="002D2836" w:rsidP="003C2F25">
      <w:pPr>
        <w:numPr>
          <w:ilvl w:val="0"/>
          <w:numId w:val="100"/>
        </w:numPr>
        <w:spacing w:before="120"/>
        <w:ind w:left="714" w:hanging="357"/>
        <w:jc w:val="both"/>
        <w:rPr>
          <w:rFonts w:cs="Arial"/>
          <w:sz w:val="20"/>
        </w:rPr>
      </w:pPr>
      <w:r>
        <w:rPr>
          <w:rFonts w:cs="Arial"/>
          <w:sz w:val="20"/>
        </w:rPr>
        <w:t>a growing unease about the robustness of international comparis</w:t>
      </w:r>
      <w:r w:rsidR="003C2F25">
        <w:rPr>
          <w:rFonts w:cs="Arial"/>
          <w:sz w:val="20"/>
        </w:rPr>
        <w:t>ons using income-based measures</w:t>
      </w:r>
      <w:r>
        <w:rPr>
          <w:rFonts w:cs="Arial"/>
          <w:sz w:val="20"/>
        </w:rPr>
        <w:t xml:space="preserve"> </w:t>
      </w:r>
    </w:p>
    <w:p w:rsidR="002D2836" w:rsidRDefault="002D2836" w:rsidP="003C2F25">
      <w:pPr>
        <w:numPr>
          <w:ilvl w:val="0"/>
          <w:numId w:val="100"/>
        </w:numPr>
        <w:spacing w:before="120"/>
        <w:ind w:left="714" w:hanging="357"/>
        <w:jc w:val="both"/>
        <w:rPr>
          <w:rFonts w:cs="Arial"/>
          <w:sz w:val="20"/>
        </w:rPr>
      </w:pPr>
      <w:r>
        <w:rPr>
          <w:rFonts w:cs="Arial"/>
          <w:sz w:val="20"/>
        </w:rPr>
        <w:t>a growing understanding of the multi-dimensional nature of poverty and material hardship and the need to identify these and</w:t>
      </w:r>
      <w:r w:rsidR="003C2F25">
        <w:rPr>
          <w:rFonts w:cs="Arial"/>
          <w:sz w:val="20"/>
        </w:rPr>
        <w:t xml:space="preserve"> the relationships between them</w:t>
      </w:r>
    </w:p>
    <w:p w:rsidR="002D2836" w:rsidRDefault="002D2836" w:rsidP="003C2F25">
      <w:pPr>
        <w:numPr>
          <w:ilvl w:val="0"/>
          <w:numId w:val="100"/>
        </w:numPr>
        <w:spacing w:before="120"/>
        <w:ind w:left="714" w:hanging="357"/>
        <w:jc w:val="both"/>
        <w:rPr>
          <w:rFonts w:cs="Arial"/>
          <w:sz w:val="20"/>
        </w:rPr>
      </w:pPr>
      <w:r>
        <w:rPr>
          <w:rFonts w:cs="Arial"/>
          <w:sz w:val="20"/>
        </w:rPr>
        <w:t>the availability of richer datasets in many more countries and a maturing of the relevant methodologies for analysis of NMI data.</w:t>
      </w:r>
    </w:p>
    <w:p w:rsidR="002D2836" w:rsidRDefault="002D2836" w:rsidP="002D2836">
      <w:pPr>
        <w:jc w:val="both"/>
        <w:rPr>
          <w:rFonts w:cs="Arial"/>
          <w:sz w:val="20"/>
        </w:rPr>
      </w:pPr>
    </w:p>
    <w:p w:rsidR="002D2836" w:rsidRDefault="002D2836" w:rsidP="002D2836">
      <w:pPr>
        <w:jc w:val="both"/>
        <w:rPr>
          <w:rFonts w:cs="Arial"/>
          <w:sz w:val="20"/>
        </w:rPr>
      </w:pPr>
      <w:r>
        <w:rPr>
          <w:rFonts w:cs="Arial"/>
          <w:sz w:val="20"/>
        </w:rPr>
        <w:t xml:space="preserve">The EU nations have recently adopted an NMI-based deprivation measure to complement income measures in their portfolio of agreed primary indicators for social inclusion and living conditions.  </w:t>
      </w:r>
      <w:smartTag w:uri="urn:schemas-microsoft-com:office:smarttags" w:element="country-region">
        <w:r>
          <w:rPr>
            <w:rFonts w:cs="Arial"/>
            <w:sz w:val="20"/>
          </w:rPr>
          <w:t>Ireland</w:t>
        </w:r>
      </w:smartTag>
      <w:r>
        <w:rPr>
          <w:rFonts w:cs="Arial"/>
          <w:sz w:val="20"/>
        </w:rPr>
        <w:t xml:space="preserve"> has for some time used NMIs (in conjunction with income) in its official poverty measure, and the </w:t>
      </w:r>
      <w:smartTag w:uri="urn:schemas-microsoft-com:office:smarttags" w:element="place">
        <w:smartTag w:uri="urn:schemas-microsoft-com:office:smarttags" w:element="country-region">
          <w:r>
            <w:rPr>
              <w:rFonts w:cs="Arial"/>
              <w:sz w:val="20"/>
            </w:rPr>
            <w:t>UK</w:t>
          </w:r>
        </w:smartTag>
      </w:smartTag>
      <w:r>
        <w:rPr>
          <w:rFonts w:cs="Arial"/>
          <w:sz w:val="20"/>
        </w:rPr>
        <w:t xml:space="preserve"> uses NMIs as part of its official set of child poverty measures.  The OECD has begun to report material hardship relativities among member countries using EU data and information from national surveys where they have been available for non-EU nations such as </w:t>
      </w:r>
      <w:smartTag w:uri="urn:schemas-microsoft-com:office:smarttags" w:element="country-region">
        <w:r>
          <w:rPr>
            <w:rFonts w:cs="Arial"/>
            <w:sz w:val="20"/>
          </w:rPr>
          <w:t>Australia</w:t>
        </w:r>
      </w:smartTag>
      <w:r>
        <w:rPr>
          <w:rFonts w:cs="Arial"/>
          <w:sz w:val="20"/>
        </w:rPr>
        <w:t xml:space="preserve">, </w:t>
      </w:r>
      <w:smartTag w:uri="urn:schemas-microsoft-com:office:smarttags" w:element="country-region">
        <w:r>
          <w:rPr>
            <w:rFonts w:cs="Arial"/>
            <w:sz w:val="20"/>
          </w:rPr>
          <w:t>New Zealand</w:t>
        </w:r>
      </w:smartTag>
      <w:r>
        <w:rPr>
          <w:rFonts w:cs="Arial"/>
          <w:sz w:val="20"/>
        </w:rPr>
        <w:t xml:space="preserve">, </w:t>
      </w:r>
      <w:smartTag w:uri="urn:schemas-microsoft-com:office:smarttags" w:element="country-region">
        <w:r>
          <w:rPr>
            <w:rFonts w:cs="Arial"/>
            <w:sz w:val="20"/>
          </w:rPr>
          <w:t>Japan</w:t>
        </w:r>
      </w:smartTag>
      <w:r>
        <w:rPr>
          <w:rFonts w:cs="Arial"/>
          <w:sz w:val="20"/>
        </w:rPr>
        <w:t xml:space="preserve">, </w:t>
      </w:r>
      <w:smartTag w:uri="urn:schemas-microsoft-com:office:smarttags" w:element="country-region">
        <w:r>
          <w:rPr>
            <w:rFonts w:cs="Arial"/>
            <w:sz w:val="20"/>
          </w:rPr>
          <w:t>Canada</w:t>
        </w:r>
      </w:smartTag>
      <w:r>
        <w:rPr>
          <w:rFonts w:cs="Arial"/>
          <w:sz w:val="20"/>
        </w:rPr>
        <w:t xml:space="preserve"> and the </w:t>
      </w:r>
      <w:smartTag w:uri="urn:schemas-microsoft-com:office:smarttags" w:element="place">
        <w:smartTag w:uri="urn:schemas-microsoft-com:office:smarttags" w:element="country-region">
          <w:r>
            <w:rPr>
              <w:rFonts w:cs="Arial"/>
              <w:sz w:val="20"/>
            </w:rPr>
            <w:t>USA</w:t>
          </w:r>
        </w:smartTag>
      </w:smartTag>
      <w:r>
        <w:rPr>
          <w:rFonts w:cs="Arial"/>
          <w:sz w:val="20"/>
        </w:rPr>
        <w:t>.  UNICEF’s Innocenti research team recently released the Report Card #10 which strongly advocated the use of NMIs as well as household income to assess material disadvantage for children.</w:t>
      </w:r>
      <w:r w:rsidR="004A35B6">
        <w:rPr>
          <w:rStyle w:val="FootnoteReference"/>
          <w:rFonts w:cs="Arial"/>
          <w:sz w:val="20"/>
        </w:rPr>
        <w:footnoteReference w:id="97"/>
      </w:r>
    </w:p>
    <w:p w:rsidR="002D2836" w:rsidRDefault="002D2836" w:rsidP="002D2836">
      <w:pPr>
        <w:jc w:val="both"/>
        <w:rPr>
          <w:rFonts w:cs="Arial"/>
          <w:sz w:val="20"/>
        </w:rPr>
      </w:pPr>
    </w:p>
    <w:p w:rsidR="00CE7E7E" w:rsidRDefault="003C2F25" w:rsidP="002D2836">
      <w:pPr>
        <w:jc w:val="both"/>
        <w:rPr>
          <w:rFonts w:cs="Arial"/>
          <w:sz w:val="20"/>
        </w:rPr>
      </w:pPr>
      <w:r>
        <w:rPr>
          <w:rFonts w:cs="Arial"/>
          <w:sz w:val="20"/>
        </w:rPr>
        <w:t>There are four main ways in which NMIs are used in relation to the central themes of this report:</w:t>
      </w:r>
    </w:p>
    <w:p w:rsidR="00CE7E7E" w:rsidRDefault="00A11B7A" w:rsidP="003C2F25">
      <w:pPr>
        <w:numPr>
          <w:ilvl w:val="0"/>
          <w:numId w:val="100"/>
        </w:numPr>
        <w:spacing w:before="120"/>
        <w:ind w:left="714" w:hanging="357"/>
        <w:jc w:val="both"/>
        <w:rPr>
          <w:rFonts w:cs="Arial"/>
          <w:sz w:val="20"/>
        </w:rPr>
      </w:pPr>
      <w:r>
        <w:rPr>
          <w:rFonts w:cs="Arial"/>
          <w:sz w:val="20"/>
        </w:rPr>
        <w:t>to describe</w:t>
      </w:r>
      <w:r w:rsidR="00CE7E7E">
        <w:rPr>
          <w:rFonts w:cs="Arial"/>
          <w:sz w:val="20"/>
        </w:rPr>
        <w:t xml:space="preserve"> </w:t>
      </w:r>
      <w:r w:rsidR="003C2F25">
        <w:rPr>
          <w:rFonts w:cs="Arial"/>
          <w:sz w:val="20"/>
        </w:rPr>
        <w:t xml:space="preserve">in tangible ways </w:t>
      </w:r>
      <w:r w:rsidR="00CE7E7E">
        <w:rPr>
          <w:rFonts w:cs="Arial"/>
          <w:sz w:val="20"/>
        </w:rPr>
        <w:t xml:space="preserve">what it’s like to be poor </w:t>
      </w:r>
    </w:p>
    <w:p w:rsidR="00CE7E7E" w:rsidRDefault="00A11B7A" w:rsidP="003C2F25">
      <w:pPr>
        <w:numPr>
          <w:ilvl w:val="0"/>
          <w:numId w:val="100"/>
        </w:numPr>
        <w:spacing w:before="120"/>
        <w:ind w:left="714" w:hanging="357"/>
        <w:jc w:val="both"/>
        <w:rPr>
          <w:rFonts w:cs="Arial"/>
          <w:sz w:val="20"/>
        </w:rPr>
      </w:pPr>
      <w:r>
        <w:rPr>
          <w:rFonts w:cs="Arial"/>
          <w:sz w:val="20"/>
        </w:rPr>
        <w:t xml:space="preserve">to </w:t>
      </w:r>
      <w:r w:rsidR="003C2F25">
        <w:rPr>
          <w:rFonts w:cs="Arial"/>
          <w:sz w:val="20"/>
        </w:rPr>
        <w:t>assis</w:t>
      </w:r>
      <w:r>
        <w:rPr>
          <w:rFonts w:cs="Arial"/>
          <w:sz w:val="20"/>
        </w:rPr>
        <w:t>t</w:t>
      </w:r>
      <w:r w:rsidR="003C2F25">
        <w:rPr>
          <w:rFonts w:cs="Arial"/>
          <w:sz w:val="20"/>
        </w:rPr>
        <w:t xml:space="preserve"> with assessing whether a given income poverty threshold is set ‘about right’ (or at least supporting the credibility of a narrow range of thresholds as being more defensible than others outside that range)</w:t>
      </w:r>
    </w:p>
    <w:p w:rsidR="00CE7E7E" w:rsidRDefault="00A11B7A" w:rsidP="003C2F25">
      <w:pPr>
        <w:numPr>
          <w:ilvl w:val="0"/>
          <w:numId w:val="100"/>
        </w:numPr>
        <w:spacing w:before="120"/>
        <w:ind w:left="714" w:hanging="357"/>
        <w:jc w:val="both"/>
        <w:rPr>
          <w:rFonts w:cs="Arial"/>
          <w:sz w:val="20"/>
        </w:rPr>
      </w:pPr>
      <w:r>
        <w:rPr>
          <w:rFonts w:cs="Arial"/>
          <w:sz w:val="20"/>
        </w:rPr>
        <w:t>to track</w:t>
      </w:r>
      <w:r w:rsidR="00CE7E7E">
        <w:rPr>
          <w:rFonts w:cs="Arial"/>
          <w:sz w:val="20"/>
        </w:rPr>
        <w:t xml:space="preserve"> hardship</w:t>
      </w:r>
      <w:r w:rsidR="003C2F25">
        <w:rPr>
          <w:rFonts w:cs="Arial"/>
          <w:sz w:val="20"/>
        </w:rPr>
        <w:t xml:space="preserve"> trends over time and identifying which population groups are more at risk of hardship</w:t>
      </w:r>
    </w:p>
    <w:p w:rsidR="00CE7E7E" w:rsidRDefault="004A76BA" w:rsidP="003C2F25">
      <w:pPr>
        <w:numPr>
          <w:ilvl w:val="0"/>
          <w:numId w:val="100"/>
        </w:numPr>
        <w:spacing w:before="120"/>
        <w:ind w:left="714" w:hanging="357"/>
        <w:jc w:val="both"/>
        <w:rPr>
          <w:rFonts w:cs="Arial"/>
          <w:sz w:val="20"/>
        </w:rPr>
      </w:pPr>
      <w:r>
        <w:rPr>
          <w:rFonts w:cs="Arial"/>
          <w:sz w:val="20"/>
        </w:rPr>
        <w:t>in conjunction with income</w:t>
      </w:r>
      <w:r w:rsidR="00A11B7A">
        <w:rPr>
          <w:rFonts w:cs="Arial"/>
          <w:sz w:val="20"/>
        </w:rPr>
        <w:t>,</w:t>
      </w:r>
      <w:r>
        <w:rPr>
          <w:rFonts w:cs="Arial"/>
          <w:sz w:val="20"/>
        </w:rPr>
        <w:t xml:space="preserve"> to identify</w:t>
      </w:r>
      <w:r w:rsidR="00CE7E7E">
        <w:rPr>
          <w:rFonts w:cs="Arial"/>
          <w:sz w:val="20"/>
        </w:rPr>
        <w:t xml:space="preserve"> those </w:t>
      </w:r>
      <w:r>
        <w:rPr>
          <w:rFonts w:cs="Arial"/>
          <w:sz w:val="20"/>
        </w:rPr>
        <w:t xml:space="preserve">who are </w:t>
      </w:r>
      <w:r w:rsidR="00CE7E7E">
        <w:rPr>
          <w:rFonts w:cs="Arial"/>
          <w:sz w:val="20"/>
        </w:rPr>
        <w:t xml:space="preserve">both income poor and in </w:t>
      </w:r>
      <w:r>
        <w:rPr>
          <w:rFonts w:cs="Arial"/>
          <w:sz w:val="20"/>
        </w:rPr>
        <w:t xml:space="preserve">material </w:t>
      </w:r>
      <w:r w:rsidR="00CE7E7E">
        <w:rPr>
          <w:rFonts w:cs="Arial"/>
          <w:sz w:val="20"/>
        </w:rPr>
        <w:t>hardship</w:t>
      </w:r>
      <w:r w:rsidR="0033569A">
        <w:rPr>
          <w:rFonts w:cs="Arial"/>
          <w:sz w:val="20"/>
        </w:rPr>
        <w:t>.</w:t>
      </w:r>
    </w:p>
    <w:p w:rsidR="00CE7E7E" w:rsidRDefault="00CE7E7E" w:rsidP="002D2836">
      <w:pPr>
        <w:jc w:val="both"/>
        <w:rPr>
          <w:rFonts w:cs="Arial"/>
          <w:sz w:val="20"/>
        </w:rPr>
      </w:pPr>
    </w:p>
    <w:p w:rsidR="00CE7E7E" w:rsidRDefault="00CE7E7E" w:rsidP="002D2836">
      <w:pPr>
        <w:jc w:val="both"/>
        <w:rPr>
          <w:rFonts w:cs="Arial"/>
          <w:sz w:val="20"/>
        </w:rPr>
      </w:pPr>
      <w:r>
        <w:rPr>
          <w:rFonts w:cs="Arial"/>
          <w:sz w:val="20"/>
        </w:rPr>
        <w:t xml:space="preserve">After an </w:t>
      </w:r>
      <w:r w:rsidR="0033569A">
        <w:rPr>
          <w:rFonts w:cs="Arial"/>
          <w:sz w:val="20"/>
        </w:rPr>
        <w:t>introductory section on NMIs, an overview of the indices used by the Ministry and a discussion on the relationship between incomes and material wellbeing (poverty and deprivation/hardship), findings on these four themes are reported</w:t>
      </w:r>
      <w:r>
        <w:rPr>
          <w:rFonts w:cs="Arial"/>
          <w:sz w:val="20"/>
        </w:rPr>
        <w:t xml:space="preserve"> </w:t>
      </w:r>
      <w:r w:rsidR="0033569A">
        <w:rPr>
          <w:rFonts w:cs="Arial"/>
          <w:sz w:val="20"/>
        </w:rPr>
        <w:t>based mainly on HES data, with some supplementary material using the Ministry’s 2008 Living Standards Survey data.</w:t>
      </w:r>
    </w:p>
    <w:p w:rsidR="00CE7E7E" w:rsidRDefault="00CE7E7E" w:rsidP="002D2836">
      <w:pPr>
        <w:jc w:val="both"/>
        <w:rPr>
          <w:rFonts w:cs="Arial"/>
          <w:sz w:val="20"/>
        </w:rPr>
      </w:pPr>
    </w:p>
    <w:p w:rsidR="00800091" w:rsidRDefault="00800091" w:rsidP="00800091">
      <w:pPr>
        <w:spacing w:before="120"/>
        <w:jc w:val="both"/>
        <w:rPr>
          <w:rFonts w:cs="Arial"/>
          <w:b/>
          <w:sz w:val="20"/>
        </w:rPr>
      </w:pPr>
      <w:r>
        <w:rPr>
          <w:rFonts w:cs="Arial"/>
          <w:b/>
          <w:sz w:val="20"/>
        </w:rPr>
        <w:lastRenderedPageBreak/>
        <w:t>Using non-monetary indicators to measure material wellbeing and hardship (deprivation)</w:t>
      </w:r>
    </w:p>
    <w:p w:rsidR="00800091" w:rsidRDefault="00800091" w:rsidP="00800091">
      <w:pPr>
        <w:jc w:val="both"/>
        <w:rPr>
          <w:rFonts w:cs="Arial"/>
          <w:b/>
          <w:sz w:val="20"/>
        </w:rPr>
      </w:pPr>
    </w:p>
    <w:p w:rsidR="00A34C4F" w:rsidRPr="00AC66F3" w:rsidRDefault="00800091" w:rsidP="00A34C4F">
      <w:pPr>
        <w:jc w:val="both"/>
        <w:rPr>
          <w:rFonts w:cs="Arial"/>
          <w:b/>
          <w:color w:val="000000"/>
          <w:sz w:val="20"/>
        </w:rPr>
      </w:pPr>
      <w:r>
        <w:rPr>
          <w:rFonts w:cs="Arial"/>
          <w:color w:val="000000"/>
          <w:sz w:val="20"/>
        </w:rPr>
        <w:t xml:space="preserve">The Ministry has developed an Economic Living Standards Index (ELSI) which ranks households from low to high living standards using NMIs.  </w:t>
      </w:r>
      <w:r w:rsidR="00A34C4F">
        <w:rPr>
          <w:rFonts w:cs="Arial"/>
          <w:color w:val="000000"/>
          <w:sz w:val="20"/>
        </w:rPr>
        <w:t xml:space="preserve">A short-form of ELSI (ELSI_SF) was developed and the 25 items needed for it have been in the HES since 2006-07. </w:t>
      </w:r>
      <w:r w:rsidR="00AC66F3">
        <w:rPr>
          <w:rFonts w:cs="Arial"/>
          <w:color w:val="000000"/>
          <w:sz w:val="20"/>
        </w:rPr>
        <w:t xml:space="preserve"> A Fixed Reference Index of Living Standards (FRILS) has also been developed as an experimental alternative to ELSI. The composition of these indices is found in </w:t>
      </w:r>
      <w:r w:rsidR="00AC66F3" w:rsidRPr="00AC66F3">
        <w:rPr>
          <w:rFonts w:cs="Arial"/>
          <w:b/>
          <w:color w:val="000000"/>
          <w:sz w:val="20"/>
        </w:rPr>
        <w:t>Table K.2.</w:t>
      </w:r>
      <w:r w:rsidR="00AC66F3">
        <w:rPr>
          <w:rStyle w:val="FootnoteReference"/>
          <w:rFonts w:cs="Arial"/>
          <w:b/>
          <w:color w:val="000000"/>
          <w:sz w:val="20"/>
        </w:rPr>
        <w:footnoteReference w:id="98"/>
      </w:r>
    </w:p>
    <w:p w:rsidR="00A34C4F" w:rsidRDefault="00A34C4F" w:rsidP="00A34C4F">
      <w:pPr>
        <w:jc w:val="both"/>
        <w:rPr>
          <w:rFonts w:cs="Arial"/>
          <w:color w:val="000000"/>
          <w:sz w:val="20"/>
        </w:rPr>
      </w:pPr>
    </w:p>
    <w:p w:rsidR="00A34C4F" w:rsidRDefault="00A34C4F" w:rsidP="00A34C4F">
      <w:pPr>
        <w:jc w:val="both"/>
        <w:rPr>
          <w:rFonts w:cs="Arial"/>
          <w:color w:val="000000"/>
          <w:sz w:val="20"/>
        </w:rPr>
      </w:pPr>
      <w:r>
        <w:rPr>
          <w:rFonts w:cs="Arial"/>
          <w:color w:val="000000"/>
          <w:sz w:val="20"/>
        </w:rPr>
        <w:t xml:space="preserve">The ELSI has recently been updated and further developed into a Material Wellbeing Index (MWI) which uses half of the original ELSI_SF items together with several new ones.  </w:t>
      </w:r>
      <w:r w:rsidR="00CA60A1">
        <w:rPr>
          <w:rFonts w:cs="Arial"/>
          <w:color w:val="000000"/>
          <w:sz w:val="20"/>
        </w:rPr>
        <w:t xml:space="preserve">The new item set is in the 2012-13 HES that is currently in the field. </w:t>
      </w:r>
      <w:r>
        <w:rPr>
          <w:rFonts w:cs="Arial"/>
          <w:color w:val="000000"/>
          <w:sz w:val="20"/>
        </w:rPr>
        <w:t xml:space="preserve">The MWI and the ELSI rank the population in much the same way (correlation of 0.95).  </w:t>
      </w:r>
    </w:p>
    <w:p w:rsidR="00CA60A1" w:rsidRDefault="00CA60A1" w:rsidP="00A34C4F">
      <w:pPr>
        <w:jc w:val="both"/>
        <w:rPr>
          <w:rFonts w:cs="Arial"/>
          <w:color w:val="000000"/>
          <w:sz w:val="20"/>
        </w:rPr>
      </w:pPr>
    </w:p>
    <w:p w:rsidR="00800091" w:rsidRDefault="00800091" w:rsidP="00A34C4F">
      <w:pPr>
        <w:jc w:val="both"/>
        <w:rPr>
          <w:rFonts w:cs="Arial"/>
          <w:color w:val="000000"/>
          <w:sz w:val="20"/>
        </w:rPr>
      </w:pPr>
      <w:r>
        <w:rPr>
          <w:rFonts w:cs="Arial"/>
          <w:color w:val="000000"/>
          <w:sz w:val="20"/>
        </w:rPr>
        <w:t xml:space="preserve">To create the ELSI scores, the NMI items used are scored from two different perspectives: </w:t>
      </w:r>
    </w:p>
    <w:p w:rsidR="00800091" w:rsidRDefault="00800091" w:rsidP="00D968A7">
      <w:pPr>
        <w:numPr>
          <w:ilvl w:val="0"/>
          <w:numId w:val="130"/>
        </w:numPr>
        <w:tabs>
          <w:tab w:val="clear" w:pos="720"/>
          <w:tab w:val="num" w:pos="709"/>
        </w:tabs>
        <w:spacing w:before="120"/>
        <w:ind w:left="709" w:hanging="283"/>
        <w:jc w:val="both"/>
        <w:rPr>
          <w:rFonts w:cs="Arial"/>
          <w:color w:val="000000"/>
          <w:sz w:val="20"/>
        </w:rPr>
      </w:pPr>
      <w:r>
        <w:rPr>
          <w:rFonts w:cs="Arial"/>
          <w:color w:val="000000"/>
          <w:sz w:val="20"/>
        </w:rPr>
        <w:t xml:space="preserve">from the perspective of the enforced lack of essentials and/or severe restriction on the consumption of essentials, in both cases because of lack of money </w:t>
      </w:r>
      <w:r w:rsidRPr="006B4E60">
        <w:rPr>
          <w:rFonts w:cs="Arial"/>
          <w:color w:val="000000"/>
          <w:sz w:val="20"/>
        </w:rPr>
        <w:t>–</w:t>
      </w:r>
      <w:r>
        <w:rPr>
          <w:rFonts w:cs="Arial"/>
          <w:color w:val="000000"/>
          <w:sz w:val="20"/>
        </w:rPr>
        <w:t xml:space="preserve"> a deprivation or ‘enforced lack’ perspective (for example, unable to have regular good meals, keep the house warm, visit the doctor, give presents on special occasions)</w:t>
      </w:r>
    </w:p>
    <w:p w:rsidR="00800091" w:rsidRDefault="00800091" w:rsidP="00D968A7">
      <w:pPr>
        <w:numPr>
          <w:ilvl w:val="0"/>
          <w:numId w:val="130"/>
        </w:numPr>
        <w:tabs>
          <w:tab w:val="clear" w:pos="720"/>
          <w:tab w:val="num" w:pos="709"/>
        </w:tabs>
        <w:spacing w:before="120"/>
        <w:ind w:left="709" w:hanging="283"/>
        <w:jc w:val="both"/>
        <w:rPr>
          <w:rFonts w:cs="Arial"/>
          <w:color w:val="000000"/>
          <w:sz w:val="20"/>
        </w:rPr>
      </w:pPr>
      <w:r>
        <w:rPr>
          <w:rFonts w:cs="Arial"/>
          <w:color w:val="000000"/>
          <w:sz w:val="20"/>
        </w:rPr>
        <w:t xml:space="preserve">from the perspective of not having any enforced lacks of essentials and having various degrees of freedom regarding desirable non-essentials </w:t>
      </w:r>
      <w:r w:rsidRPr="006B4E60">
        <w:rPr>
          <w:rFonts w:cs="Arial"/>
          <w:color w:val="000000"/>
          <w:sz w:val="20"/>
        </w:rPr>
        <w:t>–</w:t>
      </w:r>
      <w:r>
        <w:rPr>
          <w:rFonts w:cs="Arial"/>
          <w:color w:val="000000"/>
          <w:sz w:val="20"/>
        </w:rPr>
        <w:t xml:space="preserve"> a ‘freedoms enjoyed’ perspective (for example, having all the basics, and in addition not having to cut back on local trips, not having to put off replacing broken or worn out appliances, and being able to take an overseas holiday each three years or so if desired, and not having any great restrictions on purchasing clothing).</w:t>
      </w:r>
    </w:p>
    <w:p w:rsidR="00800091" w:rsidRDefault="00800091" w:rsidP="00800091">
      <w:pPr>
        <w:spacing w:line="220" w:lineRule="exact"/>
        <w:jc w:val="both"/>
        <w:rPr>
          <w:rFonts w:cs="Arial"/>
          <w:color w:val="000000"/>
          <w:sz w:val="20"/>
        </w:rPr>
      </w:pPr>
    </w:p>
    <w:p w:rsidR="00800091" w:rsidRDefault="00800091" w:rsidP="00A34C4F">
      <w:pPr>
        <w:jc w:val="both"/>
        <w:rPr>
          <w:rFonts w:cs="Arial"/>
          <w:color w:val="000000"/>
          <w:sz w:val="20"/>
        </w:rPr>
      </w:pPr>
      <w:r>
        <w:rPr>
          <w:rFonts w:cs="Arial"/>
          <w:color w:val="000000"/>
          <w:sz w:val="20"/>
        </w:rPr>
        <w:t>A very low standard of living or state of hardship is characterised by having many ‘enforced lacks’ of essentials and few or no ‘freedoms’.  Higher living standards are characterised by having all the essentials (no enforced lacks) and also having many freedoms and few restrictions in relation to the items asked about in the survey.</w:t>
      </w:r>
    </w:p>
    <w:p w:rsidR="00800091" w:rsidRDefault="00800091" w:rsidP="00A34C4F">
      <w:pPr>
        <w:jc w:val="both"/>
        <w:rPr>
          <w:rFonts w:cs="Arial"/>
          <w:sz w:val="20"/>
        </w:rPr>
      </w:pPr>
    </w:p>
    <w:p w:rsidR="00800091" w:rsidRDefault="00800091" w:rsidP="00A34C4F">
      <w:pPr>
        <w:jc w:val="both"/>
        <w:rPr>
          <w:rFonts w:cs="Arial"/>
          <w:sz w:val="20"/>
        </w:rPr>
      </w:pPr>
      <w:r>
        <w:rPr>
          <w:rFonts w:cs="Arial"/>
          <w:sz w:val="20"/>
        </w:rPr>
        <w:t>Just as when using household incomes, households can be ranked by their ELSI scores and grouped into deciles or in other ways.</w:t>
      </w:r>
    </w:p>
    <w:p w:rsidR="00800091" w:rsidRDefault="00800091" w:rsidP="00A34C4F">
      <w:pPr>
        <w:jc w:val="both"/>
        <w:rPr>
          <w:rFonts w:cs="Arial"/>
          <w:sz w:val="20"/>
        </w:rPr>
      </w:pPr>
    </w:p>
    <w:p w:rsidR="00800091" w:rsidRDefault="00800091" w:rsidP="00A34C4F">
      <w:pPr>
        <w:jc w:val="both"/>
        <w:rPr>
          <w:rFonts w:cs="Arial"/>
          <w:sz w:val="20"/>
        </w:rPr>
      </w:pPr>
      <w:r>
        <w:rPr>
          <w:rFonts w:cs="Arial"/>
          <w:sz w:val="20"/>
        </w:rPr>
        <w:t>In order to use an index like ELSI for measuring material wellbeing it needs to be calibrated so as to give some meaning to the different scores.</w:t>
      </w:r>
      <w:r w:rsidR="00461038">
        <w:rPr>
          <w:rFonts w:cs="Arial"/>
          <w:sz w:val="20"/>
        </w:rPr>
        <w:t xml:space="preserve">  A key element of the calibration (and deciding where to draw the hardship threshold) is to look at where the deprivations become very concentrated.</w:t>
      </w:r>
      <w:r w:rsidR="003B5060">
        <w:rPr>
          <w:rFonts w:cs="Arial"/>
          <w:sz w:val="20"/>
        </w:rPr>
        <w:t xml:space="preserve"> </w:t>
      </w:r>
      <w:r>
        <w:rPr>
          <w:rFonts w:cs="Arial"/>
          <w:sz w:val="20"/>
        </w:rPr>
        <w:t xml:space="preserve">  The graph below </w:t>
      </w:r>
      <w:r w:rsidR="00461038">
        <w:rPr>
          <w:rFonts w:cs="Arial"/>
          <w:sz w:val="20"/>
        </w:rPr>
        <w:t xml:space="preserve">shows </w:t>
      </w:r>
      <w:r>
        <w:rPr>
          <w:rFonts w:cs="Arial"/>
          <w:sz w:val="20"/>
        </w:rPr>
        <w:t>how the different ELSI deciles fare in terms of the relative proportions of both enforced lacks of essentials and also of freedoms enjoyed, out of the list of calibration items (all of which are in the</w:t>
      </w:r>
      <w:r w:rsidR="009B7684">
        <w:rPr>
          <w:rFonts w:cs="Arial"/>
          <w:sz w:val="20"/>
        </w:rPr>
        <w:t xml:space="preserve"> MWI, the updated version of ELSI</w:t>
      </w:r>
      <w:r>
        <w:rPr>
          <w:rFonts w:cs="Arial"/>
          <w:sz w:val="20"/>
        </w:rPr>
        <w:t>).</w:t>
      </w:r>
    </w:p>
    <w:p w:rsidR="00800091" w:rsidRDefault="00800091" w:rsidP="00800091">
      <w:pPr>
        <w:jc w:val="center"/>
        <w:rPr>
          <w:rFonts w:cs="Arial"/>
          <w:b/>
          <w:sz w:val="18"/>
          <w:szCs w:val="18"/>
        </w:rPr>
      </w:pPr>
    </w:p>
    <w:p w:rsidR="00AC66F3" w:rsidRDefault="00AC66F3" w:rsidP="00800091">
      <w:pPr>
        <w:ind w:left="567"/>
        <w:jc w:val="center"/>
        <w:rPr>
          <w:rFonts w:cs="Arial"/>
          <w:b/>
          <w:sz w:val="18"/>
          <w:szCs w:val="18"/>
        </w:rPr>
      </w:pPr>
      <w:r>
        <w:rPr>
          <w:rFonts w:cs="Arial"/>
          <w:b/>
          <w:sz w:val="18"/>
          <w:szCs w:val="18"/>
        </w:rPr>
        <w:t>Figure K.1</w:t>
      </w:r>
    </w:p>
    <w:p w:rsidR="00800091" w:rsidRPr="00E63327" w:rsidRDefault="00800091" w:rsidP="00800091">
      <w:pPr>
        <w:ind w:left="567"/>
        <w:jc w:val="center"/>
        <w:rPr>
          <w:rFonts w:cs="Arial"/>
          <w:b/>
          <w:sz w:val="18"/>
          <w:szCs w:val="18"/>
        </w:rPr>
      </w:pPr>
      <w:r>
        <w:rPr>
          <w:rFonts w:cs="Arial"/>
          <w:b/>
          <w:sz w:val="18"/>
          <w:szCs w:val="18"/>
        </w:rPr>
        <w:t>Calibrating</w:t>
      </w:r>
      <w:r w:rsidRPr="00E63327">
        <w:rPr>
          <w:rFonts w:cs="Arial"/>
          <w:b/>
          <w:sz w:val="18"/>
          <w:szCs w:val="18"/>
        </w:rPr>
        <w:t xml:space="preserve"> ELSI</w:t>
      </w:r>
      <w:r>
        <w:rPr>
          <w:rFonts w:cs="Arial"/>
          <w:b/>
          <w:sz w:val="18"/>
          <w:szCs w:val="18"/>
        </w:rPr>
        <w:t xml:space="preserve"> using ‘enforced lacks’ and ‘freedoms/non-essentials enjoyed’</w:t>
      </w:r>
      <w:r w:rsidRPr="00E63327">
        <w:rPr>
          <w:rFonts w:cs="Arial"/>
          <w:b/>
          <w:sz w:val="18"/>
          <w:szCs w:val="18"/>
        </w:rPr>
        <w:t xml:space="preserve"> (LSS 2008)</w:t>
      </w:r>
    </w:p>
    <w:p w:rsidR="00800091" w:rsidRPr="00BC3B26" w:rsidRDefault="00EC0BE0" w:rsidP="00800091">
      <w:pPr>
        <w:ind w:left="567"/>
        <w:jc w:val="center"/>
        <w:rPr>
          <w:rFonts w:cs="Arial"/>
          <w:b/>
        </w:rPr>
      </w:pPr>
      <w:r>
        <w:rPr>
          <w:noProof/>
          <w:lang w:val="en-US"/>
        </w:rPr>
        <w:drawing>
          <wp:inline distT="0" distB="0" distL="0" distR="0">
            <wp:extent cx="3343275" cy="2190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srcRect/>
                    <a:stretch>
                      <a:fillRect/>
                    </a:stretch>
                  </pic:blipFill>
                  <pic:spPr bwMode="auto">
                    <a:xfrm>
                      <a:off x="0" y="0"/>
                      <a:ext cx="3343275" cy="2190750"/>
                    </a:xfrm>
                    <a:prstGeom prst="rect">
                      <a:avLst/>
                    </a:prstGeom>
                    <a:noFill/>
                    <a:ln w="9525">
                      <a:noFill/>
                      <a:miter lim="800000"/>
                      <a:headEnd/>
                      <a:tailEnd/>
                    </a:ln>
                  </pic:spPr>
                </pic:pic>
              </a:graphicData>
            </a:graphic>
          </wp:inline>
        </w:drawing>
      </w:r>
    </w:p>
    <w:p w:rsidR="00800091" w:rsidRDefault="00800091" w:rsidP="00800091">
      <w:pPr>
        <w:jc w:val="both"/>
        <w:rPr>
          <w:rFonts w:cs="Arial"/>
          <w:b/>
        </w:rPr>
      </w:pPr>
    </w:p>
    <w:p w:rsidR="00800091" w:rsidRDefault="00800091" w:rsidP="00AC66F3">
      <w:pPr>
        <w:ind w:left="66"/>
        <w:jc w:val="both"/>
        <w:rPr>
          <w:rFonts w:cs="Arial"/>
          <w:sz w:val="20"/>
        </w:rPr>
      </w:pPr>
      <w:r>
        <w:rPr>
          <w:rFonts w:cs="Arial"/>
          <w:sz w:val="20"/>
        </w:rPr>
        <w:t xml:space="preserve">For the purposes of the use of ELSI in the Incomes Report it is only the calibration at the hardship end of the spectrum that is of relevance. The ELSI hardship threshold is set at 6 or more deprivations out of 16 in the calibration list.  This gave a population hardship rate of 12% in 2008, just a little above the top of the bottom decile, and close to the income poverty rate using the more stringent 50% of median AHC threshold (13%). </w:t>
      </w:r>
    </w:p>
    <w:p w:rsidR="00800091" w:rsidRDefault="00800091" w:rsidP="00800091">
      <w:pPr>
        <w:jc w:val="both"/>
        <w:rPr>
          <w:rFonts w:cs="Arial"/>
          <w:b/>
          <w:sz w:val="20"/>
        </w:rPr>
      </w:pPr>
    </w:p>
    <w:p w:rsidR="00800091" w:rsidRDefault="00800091" w:rsidP="00AC66F3">
      <w:pPr>
        <w:ind w:left="66"/>
        <w:jc w:val="both"/>
        <w:rPr>
          <w:rFonts w:cs="Arial"/>
          <w:sz w:val="20"/>
        </w:rPr>
      </w:pPr>
      <w:r>
        <w:rPr>
          <w:rFonts w:cs="Arial"/>
          <w:sz w:val="20"/>
        </w:rPr>
        <w:t xml:space="preserve">The essentials used in the calibration exercise </w:t>
      </w:r>
      <w:r w:rsidR="00AC66F3">
        <w:rPr>
          <w:rFonts w:cs="Arial"/>
          <w:sz w:val="20"/>
        </w:rPr>
        <w:t xml:space="preserve">are listed below in </w:t>
      </w:r>
      <w:r w:rsidR="00AC66F3" w:rsidRPr="00AC66F3">
        <w:rPr>
          <w:rFonts w:cs="Arial"/>
          <w:b/>
          <w:sz w:val="20"/>
        </w:rPr>
        <w:t>Table K.1.</w:t>
      </w:r>
    </w:p>
    <w:p w:rsidR="00AC66F3" w:rsidRDefault="00AC66F3" w:rsidP="00AC66F3">
      <w:pPr>
        <w:ind w:left="66"/>
        <w:jc w:val="both"/>
        <w:rPr>
          <w:rFonts w:cs="Arial"/>
          <w:sz w:val="20"/>
        </w:rPr>
      </w:pPr>
    </w:p>
    <w:p w:rsidR="00AC66F3" w:rsidRPr="00AC66F3" w:rsidRDefault="00AC66F3" w:rsidP="00AC66F3">
      <w:pPr>
        <w:ind w:left="66"/>
        <w:jc w:val="center"/>
        <w:rPr>
          <w:rFonts w:cs="Arial"/>
          <w:b/>
          <w:sz w:val="18"/>
          <w:szCs w:val="18"/>
        </w:rPr>
      </w:pPr>
      <w:r w:rsidRPr="00AC66F3">
        <w:rPr>
          <w:rFonts w:cs="Arial"/>
          <w:b/>
          <w:sz w:val="18"/>
          <w:szCs w:val="18"/>
        </w:rPr>
        <w:t>Table K.1</w:t>
      </w:r>
    </w:p>
    <w:p w:rsidR="00AC66F3" w:rsidRPr="00AC66F3" w:rsidRDefault="00AC66F3" w:rsidP="00AC66F3">
      <w:pPr>
        <w:spacing w:after="120"/>
        <w:ind w:left="68"/>
        <w:jc w:val="center"/>
        <w:rPr>
          <w:rFonts w:cs="Arial"/>
          <w:b/>
          <w:sz w:val="18"/>
          <w:szCs w:val="18"/>
        </w:rPr>
      </w:pPr>
      <w:r w:rsidRPr="00AC66F3">
        <w:rPr>
          <w:rFonts w:cs="Arial"/>
          <w:b/>
          <w:sz w:val="18"/>
          <w:szCs w:val="18"/>
        </w:rPr>
        <w:t>Essentials used in the calibration exercise</w:t>
      </w:r>
    </w:p>
    <w:tbl>
      <w:tblPr>
        <w:tblStyle w:val="TableGrid"/>
        <w:tblW w:w="0" w:type="auto"/>
        <w:tblInd w:w="817" w:type="dxa"/>
        <w:tblLook w:val="01E0"/>
      </w:tblPr>
      <w:tblGrid>
        <w:gridCol w:w="4003"/>
        <w:gridCol w:w="4137"/>
      </w:tblGrid>
      <w:tr w:rsidR="00D50D3B" w:rsidTr="00AC66F3">
        <w:tc>
          <w:tcPr>
            <w:tcW w:w="4003" w:type="dxa"/>
          </w:tcPr>
          <w:p w:rsidR="00D50D3B" w:rsidRPr="00741D78" w:rsidRDefault="00D50D3B" w:rsidP="00E379B7">
            <w:pPr>
              <w:spacing w:before="60" w:after="60"/>
              <w:jc w:val="both"/>
              <w:rPr>
                <w:rFonts w:cs="Arial"/>
                <w:b/>
                <w:sz w:val="18"/>
                <w:szCs w:val="18"/>
              </w:rPr>
            </w:pPr>
            <w:r w:rsidRPr="00741D78">
              <w:rPr>
                <w:rFonts w:cs="Arial"/>
                <w:b/>
                <w:sz w:val="18"/>
                <w:szCs w:val="18"/>
              </w:rPr>
              <w:t>enforced lack of essentials</w:t>
            </w:r>
          </w:p>
          <w:p w:rsidR="00D50D3B" w:rsidRPr="00741D78" w:rsidRDefault="00D50D3B" w:rsidP="00D50D3B">
            <w:pPr>
              <w:numPr>
                <w:ilvl w:val="2"/>
                <w:numId w:val="97"/>
              </w:numPr>
              <w:tabs>
                <w:tab w:val="clear" w:pos="2160"/>
                <w:tab w:val="num" w:pos="459"/>
              </w:tabs>
              <w:ind w:left="459" w:hanging="283"/>
              <w:jc w:val="both"/>
              <w:rPr>
                <w:rFonts w:cs="Arial"/>
                <w:sz w:val="18"/>
                <w:szCs w:val="18"/>
              </w:rPr>
            </w:pPr>
            <w:r w:rsidRPr="00741D78">
              <w:rPr>
                <w:rFonts w:cs="Arial"/>
                <w:sz w:val="18"/>
                <w:szCs w:val="18"/>
              </w:rPr>
              <w:t>meal with meat, fish or chicken (or vegetarian equivalent) at least each 2nd day</w:t>
            </w:r>
          </w:p>
          <w:p w:rsidR="00D50D3B" w:rsidRPr="00741D78" w:rsidRDefault="00D50D3B" w:rsidP="00D50D3B">
            <w:pPr>
              <w:numPr>
                <w:ilvl w:val="2"/>
                <w:numId w:val="97"/>
              </w:numPr>
              <w:tabs>
                <w:tab w:val="clear" w:pos="2160"/>
                <w:tab w:val="num" w:pos="459"/>
              </w:tabs>
              <w:ind w:left="459" w:hanging="283"/>
              <w:jc w:val="both"/>
              <w:rPr>
                <w:rFonts w:cs="Arial"/>
                <w:sz w:val="18"/>
                <w:szCs w:val="18"/>
              </w:rPr>
            </w:pPr>
            <w:r w:rsidRPr="00741D78">
              <w:rPr>
                <w:rFonts w:cs="Arial"/>
                <w:sz w:val="18"/>
                <w:szCs w:val="18"/>
              </w:rPr>
              <w:t>two p</w:t>
            </w:r>
            <w:r>
              <w:rPr>
                <w:rFonts w:cs="Arial"/>
                <w:sz w:val="18"/>
                <w:szCs w:val="18"/>
              </w:rPr>
              <w:t>ai</w:t>
            </w:r>
            <w:r w:rsidRPr="00741D78">
              <w:rPr>
                <w:rFonts w:cs="Arial"/>
                <w:sz w:val="18"/>
                <w:szCs w:val="18"/>
              </w:rPr>
              <w:t>rs of shoes in good repair and suitable for everyday use</w:t>
            </w:r>
          </w:p>
          <w:p w:rsidR="00D50D3B" w:rsidRDefault="00D50D3B" w:rsidP="00D50D3B">
            <w:pPr>
              <w:numPr>
                <w:ilvl w:val="2"/>
                <w:numId w:val="97"/>
              </w:numPr>
              <w:tabs>
                <w:tab w:val="clear" w:pos="2160"/>
                <w:tab w:val="num" w:pos="459"/>
              </w:tabs>
              <w:ind w:left="459" w:hanging="283"/>
              <w:jc w:val="both"/>
              <w:rPr>
                <w:rFonts w:cs="Arial"/>
                <w:sz w:val="18"/>
                <w:szCs w:val="18"/>
              </w:rPr>
            </w:pPr>
            <w:r w:rsidRPr="00741D78">
              <w:rPr>
                <w:rFonts w:cs="Arial"/>
                <w:sz w:val="18"/>
                <w:szCs w:val="18"/>
              </w:rPr>
              <w:t>suitable clothes for important or special occasions</w:t>
            </w:r>
          </w:p>
          <w:p w:rsidR="00D50D3B" w:rsidRPr="00741D78" w:rsidRDefault="00D50D3B" w:rsidP="00D50D3B">
            <w:pPr>
              <w:numPr>
                <w:ilvl w:val="2"/>
                <w:numId w:val="97"/>
              </w:numPr>
              <w:tabs>
                <w:tab w:val="clear" w:pos="2160"/>
                <w:tab w:val="num" w:pos="459"/>
              </w:tabs>
              <w:ind w:left="459" w:hanging="283"/>
              <w:jc w:val="both"/>
              <w:rPr>
                <w:rFonts w:cs="Arial"/>
                <w:sz w:val="18"/>
                <w:szCs w:val="18"/>
              </w:rPr>
            </w:pPr>
            <w:r>
              <w:rPr>
                <w:rFonts w:cs="Arial"/>
                <w:sz w:val="18"/>
                <w:szCs w:val="18"/>
              </w:rPr>
              <w:t>a good bed</w:t>
            </w:r>
          </w:p>
          <w:p w:rsidR="00D50D3B" w:rsidRPr="00741D78" w:rsidRDefault="00D50D3B" w:rsidP="00E379B7">
            <w:pPr>
              <w:ind w:left="176"/>
              <w:jc w:val="both"/>
              <w:rPr>
                <w:rFonts w:cs="Arial"/>
                <w:sz w:val="18"/>
                <w:szCs w:val="18"/>
              </w:rPr>
            </w:pPr>
          </w:p>
          <w:p w:rsidR="00D50D3B" w:rsidRPr="00741D78" w:rsidRDefault="00D50D3B" w:rsidP="00E379B7">
            <w:pPr>
              <w:jc w:val="both"/>
              <w:rPr>
                <w:rFonts w:cs="Arial"/>
                <w:sz w:val="18"/>
                <w:szCs w:val="18"/>
              </w:rPr>
            </w:pPr>
          </w:p>
        </w:tc>
        <w:tc>
          <w:tcPr>
            <w:tcW w:w="4137" w:type="dxa"/>
          </w:tcPr>
          <w:p w:rsidR="00D50D3B" w:rsidRPr="00741D78" w:rsidRDefault="00D50D3B" w:rsidP="00E379B7">
            <w:pPr>
              <w:spacing w:before="60" w:after="60"/>
              <w:jc w:val="both"/>
              <w:rPr>
                <w:rFonts w:cs="Arial"/>
                <w:b/>
                <w:sz w:val="18"/>
                <w:szCs w:val="18"/>
              </w:rPr>
            </w:pPr>
            <w:r w:rsidRPr="00741D78">
              <w:rPr>
                <w:rFonts w:cs="Arial"/>
                <w:b/>
                <w:sz w:val="18"/>
                <w:szCs w:val="18"/>
              </w:rPr>
              <w:t xml:space="preserve">economised, cut back or delayed purchases ‘a lot’ </w:t>
            </w:r>
            <w:r w:rsidRPr="00741D78">
              <w:rPr>
                <w:rFonts w:cs="Arial"/>
                <w:sz w:val="18"/>
                <w:szCs w:val="18"/>
              </w:rPr>
              <w:t>because money was needed for other essentials (not just to be thrifty or to save for a trip or other non-essential)</w:t>
            </w:r>
          </w:p>
          <w:p w:rsidR="00D50D3B" w:rsidRPr="00741D78" w:rsidRDefault="00D50D3B" w:rsidP="00D50D3B">
            <w:pPr>
              <w:numPr>
                <w:ilvl w:val="3"/>
                <w:numId w:val="97"/>
              </w:numPr>
              <w:tabs>
                <w:tab w:val="clear" w:pos="2808"/>
                <w:tab w:val="num" w:pos="317"/>
              </w:tabs>
              <w:ind w:left="317" w:hanging="283"/>
              <w:jc w:val="both"/>
              <w:rPr>
                <w:rFonts w:cs="Arial"/>
                <w:sz w:val="18"/>
                <w:szCs w:val="18"/>
              </w:rPr>
            </w:pPr>
            <w:r w:rsidRPr="00741D78">
              <w:rPr>
                <w:rFonts w:cs="Arial"/>
                <w:sz w:val="18"/>
                <w:szCs w:val="18"/>
              </w:rPr>
              <w:t>fresh fruit and vegetables</w:t>
            </w:r>
          </w:p>
          <w:p w:rsidR="00D50D3B" w:rsidRPr="00741D78" w:rsidRDefault="00D50D3B" w:rsidP="00D50D3B">
            <w:pPr>
              <w:numPr>
                <w:ilvl w:val="3"/>
                <w:numId w:val="97"/>
              </w:numPr>
              <w:tabs>
                <w:tab w:val="clear" w:pos="2808"/>
                <w:tab w:val="num" w:pos="317"/>
              </w:tabs>
              <w:ind w:left="317" w:hanging="283"/>
              <w:jc w:val="both"/>
              <w:rPr>
                <w:rFonts w:cs="Arial"/>
                <w:sz w:val="18"/>
                <w:szCs w:val="18"/>
              </w:rPr>
            </w:pPr>
            <w:r w:rsidRPr="00741D78">
              <w:rPr>
                <w:rFonts w:cs="Arial"/>
                <w:sz w:val="18"/>
                <w:szCs w:val="18"/>
              </w:rPr>
              <w:t>meat</w:t>
            </w:r>
          </w:p>
          <w:p w:rsidR="00D50D3B" w:rsidRPr="00741D78" w:rsidRDefault="00D50D3B" w:rsidP="00D50D3B">
            <w:pPr>
              <w:numPr>
                <w:ilvl w:val="3"/>
                <w:numId w:val="97"/>
              </w:numPr>
              <w:tabs>
                <w:tab w:val="clear" w:pos="2808"/>
                <w:tab w:val="num" w:pos="317"/>
              </w:tabs>
              <w:ind w:left="317" w:hanging="283"/>
              <w:jc w:val="both"/>
              <w:rPr>
                <w:rFonts w:cs="Arial"/>
                <w:sz w:val="18"/>
                <w:szCs w:val="18"/>
              </w:rPr>
            </w:pPr>
            <w:r>
              <w:rPr>
                <w:rFonts w:cs="Arial"/>
                <w:sz w:val="18"/>
                <w:szCs w:val="18"/>
              </w:rPr>
              <w:t xml:space="preserve">replacing </w:t>
            </w:r>
            <w:r w:rsidRPr="00741D78">
              <w:rPr>
                <w:rFonts w:cs="Arial"/>
                <w:sz w:val="18"/>
                <w:szCs w:val="18"/>
              </w:rPr>
              <w:t>worn out clothes</w:t>
            </w:r>
          </w:p>
          <w:p w:rsidR="00D50D3B" w:rsidRDefault="00D50D3B" w:rsidP="00D50D3B">
            <w:pPr>
              <w:numPr>
                <w:ilvl w:val="3"/>
                <w:numId w:val="97"/>
              </w:numPr>
              <w:tabs>
                <w:tab w:val="clear" w:pos="2808"/>
                <w:tab w:val="num" w:pos="317"/>
              </w:tabs>
              <w:ind w:left="317" w:hanging="283"/>
              <w:jc w:val="both"/>
              <w:rPr>
                <w:rFonts w:cs="Arial"/>
                <w:sz w:val="18"/>
                <w:szCs w:val="18"/>
              </w:rPr>
            </w:pPr>
            <w:r>
              <w:rPr>
                <w:rFonts w:cs="Arial"/>
                <w:sz w:val="18"/>
                <w:szCs w:val="18"/>
              </w:rPr>
              <w:t>put up with being cold</w:t>
            </w:r>
          </w:p>
          <w:p w:rsidR="00D50D3B" w:rsidRPr="00741D78" w:rsidRDefault="00D50D3B" w:rsidP="00D50D3B">
            <w:pPr>
              <w:numPr>
                <w:ilvl w:val="3"/>
                <w:numId w:val="97"/>
              </w:numPr>
              <w:tabs>
                <w:tab w:val="clear" w:pos="2808"/>
                <w:tab w:val="num" w:pos="317"/>
              </w:tabs>
              <w:ind w:left="317" w:hanging="283"/>
              <w:jc w:val="both"/>
              <w:rPr>
                <w:rFonts w:cs="Arial"/>
                <w:sz w:val="18"/>
                <w:szCs w:val="18"/>
              </w:rPr>
            </w:pPr>
            <w:r w:rsidRPr="00741D78">
              <w:rPr>
                <w:rFonts w:cs="Arial"/>
                <w:sz w:val="18"/>
                <w:szCs w:val="18"/>
              </w:rPr>
              <w:t>visits to the doctor</w:t>
            </w:r>
          </w:p>
          <w:p w:rsidR="00D50D3B" w:rsidRPr="00741D78" w:rsidRDefault="00D50D3B" w:rsidP="00D50D3B">
            <w:pPr>
              <w:numPr>
                <w:ilvl w:val="3"/>
                <w:numId w:val="97"/>
              </w:numPr>
              <w:tabs>
                <w:tab w:val="clear" w:pos="2808"/>
                <w:tab w:val="num" w:pos="317"/>
              </w:tabs>
              <w:ind w:left="317" w:hanging="283"/>
              <w:jc w:val="both"/>
              <w:rPr>
                <w:rFonts w:cs="Arial"/>
                <w:sz w:val="18"/>
                <w:szCs w:val="18"/>
              </w:rPr>
            </w:pPr>
            <w:r w:rsidRPr="00741D78">
              <w:rPr>
                <w:rFonts w:cs="Arial"/>
                <w:sz w:val="18"/>
                <w:szCs w:val="18"/>
              </w:rPr>
              <w:t>trips to the shops or other local places</w:t>
            </w:r>
          </w:p>
          <w:p w:rsidR="00D50D3B" w:rsidRPr="00741D78" w:rsidRDefault="00D50D3B" w:rsidP="00D50D3B">
            <w:pPr>
              <w:numPr>
                <w:ilvl w:val="3"/>
                <w:numId w:val="97"/>
              </w:numPr>
              <w:tabs>
                <w:tab w:val="clear" w:pos="2808"/>
                <w:tab w:val="num" w:pos="317"/>
              </w:tabs>
              <w:spacing w:after="60"/>
              <w:ind w:left="318" w:hanging="284"/>
              <w:jc w:val="both"/>
              <w:rPr>
                <w:rFonts w:cs="Arial"/>
                <w:sz w:val="18"/>
                <w:szCs w:val="18"/>
              </w:rPr>
            </w:pPr>
            <w:r w:rsidRPr="00741D78">
              <w:rPr>
                <w:rFonts w:cs="Arial"/>
                <w:sz w:val="18"/>
                <w:szCs w:val="18"/>
              </w:rPr>
              <w:t>repair or replace</w:t>
            </w:r>
            <w:r>
              <w:rPr>
                <w:rFonts w:cs="Arial"/>
                <w:sz w:val="18"/>
                <w:szCs w:val="18"/>
              </w:rPr>
              <w:t xml:space="preserve"> </w:t>
            </w:r>
            <w:r w:rsidRPr="00741D78">
              <w:rPr>
                <w:rFonts w:cs="Arial"/>
                <w:sz w:val="18"/>
                <w:szCs w:val="18"/>
              </w:rPr>
              <w:t>broken or damaged appliances</w:t>
            </w:r>
          </w:p>
        </w:tc>
      </w:tr>
      <w:tr w:rsidR="00D50D3B" w:rsidTr="00AC66F3">
        <w:tc>
          <w:tcPr>
            <w:tcW w:w="4003" w:type="dxa"/>
          </w:tcPr>
          <w:p w:rsidR="00D50D3B" w:rsidRPr="00741D78" w:rsidRDefault="00D50D3B" w:rsidP="00E379B7">
            <w:pPr>
              <w:spacing w:before="60" w:after="60"/>
              <w:jc w:val="both"/>
              <w:rPr>
                <w:rFonts w:cs="Arial"/>
                <w:b/>
                <w:sz w:val="18"/>
                <w:szCs w:val="18"/>
              </w:rPr>
            </w:pPr>
            <w:r w:rsidRPr="00741D78">
              <w:rPr>
                <w:rFonts w:cs="Arial"/>
                <w:b/>
                <w:sz w:val="18"/>
                <w:szCs w:val="18"/>
              </w:rPr>
              <w:t>in arrears more than once in last 12 months</w:t>
            </w:r>
            <w:r>
              <w:rPr>
                <w:rFonts w:cs="Arial"/>
                <w:b/>
                <w:sz w:val="18"/>
                <w:szCs w:val="18"/>
              </w:rPr>
              <w:t xml:space="preserve"> </w:t>
            </w:r>
            <w:r w:rsidRPr="0061373F">
              <w:rPr>
                <w:rFonts w:cs="Arial"/>
                <w:sz w:val="18"/>
                <w:szCs w:val="18"/>
              </w:rPr>
              <w:t>(because of shortage of cash at the time, not through forgetting)</w:t>
            </w:r>
          </w:p>
          <w:p w:rsidR="00D50D3B" w:rsidRPr="00741D78" w:rsidRDefault="00D50D3B" w:rsidP="00D968A7">
            <w:pPr>
              <w:numPr>
                <w:ilvl w:val="0"/>
                <w:numId w:val="131"/>
              </w:numPr>
              <w:tabs>
                <w:tab w:val="clear" w:pos="648"/>
                <w:tab w:val="num" w:pos="459"/>
              </w:tabs>
              <w:ind w:hanging="472"/>
              <w:jc w:val="both"/>
              <w:rPr>
                <w:rFonts w:cs="Arial"/>
                <w:sz w:val="18"/>
                <w:szCs w:val="18"/>
              </w:rPr>
            </w:pPr>
            <w:r w:rsidRPr="00741D78">
              <w:rPr>
                <w:rFonts w:cs="Arial"/>
                <w:sz w:val="18"/>
                <w:szCs w:val="18"/>
              </w:rPr>
              <w:t>rates, electricity, water</w:t>
            </w:r>
          </w:p>
          <w:p w:rsidR="00D50D3B" w:rsidRDefault="00D50D3B" w:rsidP="00D968A7">
            <w:pPr>
              <w:numPr>
                <w:ilvl w:val="0"/>
                <w:numId w:val="131"/>
              </w:numPr>
              <w:tabs>
                <w:tab w:val="clear" w:pos="648"/>
                <w:tab w:val="num" w:pos="459"/>
              </w:tabs>
              <w:ind w:hanging="472"/>
              <w:jc w:val="both"/>
              <w:rPr>
                <w:rFonts w:cs="Arial"/>
                <w:sz w:val="20"/>
              </w:rPr>
            </w:pPr>
            <w:r w:rsidRPr="00741D78">
              <w:rPr>
                <w:rFonts w:cs="Arial"/>
                <w:sz w:val="18"/>
                <w:szCs w:val="18"/>
              </w:rPr>
              <w:t>vehicle registration, insurance or WoF</w:t>
            </w:r>
          </w:p>
        </w:tc>
        <w:tc>
          <w:tcPr>
            <w:tcW w:w="4137" w:type="dxa"/>
          </w:tcPr>
          <w:p w:rsidR="00D50D3B" w:rsidRPr="0061373F" w:rsidRDefault="00D50D3B" w:rsidP="00E379B7">
            <w:pPr>
              <w:spacing w:before="60" w:after="60"/>
              <w:jc w:val="both"/>
              <w:rPr>
                <w:rFonts w:cs="Arial"/>
                <w:b/>
                <w:sz w:val="18"/>
                <w:szCs w:val="18"/>
              </w:rPr>
            </w:pPr>
            <w:r w:rsidRPr="0061373F">
              <w:rPr>
                <w:rFonts w:cs="Arial"/>
                <w:b/>
                <w:sz w:val="18"/>
                <w:szCs w:val="18"/>
              </w:rPr>
              <w:t xml:space="preserve">financial stress and vulnerability </w:t>
            </w:r>
          </w:p>
          <w:p w:rsidR="00D50D3B" w:rsidRDefault="00D50D3B" w:rsidP="00D968A7">
            <w:pPr>
              <w:numPr>
                <w:ilvl w:val="0"/>
                <w:numId w:val="132"/>
              </w:numPr>
              <w:tabs>
                <w:tab w:val="clear" w:pos="648"/>
                <w:tab w:val="num" w:pos="317"/>
              </w:tabs>
              <w:ind w:left="317" w:hanging="283"/>
              <w:jc w:val="both"/>
              <w:rPr>
                <w:rFonts w:cs="Arial"/>
                <w:sz w:val="18"/>
                <w:szCs w:val="18"/>
              </w:rPr>
            </w:pPr>
            <w:r w:rsidRPr="0061373F">
              <w:rPr>
                <w:rFonts w:cs="Arial"/>
                <w:sz w:val="18"/>
                <w:szCs w:val="18"/>
              </w:rPr>
              <w:t>had to borrow from friends or family more than once in last 12 months to cover everyday expenses for basics</w:t>
            </w:r>
          </w:p>
          <w:p w:rsidR="00D50D3B" w:rsidRDefault="00D50D3B" w:rsidP="00D968A7">
            <w:pPr>
              <w:numPr>
                <w:ilvl w:val="0"/>
                <w:numId w:val="132"/>
              </w:numPr>
              <w:tabs>
                <w:tab w:val="clear" w:pos="648"/>
                <w:tab w:val="num" w:pos="317"/>
              </w:tabs>
              <w:ind w:left="317" w:hanging="283"/>
              <w:jc w:val="both"/>
              <w:rPr>
                <w:rFonts w:cs="Arial"/>
                <w:sz w:val="18"/>
                <w:szCs w:val="18"/>
              </w:rPr>
            </w:pPr>
            <w:r>
              <w:rPr>
                <w:rFonts w:cs="Arial"/>
                <w:sz w:val="18"/>
                <w:szCs w:val="18"/>
              </w:rPr>
              <w:t>feel ‘very limited’ by the money available when thinking about purchase of clothes or shoes for self (options were: not at all, a little, quite and very limited)</w:t>
            </w:r>
          </w:p>
          <w:p w:rsidR="00D50D3B" w:rsidRPr="0061373F" w:rsidRDefault="00D50D3B" w:rsidP="00D968A7">
            <w:pPr>
              <w:numPr>
                <w:ilvl w:val="0"/>
                <w:numId w:val="132"/>
              </w:numPr>
              <w:tabs>
                <w:tab w:val="clear" w:pos="648"/>
                <w:tab w:val="num" w:pos="317"/>
              </w:tabs>
              <w:spacing w:after="120"/>
              <w:ind w:left="318" w:hanging="284"/>
              <w:jc w:val="both"/>
              <w:rPr>
                <w:rFonts w:cs="Arial"/>
                <w:sz w:val="18"/>
                <w:szCs w:val="18"/>
              </w:rPr>
            </w:pPr>
            <w:r>
              <w:rPr>
                <w:rFonts w:cs="Arial"/>
                <w:sz w:val="18"/>
                <w:szCs w:val="18"/>
              </w:rPr>
              <w:t>could not pay an unexpected and unavoidable bill of $500 within a month without borrowing</w:t>
            </w:r>
            <w:r w:rsidR="00AC66F3">
              <w:rPr>
                <w:rFonts w:cs="Arial"/>
                <w:sz w:val="18"/>
                <w:szCs w:val="18"/>
              </w:rPr>
              <w:t>.</w:t>
            </w:r>
          </w:p>
        </w:tc>
      </w:tr>
    </w:tbl>
    <w:p w:rsidR="00D50D3B" w:rsidRDefault="00D50D3B" w:rsidP="00D50D3B">
      <w:pPr>
        <w:ind w:left="426"/>
        <w:jc w:val="both"/>
        <w:rPr>
          <w:rFonts w:cs="Arial"/>
          <w:sz w:val="20"/>
        </w:rPr>
      </w:pPr>
    </w:p>
    <w:p w:rsidR="00AC66F3" w:rsidRDefault="00AC66F3" w:rsidP="00AC66F3">
      <w:pPr>
        <w:ind w:left="426"/>
        <w:jc w:val="both"/>
        <w:rPr>
          <w:rFonts w:cs="Arial"/>
          <w:sz w:val="20"/>
        </w:rPr>
      </w:pPr>
    </w:p>
    <w:p w:rsidR="0071468A" w:rsidRPr="00AC66F3" w:rsidRDefault="00AC66F3" w:rsidP="00AC66F3">
      <w:pPr>
        <w:ind w:left="426"/>
        <w:jc w:val="both"/>
        <w:rPr>
          <w:rFonts w:cs="Arial"/>
          <w:sz w:val="20"/>
        </w:rPr>
      </w:pPr>
      <w:r>
        <w:rPr>
          <w:rFonts w:cs="Arial"/>
          <w:sz w:val="20"/>
        </w:rPr>
        <w:t>Those in hardship using the ELSI measure have on average 8 deprivations out of the 16 used in the calibration list.  This compares with around 1 out of 16 deprivations on average for those in the middle of the distribution (deciles 4, 5 and 6).  The level at which the hardship threshold is set is therefore consistent with the relative disadvantage notion in which the poor and those in hardship have ‘resources that are so seriously below those commanded by the average individual or family that they are, in effect, excluded from ordinary living patterns, customs and activities’ (Townsend 1979).  It identifies living standards below a minimum acceptable standard for New Zealand today, in line with the definition used in the report, through the EU and more widely.</w:t>
      </w:r>
    </w:p>
    <w:p w:rsidR="0071468A" w:rsidRDefault="0071468A" w:rsidP="0071468A">
      <w:pPr>
        <w:ind w:left="360"/>
        <w:jc w:val="both"/>
        <w:rPr>
          <w:rFonts w:cs="Arial"/>
          <w:color w:val="000000"/>
          <w:sz w:val="20"/>
        </w:rPr>
      </w:pPr>
    </w:p>
    <w:p w:rsidR="002D2836" w:rsidRDefault="002D2836" w:rsidP="002D2836">
      <w:pPr>
        <w:jc w:val="both"/>
        <w:rPr>
          <w:rFonts w:cs="Arial"/>
          <w:sz w:val="20"/>
        </w:rPr>
      </w:pPr>
    </w:p>
    <w:p w:rsidR="002D2836" w:rsidRDefault="002D2836" w:rsidP="00EE3232">
      <w:pPr>
        <w:ind w:right="29"/>
        <w:jc w:val="both"/>
        <w:rPr>
          <w:sz w:val="20"/>
          <w:szCs w:val="22"/>
        </w:rPr>
      </w:pPr>
    </w:p>
    <w:p w:rsidR="00EE3232" w:rsidRDefault="00EE3232" w:rsidP="00EE3232">
      <w:pPr>
        <w:jc w:val="both"/>
        <w:rPr>
          <w:rFonts w:cs="Arial"/>
          <w:b/>
          <w:sz w:val="20"/>
          <w:szCs w:val="22"/>
        </w:rPr>
      </w:pPr>
    </w:p>
    <w:p w:rsidR="00B973D3" w:rsidRPr="000E13B1" w:rsidRDefault="00B973D3" w:rsidP="00B973D3">
      <w:pPr>
        <w:jc w:val="center"/>
        <w:rPr>
          <w:rFonts w:cs="Arial"/>
          <w:b/>
          <w:sz w:val="18"/>
          <w:szCs w:val="18"/>
        </w:rPr>
      </w:pPr>
      <w:r>
        <w:rPr>
          <w:rFonts w:cs="Arial"/>
          <w:b/>
          <w:sz w:val="20"/>
          <w:szCs w:val="22"/>
        </w:rPr>
        <w:br w:type="page"/>
      </w:r>
      <w:r w:rsidRPr="000E13B1">
        <w:rPr>
          <w:rFonts w:cs="Arial"/>
          <w:b/>
          <w:sz w:val="18"/>
          <w:szCs w:val="18"/>
        </w:rPr>
        <w:lastRenderedPageBreak/>
        <w:t xml:space="preserve">Table </w:t>
      </w:r>
      <w:r>
        <w:rPr>
          <w:rFonts w:cs="Arial"/>
          <w:b/>
          <w:sz w:val="18"/>
          <w:szCs w:val="18"/>
        </w:rPr>
        <w:t>K</w:t>
      </w:r>
      <w:r w:rsidRPr="000E13B1">
        <w:rPr>
          <w:rFonts w:cs="Arial"/>
          <w:b/>
          <w:sz w:val="18"/>
          <w:szCs w:val="18"/>
        </w:rPr>
        <w:t>.</w:t>
      </w:r>
      <w:r w:rsidR="00AC66F3">
        <w:rPr>
          <w:rFonts w:cs="Arial"/>
          <w:b/>
          <w:sz w:val="18"/>
          <w:szCs w:val="18"/>
        </w:rPr>
        <w:t>2</w:t>
      </w:r>
    </w:p>
    <w:p w:rsidR="00705D24" w:rsidRPr="00221AB9" w:rsidRDefault="00B973D3" w:rsidP="00221AB9">
      <w:pPr>
        <w:spacing w:after="120"/>
        <w:jc w:val="center"/>
        <w:rPr>
          <w:rFonts w:cs="Arial"/>
          <w:b/>
          <w:sz w:val="18"/>
          <w:szCs w:val="18"/>
        </w:rPr>
      </w:pPr>
      <w:r>
        <w:rPr>
          <w:rFonts w:cs="Arial"/>
          <w:b/>
          <w:sz w:val="18"/>
          <w:szCs w:val="18"/>
        </w:rPr>
        <w:t>Composition of</w:t>
      </w:r>
      <w:r w:rsidRPr="000E13B1">
        <w:rPr>
          <w:rFonts w:cs="Arial"/>
          <w:b/>
          <w:sz w:val="18"/>
          <w:szCs w:val="18"/>
        </w:rPr>
        <w:t xml:space="preserve"> th</w:t>
      </w:r>
      <w:r>
        <w:rPr>
          <w:rFonts w:cs="Arial"/>
          <w:b/>
          <w:sz w:val="18"/>
          <w:szCs w:val="18"/>
        </w:rPr>
        <w:t>e indices used in this report</w:t>
      </w:r>
    </w:p>
    <w:tbl>
      <w:tblPr>
        <w:tblStyle w:val="TableGrid"/>
        <w:tblW w:w="10035" w:type="dxa"/>
        <w:jc w:val="center"/>
        <w:tblLayout w:type="fixed"/>
        <w:tblLook w:val="01E0"/>
      </w:tblPr>
      <w:tblGrid>
        <w:gridCol w:w="363"/>
        <w:gridCol w:w="5534"/>
        <w:gridCol w:w="709"/>
        <w:gridCol w:w="567"/>
        <w:gridCol w:w="850"/>
        <w:gridCol w:w="709"/>
        <w:gridCol w:w="709"/>
        <w:gridCol w:w="594"/>
      </w:tblGrid>
      <w:tr w:rsidR="00221AB9" w:rsidRPr="00197AB2">
        <w:trPr>
          <w:trHeight w:val="227"/>
          <w:jc w:val="center"/>
        </w:trPr>
        <w:tc>
          <w:tcPr>
            <w:tcW w:w="5897" w:type="dxa"/>
            <w:gridSpan w:val="2"/>
            <w:vAlign w:val="center"/>
          </w:tcPr>
          <w:p w:rsidR="00221AB9" w:rsidRPr="00532821" w:rsidRDefault="00221AB9" w:rsidP="00532821">
            <w:pPr>
              <w:spacing w:before="40" w:after="40"/>
              <w:jc w:val="center"/>
              <w:rPr>
                <w:rFonts w:cs="Arial"/>
                <w:b/>
                <w:sz w:val="16"/>
                <w:szCs w:val="16"/>
              </w:rPr>
            </w:pPr>
          </w:p>
        </w:tc>
        <w:tc>
          <w:tcPr>
            <w:tcW w:w="1276" w:type="dxa"/>
            <w:gridSpan w:val="2"/>
            <w:tcMar>
              <w:left w:w="0" w:type="dxa"/>
              <w:right w:w="0" w:type="dxa"/>
            </w:tcMar>
            <w:vAlign w:val="center"/>
          </w:tcPr>
          <w:p w:rsidR="00221AB9" w:rsidRPr="00532821" w:rsidRDefault="00221AB9" w:rsidP="00532821">
            <w:pPr>
              <w:spacing w:before="40" w:after="40"/>
              <w:jc w:val="center"/>
              <w:rPr>
                <w:rFonts w:cs="Arial"/>
                <w:b/>
                <w:sz w:val="16"/>
                <w:szCs w:val="16"/>
              </w:rPr>
            </w:pPr>
            <w:r w:rsidRPr="00532821">
              <w:rPr>
                <w:rFonts w:cs="Arial"/>
                <w:b/>
                <w:sz w:val="16"/>
                <w:szCs w:val="16"/>
              </w:rPr>
              <w:t>Endorsements</w:t>
            </w:r>
          </w:p>
        </w:tc>
        <w:tc>
          <w:tcPr>
            <w:tcW w:w="2862" w:type="dxa"/>
            <w:gridSpan w:val="4"/>
            <w:tcMar>
              <w:left w:w="0" w:type="dxa"/>
              <w:right w:w="0" w:type="dxa"/>
            </w:tcMar>
            <w:vAlign w:val="center"/>
          </w:tcPr>
          <w:p w:rsidR="00221AB9" w:rsidRPr="00532821" w:rsidRDefault="00221AB9" w:rsidP="00532821">
            <w:pPr>
              <w:spacing w:before="40" w:after="40"/>
              <w:jc w:val="center"/>
              <w:rPr>
                <w:rFonts w:cs="Arial"/>
                <w:b/>
                <w:sz w:val="16"/>
                <w:szCs w:val="16"/>
              </w:rPr>
            </w:pPr>
            <w:r w:rsidRPr="00532821">
              <w:rPr>
                <w:rFonts w:cs="Arial"/>
                <w:b/>
                <w:sz w:val="16"/>
                <w:szCs w:val="16"/>
              </w:rPr>
              <w:t>Index composition</w:t>
            </w:r>
          </w:p>
        </w:tc>
      </w:tr>
      <w:tr w:rsidR="00705D24" w:rsidRPr="00197AB2">
        <w:trPr>
          <w:trHeight w:val="227"/>
          <w:jc w:val="center"/>
        </w:trPr>
        <w:tc>
          <w:tcPr>
            <w:tcW w:w="5897" w:type="dxa"/>
            <w:gridSpan w:val="2"/>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Item description</w:t>
            </w:r>
          </w:p>
        </w:tc>
        <w:tc>
          <w:tcPr>
            <w:tcW w:w="709" w:type="dxa"/>
            <w:tcMar>
              <w:left w:w="0" w:type="dxa"/>
              <w:right w:w="0" w:type="dxa"/>
            </w:tcMar>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‘Have’</w:t>
            </w:r>
          </w:p>
        </w:tc>
        <w:tc>
          <w:tcPr>
            <w:tcW w:w="567" w:type="dxa"/>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EL</w:t>
            </w:r>
          </w:p>
        </w:tc>
        <w:tc>
          <w:tcPr>
            <w:tcW w:w="850" w:type="dxa"/>
            <w:tcMar>
              <w:left w:w="28" w:type="dxa"/>
              <w:right w:w="28" w:type="dxa"/>
            </w:tcMar>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ELSI-SF</w:t>
            </w:r>
          </w:p>
        </w:tc>
        <w:tc>
          <w:tcPr>
            <w:tcW w:w="709" w:type="dxa"/>
            <w:tcMar>
              <w:left w:w="28" w:type="dxa"/>
              <w:right w:w="28" w:type="dxa"/>
            </w:tcMar>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FRILS</w:t>
            </w:r>
          </w:p>
        </w:tc>
        <w:tc>
          <w:tcPr>
            <w:tcW w:w="709" w:type="dxa"/>
            <w:tcMar>
              <w:left w:w="28" w:type="dxa"/>
              <w:right w:w="28" w:type="dxa"/>
            </w:tcMar>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DEP</w:t>
            </w:r>
          </w:p>
        </w:tc>
        <w:tc>
          <w:tcPr>
            <w:tcW w:w="594" w:type="dxa"/>
            <w:tcMar>
              <w:left w:w="28" w:type="dxa"/>
              <w:right w:w="28" w:type="dxa"/>
            </w:tcMar>
            <w:vAlign w:val="center"/>
          </w:tcPr>
          <w:p w:rsidR="00705D24" w:rsidRPr="00532821" w:rsidRDefault="00705D24" w:rsidP="00532821">
            <w:pPr>
              <w:spacing w:before="40" w:after="40"/>
              <w:jc w:val="center"/>
              <w:rPr>
                <w:rFonts w:cs="Arial"/>
                <w:b/>
                <w:sz w:val="16"/>
                <w:szCs w:val="16"/>
              </w:rPr>
            </w:pPr>
            <w:r w:rsidRPr="00532821">
              <w:rPr>
                <w:rFonts w:cs="Arial"/>
                <w:b/>
                <w:sz w:val="16"/>
                <w:szCs w:val="16"/>
              </w:rPr>
              <w:t>MWI</w:t>
            </w:r>
          </w:p>
        </w:tc>
      </w:tr>
      <w:tr w:rsidR="00705D24">
        <w:trPr>
          <w:jc w:val="center"/>
        </w:trPr>
        <w:tc>
          <w:tcPr>
            <w:tcW w:w="5897" w:type="dxa"/>
            <w:gridSpan w:val="2"/>
            <w:vAlign w:val="center"/>
          </w:tcPr>
          <w:p w:rsidR="00705D24" w:rsidRPr="000A403C" w:rsidRDefault="00705D24" w:rsidP="00796993">
            <w:pPr>
              <w:spacing w:before="20" w:after="20"/>
              <w:rPr>
                <w:rFonts w:cs="Arial"/>
                <w:b/>
                <w:sz w:val="16"/>
                <w:szCs w:val="16"/>
              </w:rPr>
            </w:pPr>
            <w:r w:rsidRPr="00532821">
              <w:rPr>
                <w:rFonts w:cs="Arial"/>
                <w:b/>
                <w:sz w:val="16"/>
                <w:szCs w:val="16"/>
              </w:rPr>
              <w:t xml:space="preserve">Ownership </w:t>
            </w:r>
            <w:r w:rsidRPr="000A403C">
              <w:rPr>
                <w:rFonts w:cs="Arial"/>
                <w:sz w:val="16"/>
                <w:szCs w:val="16"/>
              </w:rPr>
              <w:t>(have,</w:t>
            </w:r>
            <w:r>
              <w:rPr>
                <w:rFonts w:cs="Arial"/>
                <w:sz w:val="16"/>
                <w:szCs w:val="16"/>
              </w:rPr>
              <w:t xml:space="preserve"> don’t have and </w:t>
            </w:r>
            <w:r w:rsidRPr="000A403C">
              <w:rPr>
                <w:rFonts w:cs="Arial"/>
                <w:sz w:val="16"/>
                <w:szCs w:val="16"/>
              </w:rPr>
              <w:t>enforced lack)</w:t>
            </w:r>
          </w:p>
        </w:tc>
        <w:tc>
          <w:tcPr>
            <w:tcW w:w="709" w:type="dxa"/>
            <w:vAlign w:val="center"/>
          </w:tcPr>
          <w:p w:rsidR="00705D24" w:rsidRPr="00673E75" w:rsidRDefault="00705D24" w:rsidP="00796993">
            <w:pPr>
              <w:spacing w:before="20" w:after="20"/>
              <w:jc w:val="center"/>
              <w:rPr>
                <w:rFonts w:cs="Arial"/>
                <w:sz w:val="14"/>
                <w:szCs w:val="16"/>
              </w:rPr>
            </w:pPr>
            <w:r w:rsidRPr="00673E75">
              <w:rPr>
                <w:rFonts w:cs="Arial"/>
                <w:sz w:val="14"/>
                <w:szCs w:val="16"/>
              </w:rPr>
              <w:t>%</w:t>
            </w:r>
          </w:p>
        </w:tc>
        <w:tc>
          <w:tcPr>
            <w:tcW w:w="567" w:type="dxa"/>
            <w:shd w:val="clear" w:color="auto" w:fill="auto"/>
            <w:vAlign w:val="center"/>
          </w:tcPr>
          <w:p w:rsidR="00705D24" w:rsidRPr="00673E75" w:rsidRDefault="00705D24" w:rsidP="00796993">
            <w:pPr>
              <w:spacing w:before="20" w:after="20"/>
              <w:jc w:val="center"/>
              <w:rPr>
                <w:rFonts w:cs="Arial"/>
                <w:sz w:val="14"/>
                <w:szCs w:val="16"/>
              </w:rPr>
            </w:pPr>
            <w:r w:rsidRPr="00673E75">
              <w:rPr>
                <w:rFonts w:cs="Arial"/>
                <w:sz w:val="14"/>
                <w:szCs w:val="16"/>
              </w:rPr>
              <w:t>%</w:t>
            </w:r>
          </w:p>
        </w:tc>
        <w:tc>
          <w:tcPr>
            <w:tcW w:w="850" w:type="dxa"/>
            <w:vAlign w:val="center"/>
          </w:tcPr>
          <w:p w:rsidR="00705D24" w:rsidRPr="00905691" w:rsidRDefault="00705D24" w:rsidP="00796993">
            <w:pPr>
              <w:spacing w:before="20" w:after="20"/>
              <w:jc w:val="center"/>
              <w:rPr>
                <w:rFonts w:cs="Arial"/>
                <w:sz w:val="16"/>
                <w:szCs w:val="16"/>
              </w:rPr>
            </w:pPr>
          </w:p>
        </w:tc>
        <w:tc>
          <w:tcPr>
            <w:tcW w:w="709" w:type="dxa"/>
            <w:vAlign w:val="center"/>
          </w:tcPr>
          <w:p w:rsidR="00705D24" w:rsidRPr="00905691" w:rsidRDefault="00705D24" w:rsidP="00796993">
            <w:pPr>
              <w:spacing w:before="20" w:after="20"/>
              <w:jc w:val="center"/>
              <w:rPr>
                <w:rFonts w:cs="Arial"/>
                <w:sz w:val="16"/>
                <w:szCs w:val="16"/>
              </w:rPr>
            </w:pPr>
          </w:p>
        </w:tc>
        <w:tc>
          <w:tcPr>
            <w:tcW w:w="709" w:type="dxa"/>
            <w:vAlign w:val="center"/>
          </w:tcPr>
          <w:p w:rsidR="00705D24" w:rsidRPr="00905691" w:rsidRDefault="00705D24" w:rsidP="00796993">
            <w:pPr>
              <w:spacing w:before="20" w:after="20"/>
              <w:jc w:val="center"/>
              <w:rPr>
                <w:rFonts w:cs="Arial"/>
                <w:sz w:val="16"/>
                <w:szCs w:val="16"/>
              </w:rPr>
            </w:pPr>
          </w:p>
        </w:tc>
        <w:tc>
          <w:tcPr>
            <w:tcW w:w="594" w:type="dxa"/>
          </w:tcPr>
          <w:p w:rsidR="00705D24" w:rsidRPr="00905691" w:rsidRDefault="00705D24" w:rsidP="00796993">
            <w:pPr>
              <w:spacing w:before="20" w:after="20"/>
              <w:jc w:val="center"/>
              <w:rPr>
                <w:rFonts w:cs="Arial"/>
                <w:sz w:val="16"/>
                <w:szCs w:val="16"/>
              </w:rPr>
            </w:pPr>
          </w:p>
        </w:tc>
      </w:tr>
      <w:tr w:rsidR="00E9316F">
        <w:trPr>
          <w:jc w:val="center"/>
        </w:trPr>
        <w:tc>
          <w:tcPr>
            <w:tcW w:w="363" w:type="dxa"/>
            <w:tcBorders>
              <w:right w:val="nil"/>
            </w:tcBorders>
            <w:vAlign w:val="center"/>
          </w:tcPr>
          <w:p w:rsidR="00E9316F" w:rsidRPr="00905691" w:rsidRDefault="00E9316F" w:rsidP="00796993">
            <w:pPr>
              <w:spacing w:before="20" w:after="20"/>
              <w:rPr>
                <w:rFonts w:cs="Arial"/>
                <w:sz w:val="16"/>
                <w:szCs w:val="16"/>
              </w:rPr>
            </w:pPr>
            <w:r>
              <w:rPr>
                <w:rFonts w:cs="Arial"/>
                <w:sz w:val="16"/>
                <w:szCs w:val="16"/>
              </w:rPr>
              <w:t>1</w:t>
            </w:r>
          </w:p>
        </w:tc>
        <w:tc>
          <w:tcPr>
            <w:tcW w:w="5534" w:type="dxa"/>
            <w:tcBorders>
              <w:left w:val="nil"/>
            </w:tcBorders>
            <w:vAlign w:val="center"/>
          </w:tcPr>
          <w:p w:rsidR="00E9316F" w:rsidRPr="00905691" w:rsidRDefault="00E9316F" w:rsidP="00796993">
            <w:pPr>
              <w:spacing w:before="20" w:after="20"/>
              <w:rPr>
                <w:rFonts w:cs="Arial"/>
                <w:sz w:val="16"/>
                <w:szCs w:val="16"/>
              </w:rPr>
            </w:pPr>
            <w:r w:rsidRPr="00905691">
              <w:rPr>
                <w:rFonts w:cs="Arial"/>
                <w:sz w:val="16"/>
                <w:szCs w:val="16"/>
              </w:rPr>
              <w:t>Phone</w:t>
            </w:r>
          </w:p>
        </w:tc>
        <w:tc>
          <w:tcPr>
            <w:tcW w:w="709"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99</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&lt;1</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BA6F13"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trHeight w:val="170"/>
          <w:jc w:val="center"/>
        </w:trPr>
        <w:tc>
          <w:tcPr>
            <w:tcW w:w="363" w:type="dxa"/>
            <w:tcBorders>
              <w:right w:val="nil"/>
            </w:tcBorders>
            <w:vAlign w:val="center"/>
          </w:tcPr>
          <w:p w:rsidR="00E9316F" w:rsidRPr="00905691" w:rsidRDefault="00E9316F" w:rsidP="00796993">
            <w:pPr>
              <w:spacing w:before="20" w:after="20"/>
              <w:rPr>
                <w:rFonts w:cs="Arial"/>
                <w:sz w:val="16"/>
                <w:szCs w:val="16"/>
              </w:rPr>
            </w:pPr>
            <w:r>
              <w:rPr>
                <w:rFonts w:cs="Arial"/>
                <w:sz w:val="16"/>
                <w:szCs w:val="16"/>
              </w:rPr>
              <w:t>2</w:t>
            </w:r>
          </w:p>
        </w:tc>
        <w:tc>
          <w:tcPr>
            <w:tcW w:w="5534" w:type="dxa"/>
            <w:tcBorders>
              <w:left w:val="nil"/>
            </w:tcBorders>
            <w:vAlign w:val="center"/>
          </w:tcPr>
          <w:p w:rsidR="00E9316F" w:rsidRPr="00905691" w:rsidRDefault="00E9316F" w:rsidP="008E2C7A">
            <w:pPr>
              <w:spacing w:before="20" w:after="20"/>
              <w:rPr>
                <w:rFonts w:cs="Arial"/>
                <w:sz w:val="16"/>
                <w:szCs w:val="16"/>
              </w:rPr>
            </w:pPr>
            <w:r w:rsidRPr="00905691">
              <w:rPr>
                <w:rFonts w:cs="Arial"/>
                <w:sz w:val="16"/>
                <w:szCs w:val="16"/>
              </w:rPr>
              <w:t>Washing machine</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98</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1</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r>
      <w:tr w:rsidR="00E9316F">
        <w:trPr>
          <w:trHeight w:val="170"/>
          <w:jc w:val="center"/>
        </w:trPr>
        <w:tc>
          <w:tcPr>
            <w:tcW w:w="363" w:type="dxa"/>
            <w:tcBorders>
              <w:right w:val="nil"/>
            </w:tcBorders>
            <w:vAlign w:val="center"/>
          </w:tcPr>
          <w:p w:rsidR="00E9316F" w:rsidRPr="00905691" w:rsidRDefault="00E9316F" w:rsidP="00796993">
            <w:pPr>
              <w:spacing w:before="20" w:after="20"/>
              <w:rPr>
                <w:rFonts w:cs="Arial"/>
                <w:sz w:val="16"/>
                <w:szCs w:val="16"/>
              </w:rPr>
            </w:pPr>
            <w:r>
              <w:rPr>
                <w:rFonts w:cs="Arial"/>
                <w:sz w:val="16"/>
                <w:szCs w:val="16"/>
              </w:rPr>
              <w:t>3</w:t>
            </w:r>
          </w:p>
        </w:tc>
        <w:tc>
          <w:tcPr>
            <w:tcW w:w="5534" w:type="dxa"/>
            <w:tcBorders>
              <w:left w:val="nil"/>
            </w:tcBorders>
            <w:vAlign w:val="center"/>
          </w:tcPr>
          <w:p w:rsidR="00E9316F" w:rsidRPr="00905691" w:rsidRDefault="00E9316F" w:rsidP="008E2C7A">
            <w:pPr>
              <w:spacing w:before="20" w:after="20"/>
              <w:rPr>
                <w:rFonts w:cs="Arial"/>
                <w:sz w:val="16"/>
                <w:szCs w:val="16"/>
              </w:rPr>
            </w:pPr>
            <w:r>
              <w:rPr>
                <w:rFonts w:cs="Arial"/>
                <w:sz w:val="16"/>
                <w:szCs w:val="16"/>
              </w:rPr>
              <w:t>Two pairs of shoes in a good condition and suitable for you daily activities</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92</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5</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BA6F13" w:rsidP="008E2C7A">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r>
      <w:tr w:rsidR="00E9316F">
        <w:trPr>
          <w:trHeight w:val="170"/>
          <w:jc w:val="center"/>
        </w:trPr>
        <w:tc>
          <w:tcPr>
            <w:tcW w:w="363" w:type="dxa"/>
            <w:tcBorders>
              <w:right w:val="nil"/>
            </w:tcBorders>
            <w:vAlign w:val="center"/>
          </w:tcPr>
          <w:p w:rsidR="00E9316F" w:rsidRPr="00905691" w:rsidRDefault="00E9316F" w:rsidP="00796993">
            <w:pPr>
              <w:spacing w:before="20" w:after="20"/>
              <w:rPr>
                <w:rFonts w:cs="Arial"/>
                <w:sz w:val="16"/>
                <w:szCs w:val="16"/>
              </w:rPr>
            </w:pPr>
            <w:r>
              <w:rPr>
                <w:rFonts w:cs="Arial"/>
                <w:sz w:val="16"/>
                <w:szCs w:val="16"/>
              </w:rPr>
              <w:t>4</w:t>
            </w:r>
          </w:p>
        </w:tc>
        <w:tc>
          <w:tcPr>
            <w:tcW w:w="5534" w:type="dxa"/>
            <w:tcBorders>
              <w:left w:val="nil"/>
            </w:tcBorders>
            <w:vAlign w:val="center"/>
          </w:tcPr>
          <w:p w:rsidR="00E9316F" w:rsidRPr="00905691" w:rsidRDefault="00E9316F" w:rsidP="008E2C7A">
            <w:pPr>
              <w:spacing w:before="20" w:after="20"/>
              <w:rPr>
                <w:rFonts w:cs="Arial"/>
                <w:sz w:val="16"/>
                <w:szCs w:val="16"/>
              </w:rPr>
            </w:pPr>
            <w:r>
              <w:rPr>
                <w:rFonts w:cs="Arial"/>
                <w:sz w:val="16"/>
                <w:szCs w:val="16"/>
              </w:rPr>
              <w:t>Ability to keep main rooms adequately warm</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91</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7</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r>
      <w:tr w:rsidR="00E9316F">
        <w:trPr>
          <w:trHeight w:val="170"/>
          <w:jc w:val="center"/>
        </w:trPr>
        <w:tc>
          <w:tcPr>
            <w:tcW w:w="363" w:type="dxa"/>
            <w:tcBorders>
              <w:right w:val="nil"/>
            </w:tcBorders>
            <w:vAlign w:val="center"/>
          </w:tcPr>
          <w:p w:rsidR="00E9316F" w:rsidRPr="00905691" w:rsidRDefault="00E9316F" w:rsidP="00796993">
            <w:pPr>
              <w:spacing w:before="20" w:after="20"/>
              <w:rPr>
                <w:rFonts w:cs="Arial"/>
                <w:sz w:val="16"/>
                <w:szCs w:val="16"/>
              </w:rPr>
            </w:pPr>
            <w:r>
              <w:rPr>
                <w:rFonts w:cs="Arial"/>
                <w:sz w:val="16"/>
                <w:szCs w:val="16"/>
              </w:rPr>
              <w:t>5</w:t>
            </w:r>
          </w:p>
        </w:tc>
        <w:tc>
          <w:tcPr>
            <w:tcW w:w="5534" w:type="dxa"/>
            <w:tcBorders>
              <w:left w:val="nil"/>
            </w:tcBorders>
            <w:vAlign w:val="center"/>
          </w:tcPr>
          <w:p w:rsidR="00E9316F" w:rsidRPr="00905691" w:rsidRDefault="00E9316F" w:rsidP="008E2C7A">
            <w:pPr>
              <w:spacing w:before="20" w:after="20"/>
              <w:rPr>
                <w:rFonts w:cs="Arial"/>
                <w:sz w:val="16"/>
                <w:szCs w:val="16"/>
              </w:rPr>
            </w:pPr>
            <w:r>
              <w:rPr>
                <w:rFonts w:cs="Arial"/>
                <w:sz w:val="16"/>
                <w:szCs w:val="16"/>
              </w:rPr>
              <w:t>Suitable clothes for important or special occasions</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90</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7</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BA6F13" w:rsidP="008E2C7A">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r>
      <w:tr w:rsidR="00E9316F">
        <w:trPr>
          <w:jc w:val="center"/>
        </w:trPr>
        <w:tc>
          <w:tcPr>
            <w:tcW w:w="363" w:type="dxa"/>
            <w:tcBorders>
              <w:right w:val="nil"/>
            </w:tcBorders>
            <w:vAlign w:val="center"/>
          </w:tcPr>
          <w:p w:rsidR="00E9316F" w:rsidRPr="00905691" w:rsidRDefault="00E9316F" w:rsidP="008E2C7A">
            <w:pPr>
              <w:spacing w:before="20" w:after="20"/>
              <w:rPr>
                <w:rFonts w:cs="Arial"/>
                <w:sz w:val="16"/>
                <w:szCs w:val="16"/>
              </w:rPr>
            </w:pPr>
            <w:r>
              <w:rPr>
                <w:rFonts w:cs="Arial"/>
                <w:sz w:val="16"/>
                <w:szCs w:val="16"/>
              </w:rPr>
              <w:t>6</w:t>
            </w:r>
          </w:p>
        </w:tc>
        <w:tc>
          <w:tcPr>
            <w:tcW w:w="5534" w:type="dxa"/>
            <w:tcBorders>
              <w:left w:val="nil"/>
            </w:tcBorders>
            <w:vAlign w:val="center"/>
          </w:tcPr>
          <w:p w:rsidR="00E9316F" w:rsidRPr="00905691" w:rsidRDefault="00E9316F" w:rsidP="008E2C7A">
            <w:pPr>
              <w:spacing w:before="20" w:after="20"/>
              <w:rPr>
                <w:rFonts w:cs="Arial"/>
                <w:sz w:val="16"/>
                <w:szCs w:val="16"/>
              </w:rPr>
            </w:pPr>
            <w:r>
              <w:rPr>
                <w:rFonts w:cs="Arial"/>
                <w:sz w:val="16"/>
                <w:szCs w:val="16"/>
              </w:rPr>
              <w:t>Home computer</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83</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7</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trHeight w:val="113"/>
          <w:jc w:val="center"/>
        </w:trPr>
        <w:tc>
          <w:tcPr>
            <w:tcW w:w="363" w:type="dxa"/>
            <w:tcBorders>
              <w:right w:val="nil"/>
            </w:tcBorders>
            <w:vAlign w:val="center"/>
          </w:tcPr>
          <w:p w:rsidR="00E9316F" w:rsidRPr="00905691" w:rsidRDefault="00E9316F" w:rsidP="008E2C7A">
            <w:pPr>
              <w:spacing w:before="20" w:after="20"/>
              <w:rPr>
                <w:rFonts w:cs="Arial"/>
                <w:sz w:val="16"/>
                <w:szCs w:val="16"/>
              </w:rPr>
            </w:pPr>
            <w:r>
              <w:rPr>
                <w:rFonts w:cs="Arial"/>
                <w:sz w:val="16"/>
                <w:szCs w:val="16"/>
              </w:rPr>
              <w:t>7</w:t>
            </w:r>
          </w:p>
        </w:tc>
        <w:tc>
          <w:tcPr>
            <w:tcW w:w="5534" w:type="dxa"/>
            <w:tcBorders>
              <w:left w:val="nil"/>
            </w:tcBorders>
            <w:vAlign w:val="center"/>
          </w:tcPr>
          <w:p w:rsidR="00E9316F" w:rsidRPr="00905691" w:rsidRDefault="00E9316F" w:rsidP="008E2C7A">
            <w:pPr>
              <w:spacing w:before="20" w:after="20"/>
              <w:rPr>
                <w:rFonts w:cs="Arial"/>
                <w:sz w:val="16"/>
                <w:szCs w:val="16"/>
              </w:rPr>
            </w:pPr>
            <w:r w:rsidRPr="00905691">
              <w:rPr>
                <w:rFonts w:cs="Arial"/>
                <w:sz w:val="16"/>
                <w:szCs w:val="16"/>
              </w:rPr>
              <w:t>Contents insurance</w:t>
            </w:r>
          </w:p>
        </w:tc>
        <w:tc>
          <w:tcPr>
            <w:tcW w:w="709"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76</w:t>
            </w:r>
          </w:p>
        </w:tc>
        <w:tc>
          <w:tcPr>
            <w:tcW w:w="567" w:type="dxa"/>
            <w:vAlign w:val="center"/>
          </w:tcPr>
          <w:p w:rsidR="00E9316F" w:rsidRPr="00785B64" w:rsidRDefault="00E9316F" w:rsidP="008E2C7A">
            <w:pPr>
              <w:spacing w:before="20" w:after="20"/>
              <w:jc w:val="center"/>
              <w:rPr>
                <w:rFonts w:cs="Arial"/>
                <w:sz w:val="14"/>
                <w:szCs w:val="16"/>
              </w:rPr>
            </w:pPr>
            <w:r w:rsidRPr="00785B64">
              <w:rPr>
                <w:rFonts w:cs="Arial"/>
                <w:sz w:val="14"/>
                <w:szCs w:val="16"/>
              </w:rPr>
              <w:t>12</w:t>
            </w:r>
          </w:p>
        </w:tc>
        <w:tc>
          <w:tcPr>
            <w:tcW w:w="850"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8E2C7A">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113"/>
          <w:jc w:val="center"/>
        </w:trPr>
        <w:tc>
          <w:tcPr>
            <w:tcW w:w="363" w:type="dxa"/>
            <w:tcBorders>
              <w:right w:val="nil"/>
            </w:tcBorders>
            <w:vAlign w:val="center"/>
          </w:tcPr>
          <w:p w:rsidR="00E9316F" w:rsidRPr="00905691" w:rsidRDefault="00E9316F" w:rsidP="008E2C7A">
            <w:pPr>
              <w:spacing w:before="20" w:after="20"/>
              <w:rPr>
                <w:rFonts w:cs="Arial"/>
                <w:sz w:val="16"/>
                <w:szCs w:val="16"/>
              </w:rPr>
            </w:pPr>
          </w:p>
        </w:tc>
        <w:tc>
          <w:tcPr>
            <w:tcW w:w="5534" w:type="dxa"/>
            <w:tcBorders>
              <w:left w:val="nil"/>
            </w:tcBorders>
            <w:vAlign w:val="center"/>
          </w:tcPr>
          <w:p w:rsidR="00E9316F" w:rsidRDefault="00E9316F" w:rsidP="008E2C7A">
            <w:pPr>
              <w:autoSpaceDE w:val="0"/>
              <w:autoSpaceDN w:val="0"/>
              <w:adjustRightInd w:val="0"/>
              <w:spacing w:before="20" w:after="20"/>
              <w:ind w:left="176"/>
              <w:jc w:val="both"/>
              <w:rPr>
                <w:rFonts w:cs="Arial"/>
                <w:sz w:val="16"/>
                <w:szCs w:val="16"/>
              </w:rPr>
            </w:pPr>
            <w:r>
              <w:rPr>
                <w:rFonts w:cs="Arial"/>
                <w:sz w:val="16"/>
                <w:szCs w:val="16"/>
              </w:rPr>
              <w:t>A</w:t>
            </w:r>
            <w:r w:rsidRPr="00EB2168">
              <w:rPr>
                <w:rFonts w:cs="Arial"/>
                <w:sz w:val="16"/>
                <w:szCs w:val="16"/>
              </w:rPr>
              <w:t xml:space="preserve"> meal with meat, fish or chicken (or veg equiv) at least each </w:t>
            </w:r>
            <w:r w:rsidR="00805672">
              <w:rPr>
                <w:rFonts w:cs="Arial"/>
                <w:sz w:val="16"/>
                <w:szCs w:val="16"/>
              </w:rPr>
              <w:t>2nd</w:t>
            </w:r>
            <w:r w:rsidRPr="00EB2168">
              <w:rPr>
                <w:rFonts w:cs="Arial"/>
                <w:sz w:val="16"/>
                <w:szCs w:val="16"/>
              </w:rPr>
              <w:t xml:space="preserve"> day</w:t>
            </w:r>
          </w:p>
        </w:tc>
        <w:tc>
          <w:tcPr>
            <w:tcW w:w="709" w:type="dxa"/>
            <w:vAlign w:val="center"/>
          </w:tcPr>
          <w:p w:rsidR="00E9316F" w:rsidRPr="00785B64" w:rsidRDefault="00E9316F" w:rsidP="008E2C7A">
            <w:pPr>
              <w:spacing w:before="20" w:after="20"/>
              <w:jc w:val="center"/>
              <w:rPr>
                <w:rFonts w:cs="Arial"/>
                <w:sz w:val="14"/>
                <w:szCs w:val="16"/>
              </w:rPr>
            </w:pPr>
            <w:r>
              <w:rPr>
                <w:rFonts w:cs="Arial"/>
                <w:sz w:val="14"/>
                <w:szCs w:val="16"/>
              </w:rPr>
              <w:t>93</w:t>
            </w:r>
          </w:p>
        </w:tc>
        <w:tc>
          <w:tcPr>
            <w:tcW w:w="567" w:type="dxa"/>
            <w:vAlign w:val="center"/>
          </w:tcPr>
          <w:p w:rsidR="00E9316F" w:rsidRPr="00785B64" w:rsidRDefault="00E9316F" w:rsidP="008E2C7A">
            <w:pPr>
              <w:spacing w:before="20" w:after="20"/>
              <w:jc w:val="center"/>
              <w:rPr>
                <w:rFonts w:cs="Arial"/>
                <w:sz w:val="14"/>
                <w:szCs w:val="16"/>
              </w:rPr>
            </w:pPr>
          </w:p>
        </w:tc>
        <w:tc>
          <w:tcPr>
            <w:tcW w:w="850"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594" w:type="dxa"/>
            <w:vAlign w:val="center"/>
          </w:tcPr>
          <w:p w:rsidR="00E9316F" w:rsidRDefault="00E9316F" w:rsidP="008E2C7A">
            <w:pPr>
              <w:jc w:val="center"/>
              <w:rPr>
                <w:rFonts w:cs="Arial"/>
                <w:sz w:val="16"/>
                <w:szCs w:val="16"/>
              </w:rPr>
            </w:pPr>
            <w:r w:rsidRPr="00905691">
              <w:rPr>
                <w:rFonts w:cs="Arial"/>
                <w:sz w:val="16"/>
                <w:szCs w:val="16"/>
              </w:rPr>
              <w:sym w:font="Wingdings" w:char="F0FC"/>
            </w:r>
          </w:p>
        </w:tc>
      </w:tr>
      <w:tr w:rsidR="00E9316F">
        <w:trPr>
          <w:trHeight w:val="113"/>
          <w:jc w:val="center"/>
        </w:trPr>
        <w:tc>
          <w:tcPr>
            <w:tcW w:w="363" w:type="dxa"/>
            <w:tcBorders>
              <w:right w:val="nil"/>
            </w:tcBorders>
            <w:vAlign w:val="center"/>
          </w:tcPr>
          <w:p w:rsidR="00E9316F" w:rsidRPr="00905691" w:rsidRDefault="00E9316F" w:rsidP="008E2C7A">
            <w:pPr>
              <w:spacing w:before="20" w:after="20"/>
              <w:rPr>
                <w:rFonts w:cs="Arial"/>
                <w:sz w:val="16"/>
                <w:szCs w:val="16"/>
              </w:rPr>
            </w:pPr>
          </w:p>
        </w:tc>
        <w:tc>
          <w:tcPr>
            <w:tcW w:w="5534" w:type="dxa"/>
            <w:tcBorders>
              <w:left w:val="nil"/>
            </w:tcBorders>
            <w:vAlign w:val="center"/>
          </w:tcPr>
          <w:p w:rsidR="00E9316F" w:rsidRDefault="00E9316F" w:rsidP="008E2C7A">
            <w:pPr>
              <w:autoSpaceDE w:val="0"/>
              <w:autoSpaceDN w:val="0"/>
              <w:adjustRightInd w:val="0"/>
              <w:spacing w:before="20" w:after="20"/>
              <w:ind w:left="176"/>
              <w:jc w:val="both"/>
              <w:rPr>
                <w:rFonts w:cs="Arial"/>
                <w:sz w:val="16"/>
                <w:szCs w:val="16"/>
              </w:rPr>
            </w:pPr>
            <w:r>
              <w:rPr>
                <w:rFonts w:cs="Arial"/>
                <w:sz w:val="16"/>
                <w:szCs w:val="16"/>
              </w:rPr>
              <w:t>A good bed</w:t>
            </w:r>
          </w:p>
        </w:tc>
        <w:tc>
          <w:tcPr>
            <w:tcW w:w="709" w:type="dxa"/>
            <w:vAlign w:val="center"/>
          </w:tcPr>
          <w:p w:rsidR="00E9316F" w:rsidRPr="00785B64" w:rsidRDefault="00E9316F" w:rsidP="008E2C7A">
            <w:pPr>
              <w:spacing w:before="20" w:after="20"/>
              <w:jc w:val="center"/>
              <w:rPr>
                <w:rFonts w:cs="Arial"/>
                <w:sz w:val="14"/>
                <w:szCs w:val="16"/>
              </w:rPr>
            </w:pPr>
          </w:p>
        </w:tc>
        <w:tc>
          <w:tcPr>
            <w:tcW w:w="567" w:type="dxa"/>
            <w:vAlign w:val="center"/>
          </w:tcPr>
          <w:p w:rsidR="00E9316F" w:rsidRPr="00785B64" w:rsidRDefault="00E9316F" w:rsidP="008E2C7A">
            <w:pPr>
              <w:spacing w:before="20" w:after="20"/>
              <w:jc w:val="center"/>
              <w:rPr>
                <w:rFonts w:cs="Arial"/>
                <w:sz w:val="14"/>
                <w:szCs w:val="16"/>
              </w:rPr>
            </w:pPr>
          </w:p>
        </w:tc>
        <w:tc>
          <w:tcPr>
            <w:tcW w:w="850"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8E2C7A">
            <w:pPr>
              <w:spacing w:before="20" w:after="20"/>
              <w:jc w:val="center"/>
              <w:rPr>
                <w:rFonts w:cs="Arial"/>
                <w:sz w:val="16"/>
                <w:szCs w:val="16"/>
              </w:rPr>
            </w:pPr>
            <w:r>
              <w:rPr>
                <w:rFonts w:cs="Arial"/>
                <w:sz w:val="16"/>
                <w:szCs w:val="16"/>
              </w:rPr>
              <w:t>-</w:t>
            </w:r>
          </w:p>
        </w:tc>
        <w:tc>
          <w:tcPr>
            <w:tcW w:w="594" w:type="dxa"/>
            <w:vAlign w:val="center"/>
          </w:tcPr>
          <w:p w:rsidR="00E9316F" w:rsidRDefault="00E9316F" w:rsidP="008E2C7A">
            <w:pPr>
              <w:jc w:val="center"/>
              <w:rPr>
                <w:rFonts w:cs="Arial"/>
                <w:sz w:val="16"/>
                <w:szCs w:val="16"/>
              </w:rPr>
            </w:pPr>
            <w:r w:rsidRPr="00905691">
              <w:rPr>
                <w:rFonts w:cs="Arial"/>
                <w:sz w:val="16"/>
                <w:szCs w:val="16"/>
              </w:rPr>
              <w:sym w:font="Wingdings" w:char="F0FC"/>
            </w:r>
          </w:p>
        </w:tc>
      </w:tr>
      <w:tr w:rsidR="00E9316F">
        <w:trPr>
          <w:jc w:val="center"/>
        </w:trPr>
        <w:tc>
          <w:tcPr>
            <w:tcW w:w="5897" w:type="dxa"/>
            <w:gridSpan w:val="2"/>
            <w:shd w:val="clear" w:color="auto" w:fill="auto"/>
            <w:vAlign w:val="center"/>
          </w:tcPr>
          <w:p w:rsidR="00E9316F" w:rsidRPr="000A403C" w:rsidRDefault="00E9316F" w:rsidP="00796993">
            <w:pPr>
              <w:spacing w:before="20" w:after="20"/>
              <w:rPr>
                <w:rFonts w:cs="Arial"/>
                <w:b/>
                <w:sz w:val="16"/>
                <w:szCs w:val="16"/>
              </w:rPr>
            </w:pPr>
            <w:r w:rsidRPr="00532821">
              <w:rPr>
                <w:rFonts w:cs="Arial"/>
                <w:b/>
                <w:sz w:val="16"/>
                <w:szCs w:val="16"/>
              </w:rPr>
              <w:t>Social participation</w:t>
            </w:r>
            <w:r>
              <w:rPr>
                <w:rFonts w:cs="Arial"/>
                <w:b/>
                <w:sz w:val="16"/>
                <w:szCs w:val="16"/>
              </w:rPr>
              <w:t xml:space="preserve"> </w:t>
            </w:r>
            <w:r>
              <w:rPr>
                <w:rFonts w:cs="Arial"/>
                <w:sz w:val="16"/>
                <w:szCs w:val="16"/>
              </w:rPr>
              <w:t xml:space="preserve">(do, don’t do and </w:t>
            </w:r>
            <w:r w:rsidRPr="000A403C">
              <w:rPr>
                <w:rFonts w:cs="Arial"/>
                <w:sz w:val="16"/>
                <w:szCs w:val="16"/>
              </w:rPr>
              <w:t>enforced lack)</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p>
        </w:tc>
        <w:tc>
          <w:tcPr>
            <w:tcW w:w="567" w:type="dxa"/>
            <w:shd w:val="clear" w:color="auto" w:fill="auto"/>
            <w:vAlign w:val="center"/>
          </w:tcPr>
          <w:p w:rsidR="00E9316F" w:rsidRPr="00785B64" w:rsidRDefault="00E9316F" w:rsidP="00796993">
            <w:pPr>
              <w:spacing w:before="20" w:after="20"/>
              <w:jc w:val="center"/>
              <w:rPr>
                <w:rFonts w:cs="Arial"/>
                <w:sz w:val="14"/>
                <w:szCs w:val="16"/>
              </w:rPr>
            </w:pPr>
          </w:p>
        </w:tc>
        <w:tc>
          <w:tcPr>
            <w:tcW w:w="850" w:type="dxa"/>
            <w:shd w:val="clear" w:color="auto" w:fill="auto"/>
            <w:vAlign w:val="center"/>
          </w:tcPr>
          <w:p w:rsidR="00E9316F" w:rsidRPr="00905691" w:rsidRDefault="00E9316F" w:rsidP="00796993">
            <w:pPr>
              <w:spacing w:before="20" w:after="20"/>
              <w:jc w:val="center"/>
              <w:rPr>
                <w:rFonts w:cs="Arial"/>
                <w:sz w:val="16"/>
                <w:szCs w:val="16"/>
              </w:rPr>
            </w:pPr>
          </w:p>
        </w:tc>
        <w:tc>
          <w:tcPr>
            <w:tcW w:w="709" w:type="dxa"/>
            <w:shd w:val="clear" w:color="auto" w:fill="auto"/>
            <w:vAlign w:val="center"/>
          </w:tcPr>
          <w:p w:rsidR="00E9316F" w:rsidRPr="00905691" w:rsidRDefault="00E9316F" w:rsidP="00796993">
            <w:pPr>
              <w:spacing w:before="20" w:after="20"/>
              <w:jc w:val="center"/>
              <w:rPr>
                <w:rFonts w:cs="Arial"/>
                <w:sz w:val="16"/>
                <w:szCs w:val="16"/>
              </w:rPr>
            </w:pPr>
          </w:p>
        </w:tc>
        <w:tc>
          <w:tcPr>
            <w:tcW w:w="709" w:type="dxa"/>
            <w:shd w:val="clear" w:color="auto" w:fill="auto"/>
            <w:vAlign w:val="center"/>
          </w:tcPr>
          <w:p w:rsidR="00E9316F" w:rsidRPr="00905691" w:rsidRDefault="00E9316F" w:rsidP="00796993">
            <w:pPr>
              <w:spacing w:before="20" w:after="20"/>
              <w:jc w:val="center"/>
              <w:rPr>
                <w:rFonts w:cs="Arial"/>
                <w:sz w:val="16"/>
                <w:szCs w:val="16"/>
              </w:rPr>
            </w:pPr>
          </w:p>
        </w:tc>
        <w:tc>
          <w:tcPr>
            <w:tcW w:w="594" w:type="dxa"/>
            <w:vAlign w:val="center"/>
          </w:tcPr>
          <w:p w:rsidR="00E9316F" w:rsidRPr="00905691" w:rsidRDefault="00E9316F" w:rsidP="00796993">
            <w:pPr>
              <w:spacing w:before="20" w:after="20"/>
              <w:jc w:val="center"/>
              <w:rPr>
                <w:rFonts w:cs="Arial"/>
                <w:sz w:val="16"/>
                <w:szCs w:val="16"/>
              </w:rPr>
            </w:pP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8</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Pr>
                <w:rFonts w:cs="Arial"/>
                <w:sz w:val="16"/>
                <w:szCs w:val="16"/>
              </w:rPr>
              <w:t>Presents for family/friends on special occasions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91</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6</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9</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sidRPr="00905691">
              <w:rPr>
                <w:rFonts w:cs="Arial"/>
                <w:sz w:val="16"/>
                <w:szCs w:val="16"/>
              </w:rPr>
              <w:t>Space for fam</w:t>
            </w:r>
            <w:r>
              <w:rPr>
                <w:rFonts w:cs="Arial"/>
                <w:sz w:val="16"/>
                <w:szCs w:val="16"/>
              </w:rPr>
              <w:t>ily to stay the night</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84</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7</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10</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Pr>
                <w:rFonts w:cs="Arial"/>
                <w:sz w:val="16"/>
                <w:szCs w:val="16"/>
              </w:rPr>
              <w:t>Family/friends over for a meal at least once each few months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81</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5</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BA6F13"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11</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Pr>
                <w:rFonts w:cs="Arial"/>
                <w:sz w:val="16"/>
                <w:szCs w:val="16"/>
              </w:rPr>
              <w:t>Visit hairdresser at least once every three months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62</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12</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12</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smartTag w:uri="urn:schemas-microsoft-com:office:smarttags" w:element="place">
              <w:r w:rsidRPr="00905691">
                <w:rPr>
                  <w:rFonts w:cs="Arial"/>
                  <w:sz w:val="16"/>
                  <w:szCs w:val="16"/>
                </w:rPr>
                <w:t>Holiday</w:t>
              </w:r>
            </w:smartTag>
            <w:r w:rsidRPr="00905691">
              <w:rPr>
                <w:rFonts w:cs="Arial"/>
                <w:sz w:val="16"/>
                <w:szCs w:val="16"/>
              </w:rPr>
              <w:t xml:space="preserve"> away </w:t>
            </w:r>
            <w:r>
              <w:rPr>
                <w:rFonts w:cs="Arial"/>
                <w:sz w:val="16"/>
                <w:szCs w:val="16"/>
              </w:rPr>
              <w:t>from home at least once every year</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62</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24</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BA6F13"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13</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sidRPr="00905691">
              <w:rPr>
                <w:rFonts w:cs="Arial"/>
                <w:sz w:val="16"/>
                <w:szCs w:val="16"/>
              </w:rPr>
              <w:t>Night out</w:t>
            </w:r>
            <w:r>
              <w:rPr>
                <w:rFonts w:cs="Arial"/>
                <w:sz w:val="16"/>
                <w:szCs w:val="16"/>
              </w:rPr>
              <w:t xml:space="preserve"> for entertainment or socialising at least once a fortnight</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49</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18</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jc w:val="center"/>
        </w:trPr>
        <w:tc>
          <w:tcPr>
            <w:tcW w:w="363" w:type="dxa"/>
            <w:tcBorders>
              <w:right w:val="nil"/>
            </w:tcBorders>
            <w:shd w:val="clear" w:color="auto" w:fill="auto"/>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14</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sidRPr="00905691">
              <w:rPr>
                <w:rFonts w:cs="Arial"/>
                <w:sz w:val="16"/>
                <w:szCs w:val="16"/>
              </w:rPr>
              <w:t>Overseas holiday</w:t>
            </w:r>
            <w:r>
              <w:rPr>
                <w:rFonts w:cs="Arial"/>
                <w:sz w:val="16"/>
                <w:szCs w:val="16"/>
              </w:rPr>
              <w:t xml:space="preserve"> at least once every three years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42</w:t>
            </w:r>
          </w:p>
        </w:tc>
        <w:tc>
          <w:tcPr>
            <w:tcW w:w="567" w:type="dxa"/>
            <w:shd w:val="clear" w:color="auto" w:fill="auto"/>
            <w:vAlign w:val="center"/>
          </w:tcPr>
          <w:p w:rsidR="00E9316F" w:rsidRPr="00785B64" w:rsidRDefault="00E9316F" w:rsidP="00796993">
            <w:pPr>
              <w:spacing w:before="20" w:after="20"/>
              <w:jc w:val="center"/>
              <w:rPr>
                <w:rFonts w:cs="Arial"/>
                <w:sz w:val="14"/>
                <w:szCs w:val="16"/>
              </w:rPr>
            </w:pPr>
            <w:r w:rsidRPr="00785B64">
              <w:rPr>
                <w:rFonts w:cs="Arial"/>
                <w:sz w:val="14"/>
                <w:szCs w:val="16"/>
              </w:rPr>
              <w:t>39</w:t>
            </w:r>
          </w:p>
        </w:tc>
        <w:tc>
          <w:tcPr>
            <w:tcW w:w="850"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shd w:val="clear" w:color="auto" w:fill="auto"/>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jc w:val="center"/>
        </w:trPr>
        <w:tc>
          <w:tcPr>
            <w:tcW w:w="10035" w:type="dxa"/>
            <w:gridSpan w:val="8"/>
            <w:vAlign w:val="center"/>
          </w:tcPr>
          <w:p w:rsidR="00E9316F" w:rsidRDefault="00E9316F" w:rsidP="00705D24">
            <w:pPr>
              <w:spacing w:before="20" w:after="20"/>
              <w:jc w:val="both"/>
              <w:rPr>
                <w:rFonts w:cs="Arial"/>
                <w:sz w:val="16"/>
                <w:szCs w:val="16"/>
              </w:rPr>
            </w:pPr>
            <w:r w:rsidRPr="00532821">
              <w:rPr>
                <w:rFonts w:cs="Arial"/>
                <w:b/>
                <w:sz w:val="16"/>
                <w:szCs w:val="16"/>
              </w:rPr>
              <w:t>Economising</w:t>
            </w:r>
            <w:r>
              <w:rPr>
                <w:rFonts w:cs="Arial"/>
                <w:b/>
                <w:sz w:val="16"/>
                <w:szCs w:val="16"/>
              </w:rPr>
              <w:t xml:space="preserve"> </w:t>
            </w:r>
            <w:r w:rsidRPr="000A403C">
              <w:rPr>
                <w:rFonts w:cs="Arial"/>
                <w:sz w:val="16"/>
                <w:szCs w:val="16"/>
              </w:rPr>
              <w:t>(not at all</w:t>
            </w:r>
            <w:r>
              <w:rPr>
                <w:rFonts w:cs="Arial"/>
                <w:sz w:val="16"/>
                <w:szCs w:val="16"/>
              </w:rPr>
              <w:t>, a little, a lot</w:t>
            </w:r>
            <w:r w:rsidRPr="000A403C">
              <w:rPr>
                <w:rFonts w:cs="Arial"/>
                <w:sz w:val="16"/>
                <w:szCs w:val="16"/>
              </w:rPr>
              <w:t>)</w:t>
            </w:r>
            <w:r>
              <w:rPr>
                <w:rFonts w:cs="Arial"/>
                <w:sz w:val="16"/>
                <w:szCs w:val="16"/>
              </w:rPr>
              <w:t xml:space="preserve"> – to keep down costs to help in paying for (other) basic items</w:t>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15</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Not picked up a p</w:t>
            </w:r>
            <w:r w:rsidRPr="00905691">
              <w:rPr>
                <w:rFonts w:cs="Arial"/>
                <w:sz w:val="16"/>
                <w:szCs w:val="16"/>
              </w:rPr>
              <w:t>rescription</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88</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4</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16</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Stayed in bed to keep warm</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81</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7</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17</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Postponed a visit to the doctor</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72</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11</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18</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Gone without or cut back on fresh f</w:t>
            </w:r>
            <w:r w:rsidRPr="00905691">
              <w:rPr>
                <w:rFonts w:cs="Arial"/>
                <w:sz w:val="16"/>
                <w:szCs w:val="16"/>
              </w:rPr>
              <w:t>ruit</w:t>
            </w:r>
            <w:r>
              <w:rPr>
                <w:rFonts w:cs="Arial"/>
                <w:sz w:val="16"/>
                <w:szCs w:val="16"/>
              </w:rPr>
              <w:t xml:space="preserve"> and vegetables</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66</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10</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19</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Continued wearing worn out clothes</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49</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18</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709" w:type="dxa"/>
            <w:vAlign w:val="center"/>
          </w:tcPr>
          <w:p w:rsidR="00E9316F" w:rsidRPr="00905691" w:rsidRDefault="00BA6F13"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20</w:t>
            </w:r>
          </w:p>
        </w:tc>
        <w:tc>
          <w:tcPr>
            <w:tcW w:w="5534" w:type="dxa"/>
            <w:tcBorders>
              <w:left w:val="nil"/>
              <w:right w:val="single" w:sz="4" w:space="0" w:color="auto"/>
            </w:tcBorders>
            <w:vAlign w:val="center"/>
          </w:tcPr>
          <w:p w:rsidR="00E9316F" w:rsidRPr="00905691" w:rsidRDefault="00BB00FE" w:rsidP="00796993">
            <w:pPr>
              <w:spacing w:before="20" w:after="20"/>
              <w:rPr>
                <w:rFonts w:cs="Arial"/>
                <w:sz w:val="16"/>
                <w:szCs w:val="16"/>
              </w:rPr>
            </w:pPr>
            <w:r>
              <w:rPr>
                <w:rFonts w:cs="Arial"/>
                <w:sz w:val="16"/>
                <w:szCs w:val="16"/>
              </w:rPr>
              <w:t>Spent</w:t>
            </w:r>
            <w:r w:rsidRPr="00EB2168">
              <w:rPr>
                <w:rFonts w:cs="Arial"/>
                <w:sz w:val="16"/>
                <w:szCs w:val="16"/>
              </w:rPr>
              <w:t xml:space="preserve"> less on hobbies or other special interests than you would like</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49</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21</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21</w:t>
            </w:r>
          </w:p>
        </w:tc>
        <w:tc>
          <w:tcPr>
            <w:tcW w:w="5534" w:type="dxa"/>
            <w:tcBorders>
              <w:left w:val="nil"/>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D</w:t>
            </w:r>
            <w:r w:rsidRPr="00EB2168">
              <w:rPr>
                <w:rFonts w:cs="Arial"/>
                <w:sz w:val="16"/>
                <w:szCs w:val="16"/>
              </w:rPr>
              <w:t>o without or cut back on trips to the shops or other local places</w:t>
            </w:r>
          </w:p>
        </w:tc>
        <w:tc>
          <w:tcPr>
            <w:tcW w:w="709" w:type="dxa"/>
            <w:tcBorders>
              <w:left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46</w:t>
            </w:r>
          </w:p>
        </w:tc>
        <w:tc>
          <w:tcPr>
            <w:tcW w:w="567" w:type="dxa"/>
            <w:vAlign w:val="center"/>
          </w:tcPr>
          <w:p w:rsidR="00E9316F" w:rsidRPr="00785B64" w:rsidRDefault="00E9316F" w:rsidP="00796993">
            <w:pPr>
              <w:spacing w:before="20" w:after="20"/>
              <w:jc w:val="center"/>
              <w:rPr>
                <w:rFonts w:cs="Arial"/>
                <w:sz w:val="14"/>
                <w:szCs w:val="16"/>
              </w:rPr>
            </w:pPr>
            <w:r w:rsidRPr="00785B64">
              <w:rPr>
                <w:rFonts w:cs="Arial"/>
                <w:sz w:val="14"/>
                <w:szCs w:val="16"/>
              </w:rPr>
              <w:t>15</w:t>
            </w:r>
          </w:p>
        </w:tc>
        <w:tc>
          <w:tcPr>
            <w:tcW w:w="850"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vAlign w:val="center"/>
          </w:tcPr>
          <w:p w:rsidR="00E9316F" w:rsidRPr="00905691" w:rsidRDefault="00E9316F" w:rsidP="00796993">
            <w:pPr>
              <w:spacing w:before="20" w:after="20"/>
              <w:jc w:val="center"/>
              <w:rPr>
                <w:rFonts w:cs="Arial"/>
                <w:sz w:val="16"/>
                <w:szCs w:val="16"/>
              </w:rPr>
            </w:pPr>
            <w:r>
              <w:rPr>
                <w:rFonts w:cs="Arial"/>
                <w:sz w:val="16"/>
                <w:szCs w:val="16"/>
              </w:rPr>
              <w:t>-</w:t>
            </w:r>
          </w:p>
        </w:tc>
        <w:tc>
          <w:tcPr>
            <w:tcW w:w="594" w:type="dxa"/>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bottom w:val="single" w:sz="4" w:space="0" w:color="auto"/>
              <w:right w:val="nil"/>
            </w:tcBorders>
            <w:tcMar>
              <w:left w:w="28" w:type="dxa"/>
              <w:right w:w="28" w:type="dxa"/>
            </w:tcMar>
            <w:vAlign w:val="center"/>
          </w:tcPr>
          <w:p w:rsidR="00E9316F" w:rsidRPr="00905691" w:rsidRDefault="00E9316F" w:rsidP="00E9316F">
            <w:pPr>
              <w:spacing w:before="20" w:after="20"/>
              <w:jc w:val="center"/>
              <w:rPr>
                <w:rFonts w:cs="Arial"/>
                <w:sz w:val="16"/>
                <w:szCs w:val="16"/>
              </w:rPr>
            </w:pPr>
            <w:r>
              <w:rPr>
                <w:rFonts w:cs="Arial"/>
                <w:sz w:val="16"/>
                <w:szCs w:val="16"/>
              </w:rPr>
              <w:t>22</w:t>
            </w:r>
          </w:p>
        </w:tc>
        <w:tc>
          <w:tcPr>
            <w:tcW w:w="5534" w:type="dxa"/>
            <w:tcBorders>
              <w:left w:val="nil"/>
              <w:bottom w:val="single" w:sz="4" w:space="0" w:color="auto"/>
              <w:right w:val="single" w:sz="4" w:space="0" w:color="auto"/>
            </w:tcBorders>
            <w:vAlign w:val="center"/>
          </w:tcPr>
          <w:p w:rsidR="00E9316F" w:rsidRPr="00905691" w:rsidRDefault="00E9316F" w:rsidP="00796993">
            <w:pPr>
              <w:spacing w:before="20" w:after="20"/>
              <w:rPr>
                <w:rFonts w:cs="Arial"/>
                <w:sz w:val="16"/>
                <w:szCs w:val="16"/>
              </w:rPr>
            </w:pPr>
            <w:r>
              <w:rPr>
                <w:rFonts w:cs="Arial"/>
                <w:sz w:val="16"/>
                <w:szCs w:val="16"/>
              </w:rPr>
              <w:t>Put off buying new clothes as long as possible</w:t>
            </w:r>
          </w:p>
        </w:tc>
        <w:tc>
          <w:tcPr>
            <w:tcW w:w="709" w:type="dxa"/>
            <w:tcBorders>
              <w:left w:val="single" w:sz="4" w:space="0" w:color="auto"/>
              <w:bottom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33</w:t>
            </w:r>
          </w:p>
        </w:tc>
        <w:tc>
          <w:tcPr>
            <w:tcW w:w="567" w:type="dxa"/>
            <w:tcBorders>
              <w:bottom w:val="single" w:sz="4" w:space="0" w:color="auto"/>
            </w:tcBorders>
            <w:vAlign w:val="center"/>
          </w:tcPr>
          <w:p w:rsidR="00E9316F" w:rsidRPr="00785B64" w:rsidRDefault="00E9316F" w:rsidP="00796993">
            <w:pPr>
              <w:spacing w:before="20" w:after="20"/>
              <w:jc w:val="center"/>
              <w:rPr>
                <w:rFonts w:cs="Arial"/>
                <w:sz w:val="14"/>
                <w:szCs w:val="16"/>
              </w:rPr>
            </w:pPr>
            <w:r w:rsidRPr="00785B64">
              <w:rPr>
                <w:rFonts w:cs="Arial"/>
                <w:sz w:val="14"/>
                <w:szCs w:val="16"/>
              </w:rPr>
              <w:t>30</w:t>
            </w:r>
          </w:p>
        </w:tc>
        <w:tc>
          <w:tcPr>
            <w:tcW w:w="850" w:type="dxa"/>
            <w:tcBorders>
              <w:bottom w:val="single" w:sz="4" w:space="0" w:color="auto"/>
            </w:tcBorders>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tcBorders>
              <w:bottom w:val="single" w:sz="4" w:space="0" w:color="auto"/>
            </w:tcBorders>
            <w:vAlign w:val="center"/>
          </w:tcPr>
          <w:p w:rsidR="00E9316F" w:rsidRPr="00905691" w:rsidRDefault="00E9316F" w:rsidP="00796993">
            <w:pPr>
              <w:spacing w:before="20" w:after="20"/>
              <w:jc w:val="center"/>
              <w:rPr>
                <w:rFonts w:cs="Arial"/>
                <w:sz w:val="16"/>
                <w:szCs w:val="16"/>
              </w:rPr>
            </w:pPr>
            <w:r w:rsidRPr="00905691">
              <w:rPr>
                <w:rFonts w:cs="Arial"/>
                <w:sz w:val="16"/>
                <w:szCs w:val="16"/>
              </w:rPr>
              <w:sym w:font="Wingdings" w:char="F0FC"/>
            </w:r>
          </w:p>
        </w:tc>
        <w:tc>
          <w:tcPr>
            <w:tcW w:w="709" w:type="dxa"/>
            <w:tcBorders>
              <w:bottom w:val="single" w:sz="4" w:space="0" w:color="auto"/>
            </w:tcBorders>
            <w:vAlign w:val="center"/>
          </w:tcPr>
          <w:p w:rsidR="00E9316F" w:rsidRPr="00905691" w:rsidRDefault="00BA6F13" w:rsidP="00796993">
            <w:pPr>
              <w:spacing w:before="20" w:after="20"/>
              <w:jc w:val="center"/>
              <w:rPr>
                <w:rFonts w:cs="Arial"/>
                <w:sz w:val="16"/>
                <w:szCs w:val="16"/>
              </w:rPr>
            </w:pPr>
            <w:r w:rsidRPr="00905691">
              <w:rPr>
                <w:rFonts w:cs="Arial"/>
                <w:sz w:val="16"/>
                <w:szCs w:val="16"/>
              </w:rPr>
              <w:sym w:font="Wingdings" w:char="F0FC"/>
            </w:r>
          </w:p>
        </w:tc>
        <w:tc>
          <w:tcPr>
            <w:tcW w:w="594" w:type="dxa"/>
            <w:tcBorders>
              <w:bottom w:val="single" w:sz="4" w:space="0" w:color="auto"/>
            </w:tcBorders>
            <w:vAlign w:val="center"/>
          </w:tcPr>
          <w:p w:rsidR="00E9316F" w:rsidRPr="00905691" w:rsidRDefault="00E9316F" w:rsidP="00796993">
            <w:pPr>
              <w:spacing w:before="20" w:after="20"/>
              <w:jc w:val="center"/>
              <w:rPr>
                <w:rFonts w:cs="Arial"/>
                <w:sz w:val="16"/>
                <w:szCs w:val="16"/>
              </w:rPr>
            </w:pPr>
            <w:r>
              <w:rPr>
                <w:rFonts w:cs="Arial"/>
                <w:sz w:val="16"/>
                <w:szCs w:val="16"/>
              </w:rPr>
              <w:t>-</w:t>
            </w:r>
          </w:p>
        </w:tc>
      </w:tr>
      <w:tr w:rsidR="00E9316F">
        <w:trPr>
          <w:trHeight w:val="227"/>
          <w:jc w:val="center"/>
        </w:trPr>
        <w:tc>
          <w:tcPr>
            <w:tcW w:w="363" w:type="dxa"/>
            <w:tcBorders>
              <w:bottom w:val="single" w:sz="4" w:space="0" w:color="auto"/>
              <w:right w:val="nil"/>
            </w:tcBorders>
            <w:tcMar>
              <w:left w:w="28" w:type="dxa"/>
              <w:right w:w="28" w:type="dxa"/>
            </w:tcMar>
            <w:vAlign w:val="center"/>
          </w:tcPr>
          <w:p w:rsidR="00E9316F" w:rsidRPr="00905691" w:rsidRDefault="00E9316F" w:rsidP="00221AB9">
            <w:pPr>
              <w:rPr>
                <w:rFonts w:cs="Arial"/>
                <w:sz w:val="16"/>
                <w:szCs w:val="16"/>
              </w:rPr>
            </w:pPr>
          </w:p>
        </w:tc>
        <w:tc>
          <w:tcPr>
            <w:tcW w:w="5534" w:type="dxa"/>
            <w:tcBorders>
              <w:left w:val="nil"/>
              <w:bottom w:val="single" w:sz="4" w:space="0" w:color="auto"/>
              <w:right w:val="single" w:sz="4" w:space="0" w:color="auto"/>
            </w:tcBorders>
            <w:vAlign w:val="center"/>
          </w:tcPr>
          <w:p w:rsidR="00E9316F" w:rsidRPr="00EB2168" w:rsidRDefault="00E9316F" w:rsidP="00957EA1">
            <w:pPr>
              <w:autoSpaceDE w:val="0"/>
              <w:autoSpaceDN w:val="0"/>
              <w:adjustRightInd w:val="0"/>
              <w:ind w:left="176"/>
              <w:rPr>
                <w:rFonts w:cs="Arial"/>
                <w:sz w:val="16"/>
                <w:szCs w:val="16"/>
              </w:rPr>
            </w:pPr>
            <w:r>
              <w:rPr>
                <w:rFonts w:cs="Arial"/>
                <w:sz w:val="16"/>
                <w:szCs w:val="16"/>
              </w:rPr>
              <w:t>B</w:t>
            </w:r>
            <w:r w:rsidRPr="00EB2168">
              <w:rPr>
                <w:rFonts w:cs="Arial"/>
                <w:sz w:val="16"/>
                <w:szCs w:val="16"/>
              </w:rPr>
              <w:t>uy cheaper cuts of meat or bought less meat than you would like</w:t>
            </w:r>
          </w:p>
        </w:tc>
        <w:tc>
          <w:tcPr>
            <w:tcW w:w="709" w:type="dxa"/>
            <w:tcBorders>
              <w:left w:val="single" w:sz="4" w:space="0" w:color="auto"/>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39</w:t>
            </w:r>
          </w:p>
        </w:tc>
        <w:tc>
          <w:tcPr>
            <w:tcW w:w="567" w:type="dxa"/>
            <w:tcBorders>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27</w:t>
            </w:r>
          </w:p>
        </w:tc>
        <w:tc>
          <w:tcPr>
            <w:tcW w:w="850"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594" w:type="dxa"/>
            <w:tcBorders>
              <w:bottom w:val="single" w:sz="4" w:space="0" w:color="auto"/>
            </w:tcBorders>
            <w:vAlign w:val="center"/>
          </w:tcPr>
          <w:p w:rsidR="00E9316F" w:rsidRPr="00905691" w:rsidRDefault="00E9316F" w:rsidP="00221AB9">
            <w:pPr>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bottom w:val="single" w:sz="4" w:space="0" w:color="auto"/>
              <w:right w:val="nil"/>
            </w:tcBorders>
            <w:tcMar>
              <w:left w:w="28" w:type="dxa"/>
              <w:right w:w="28" w:type="dxa"/>
            </w:tcMar>
            <w:vAlign w:val="center"/>
          </w:tcPr>
          <w:p w:rsidR="00E9316F" w:rsidRPr="00905691" w:rsidRDefault="00E9316F" w:rsidP="00221AB9">
            <w:pPr>
              <w:rPr>
                <w:rFonts w:cs="Arial"/>
                <w:sz w:val="16"/>
                <w:szCs w:val="16"/>
              </w:rPr>
            </w:pPr>
          </w:p>
        </w:tc>
        <w:tc>
          <w:tcPr>
            <w:tcW w:w="5534" w:type="dxa"/>
            <w:tcBorders>
              <w:left w:val="nil"/>
              <w:bottom w:val="single" w:sz="4" w:space="0" w:color="auto"/>
              <w:right w:val="single" w:sz="4" w:space="0" w:color="auto"/>
            </w:tcBorders>
            <w:vAlign w:val="center"/>
          </w:tcPr>
          <w:p w:rsidR="00E9316F" w:rsidRPr="00EB2168" w:rsidRDefault="00E9316F" w:rsidP="00957EA1">
            <w:pPr>
              <w:autoSpaceDE w:val="0"/>
              <w:autoSpaceDN w:val="0"/>
              <w:adjustRightInd w:val="0"/>
              <w:ind w:left="176"/>
              <w:rPr>
                <w:rFonts w:cs="Arial"/>
                <w:sz w:val="16"/>
                <w:szCs w:val="16"/>
              </w:rPr>
            </w:pPr>
            <w:r>
              <w:rPr>
                <w:rFonts w:cs="Arial"/>
                <w:sz w:val="16"/>
                <w:szCs w:val="16"/>
              </w:rPr>
              <w:t>P</w:t>
            </w:r>
            <w:r w:rsidRPr="00EB2168">
              <w:rPr>
                <w:rFonts w:cs="Arial"/>
                <w:sz w:val="16"/>
                <w:szCs w:val="16"/>
              </w:rPr>
              <w:t>ut up with feeling cold</w:t>
            </w:r>
          </w:p>
        </w:tc>
        <w:tc>
          <w:tcPr>
            <w:tcW w:w="709" w:type="dxa"/>
            <w:tcBorders>
              <w:left w:val="single" w:sz="4" w:space="0" w:color="auto"/>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64</w:t>
            </w:r>
          </w:p>
        </w:tc>
        <w:tc>
          <w:tcPr>
            <w:tcW w:w="567" w:type="dxa"/>
            <w:tcBorders>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10</w:t>
            </w:r>
          </w:p>
        </w:tc>
        <w:tc>
          <w:tcPr>
            <w:tcW w:w="850"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594" w:type="dxa"/>
            <w:tcBorders>
              <w:bottom w:val="single" w:sz="4" w:space="0" w:color="auto"/>
            </w:tcBorders>
            <w:vAlign w:val="center"/>
          </w:tcPr>
          <w:p w:rsidR="00E9316F" w:rsidRPr="00905691" w:rsidRDefault="00E9316F" w:rsidP="00221AB9">
            <w:pPr>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bottom w:val="single" w:sz="4" w:space="0" w:color="auto"/>
              <w:right w:val="nil"/>
            </w:tcBorders>
            <w:tcMar>
              <w:left w:w="28" w:type="dxa"/>
              <w:right w:w="28" w:type="dxa"/>
            </w:tcMar>
            <w:vAlign w:val="center"/>
          </w:tcPr>
          <w:p w:rsidR="00E9316F" w:rsidRPr="00905691" w:rsidRDefault="00E9316F" w:rsidP="00221AB9">
            <w:pPr>
              <w:rPr>
                <w:rFonts w:cs="Arial"/>
                <w:sz w:val="16"/>
                <w:szCs w:val="16"/>
              </w:rPr>
            </w:pPr>
          </w:p>
        </w:tc>
        <w:tc>
          <w:tcPr>
            <w:tcW w:w="5534" w:type="dxa"/>
            <w:tcBorders>
              <w:left w:val="nil"/>
              <w:bottom w:val="single" w:sz="4" w:space="0" w:color="auto"/>
              <w:right w:val="single" w:sz="4" w:space="0" w:color="auto"/>
            </w:tcBorders>
            <w:vAlign w:val="center"/>
          </w:tcPr>
          <w:p w:rsidR="00E9316F" w:rsidRPr="00EB2168" w:rsidRDefault="00E9316F" w:rsidP="00957EA1">
            <w:pPr>
              <w:autoSpaceDE w:val="0"/>
              <w:autoSpaceDN w:val="0"/>
              <w:adjustRightInd w:val="0"/>
              <w:ind w:left="176"/>
              <w:rPr>
                <w:rFonts w:cs="Arial"/>
                <w:sz w:val="16"/>
                <w:szCs w:val="16"/>
              </w:rPr>
            </w:pPr>
            <w:r>
              <w:rPr>
                <w:rFonts w:cs="Arial"/>
                <w:sz w:val="16"/>
                <w:szCs w:val="16"/>
              </w:rPr>
              <w:t>P</w:t>
            </w:r>
            <w:r w:rsidRPr="00EB2168">
              <w:rPr>
                <w:rFonts w:cs="Arial"/>
                <w:sz w:val="16"/>
                <w:szCs w:val="16"/>
              </w:rPr>
              <w:t>ostpone or put off visits to the dentist</w:t>
            </w:r>
          </w:p>
        </w:tc>
        <w:tc>
          <w:tcPr>
            <w:tcW w:w="709" w:type="dxa"/>
            <w:tcBorders>
              <w:left w:val="single" w:sz="4" w:space="0" w:color="auto"/>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54</w:t>
            </w:r>
          </w:p>
        </w:tc>
        <w:tc>
          <w:tcPr>
            <w:tcW w:w="567" w:type="dxa"/>
            <w:tcBorders>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26</w:t>
            </w:r>
          </w:p>
        </w:tc>
        <w:tc>
          <w:tcPr>
            <w:tcW w:w="850"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594" w:type="dxa"/>
            <w:tcBorders>
              <w:bottom w:val="single" w:sz="4" w:space="0" w:color="auto"/>
            </w:tcBorders>
            <w:vAlign w:val="center"/>
          </w:tcPr>
          <w:p w:rsidR="00E9316F" w:rsidRPr="00905691" w:rsidRDefault="00E9316F" w:rsidP="00221AB9">
            <w:pPr>
              <w:jc w:val="center"/>
              <w:rPr>
                <w:rFonts w:cs="Arial"/>
                <w:sz w:val="16"/>
                <w:szCs w:val="16"/>
              </w:rPr>
            </w:pPr>
            <w:r w:rsidRPr="00905691">
              <w:rPr>
                <w:rFonts w:cs="Arial"/>
                <w:sz w:val="16"/>
                <w:szCs w:val="16"/>
              </w:rPr>
              <w:sym w:font="Wingdings" w:char="F0FC"/>
            </w:r>
          </w:p>
        </w:tc>
      </w:tr>
      <w:tr w:rsidR="00E9316F">
        <w:trPr>
          <w:trHeight w:val="227"/>
          <w:jc w:val="center"/>
        </w:trPr>
        <w:tc>
          <w:tcPr>
            <w:tcW w:w="363" w:type="dxa"/>
            <w:tcBorders>
              <w:bottom w:val="single" w:sz="4" w:space="0" w:color="auto"/>
              <w:right w:val="nil"/>
            </w:tcBorders>
            <w:tcMar>
              <w:left w:w="28" w:type="dxa"/>
              <w:right w:w="28" w:type="dxa"/>
            </w:tcMar>
            <w:vAlign w:val="center"/>
          </w:tcPr>
          <w:p w:rsidR="00E9316F" w:rsidRPr="00905691" w:rsidRDefault="00E9316F" w:rsidP="00221AB9">
            <w:pPr>
              <w:rPr>
                <w:rFonts w:cs="Arial"/>
                <w:sz w:val="16"/>
                <w:szCs w:val="16"/>
              </w:rPr>
            </w:pPr>
          </w:p>
        </w:tc>
        <w:tc>
          <w:tcPr>
            <w:tcW w:w="5534" w:type="dxa"/>
            <w:tcBorders>
              <w:left w:val="nil"/>
              <w:bottom w:val="single" w:sz="4" w:space="0" w:color="auto"/>
              <w:right w:val="single" w:sz="4" w:space="0" w:color="auto"/>
            </w:tcBorders>
            <w:vAlign w:val="center"/>
          </w:tcPr>
          <w:p w:rsidR="00E9316F" w:rsidRPr="00EB2168" w:rsidRDefault="00E9316F" w:rsidP="00957EA1">
            <w:pPr>
              <w:autoSpaceDE w:val="0"/>
              <w:autoSpaceDN w:val="0"/>
              <w:adjustRightInd w:val="0"/>
              <w:ind w:left="176"/>
              <w:rPr>
                <w:rFonts w:cs="Arial"/>
                <w:sz w:val="16"/>
                <w:szCs w:val="16"/>
              </w:rPr>
            </w:pPr>
            <w:r>
              <w:rPr>
                <w:rFonts w:cs="Arial"/>
                <w:sz w:val="16"/>
                <w:szCs w:val="16"/>
              </w:rPr>
              <w:t>D</w:t>
            </w:r>
            <w:r w:rsidRPr="00EB2168">
              <w:rPr>
                <w:rFonts w:cs="Arial"/>
                <w:sz w:val="16"/>
                <w:szCs w:val="16"/>
              </w:rPr>
              <w:t>elay replacing or repairing broken or damaged appliances</w:t>
            </w:r>
          </w:p>
        </w:tc>
        <w:tc>
          <w:tcPr>
            <w:tcW w:w="709" w:type="dxa"/>
            <w:tcBorders>
              <w:left w:val="single" w:sz="4" w:space="0" w:color="auto"/>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65</w:t>
            </w:r>
          </w:p>
        </w:tc>
        <w:tc>
          <w:tcPr>
            <w:tcW w:w="567" w:type="dxa"/>
            <w:tcBorders>
              <w:bottom w:val="single" w:sz="4" w:space="0" w:color="auto"/>
            </w:tcBorders>
            <w:vAlign w:val="center"/>
          </w:tcPr>
          <w:p w:rsidR="00E9316F" w:rsidRPr="00785B64" w:rsidRDefault="00F02767" w:rsidP="00221AB9">
            <w:pPr>
              <w:jc w:val="center"/>
              <w:rPr>
                <w:rFonts w:cs="Arial"/>
                <w:sz w:val="14"/>
                <w:szCs w:val="16"/>
              </w:rPr>
            </w:pPr>
            <w:r>
              <w:rPr>
                <w:rFonts w:cs="Arial"/>
                <w:sz w:val="14"/>
                <w:szCs w:val="16"/>
              </w:rPr>
              <w:t>12</w:t>
            </w:r>
          </w:p>
        </w:tc>
        <w:tc>
          <w:tcPr>
            <w:tcW w:w="850"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709" w:type="dxa"/>
            <w:tcBorders>
              <w:bottom w:val="single" w:sz="4" w:space="0" w:color="auto"/>
            </w:tcBorders>
            <w:vAlign w:val="center"/>
          </w:tcPr>
          <w:p w:rsidR="00E9316F" w:rsidRPr="00905691" w:rsidRDefault="00E9316F" w:rsidP="00221AB9">
            <w:pPr>
              <w:jc w:val="center"/>
              <w:rPr>
                <w:rFonts w:cs="Arial"/>
                <w:sz w:val="16"/>
                <w:szCs w:val="16"/>
              </w:rPr>
            </w:pPr>
            <w:r>
              <w:rPr>
                <w:rFonts w:cs="Arial"/>
                <w:sz w:val="16"/>
                <w:szCs w:val="16"/>
              </w:rPr>
              <w:t>-</w:t>
            </w:r>
          </w:p>
        </w:tc>
        <w:tc>
          <w:tcPr>
            <w:tcW w:w="594" w:type="dxa"/>
            <w:tcBorders>
              <w:bottom w:val="single" w:sz="4" w:space="0" w:color="auto"/>
            </w:tcBorders>
            <w:vAlign w:val="center"/>
          </w:tcPr>
          <w:p w:rsidR="00E9316F" w:rsidRPr="00905691" w:rsidRDefault="00E9316F" w:rsidP="00221AB9">
            <w:pPr>
              <w:jc w:val="center"/>
              <w:rPr>
                <w:rFonts w:cs="Arial"/>
                <w:sz w:val="16"/>
                <w:szCs w:val="16"/>
              </w:rPr>
            </w:pPr>
            <w:r w:rsidRPr="00905691">
              <w:rPr>
                <w:rFonts w:cs="Arial"/>
                <w:sz w:val="16"/>
                <w:szCs w:val="16"/>
              </w:rPr>
              <w:sym w:font="Wingdings" w:char="F0FC"/>
            </w:r>
          </w:p>
        </w:tc>
      </w:tr>
      <w:tr w:rsidR="00E9316F">
        <w:trPr>
          <w:jc w:val="center"/>
        </w:trPr>
        <w:tc>
          <w:tcPr>
            <w:tcW w:w="5897" w:type="dxa"/>
            <w:gridSpan w:val="2"/>
            <w:shd w:val="clear" w:color="auto" w:fill="auto"/>
            <w:vAlign w:val="center"/>
          </w:tcPr>
          <w:p w:rsidR="00E9316F" w:rsidRPr="00532821" w:rsidRDefault="00E9316F" w:rsidP="00796993">
            <w:pPr>
              <w:spacing w:before="20" w:after="20"/>
              <w:rPr>
                <w:rFonts w:cs="Arial"/>
                <w:b/>
                <w:sz w:val="16"/>
                <w:szCs w:val="16"/>
              </w:rPr>
            </w:pPr>
            <w:r w:rsidRPr="00532821">
              <w:rPr>
                <w:rFonts w:cs="Arial"/>
                <w:b/>
                <w:sz w:val="16"/>
                <w:szCs w:val="16"/>
              </w:rPr>
              <w:t>Global self-ratings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p>
        </w:tc>
        <w:tc>
          <w:tcPr>
            <w:tcW w:w="567" w:type="dxa"/>
            <w:shd w:val="clear" w:color="auto" w:fill="auto"/>
            <w:vAlign w:val="center"/>
          </w:tcPr>
          <w:p w:rsidR="00E9316F" w:rsidRPr="00785B64" w:rsidRDefault="00E9316F" w:rsidP="00796993">
            <w:pPr>
              <w:spacing w:before="20" w:after="20"/>
              <w:jc w:val="center"/>
              <w:rPr>
                <w:rFonts w:cs="Arial"/>
                <w:sz w:val="14"/>
                <w:szCs w:val="16"/>
              </w:rPr>
            </w:pPr>
          </w:p>
        </w:tc>
        <w:tc>
          <w:tcPr>
            <w:tcW w:w="850"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709"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709"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594" w:type="dxa"/>
            <w:vAlign w:val="center"/>
          </w:tcPr>
          <w:p w:rsidR="00E9316F" w:rsidRPr="00A31B5B" w:rsidRDefault="00E9316F" w:rsidP="00796993">
            <w:pPr>
              <w:spacing w:before="20" w:after="20"/>
              <w:jc w:val="center"/>
              <w:rPr>
                <w:rFonts w:cs="Arial"/>
                <w:b/>
                <w:color w:val="008000"/>
                <w:sz w:val="16"/>
                <w:szCs w:val="16"/>
              </w:rPr>
            </w:pPr>
          </w:p>
        </w:tc>
      </w:tr>
      <w:tr w:rsidR="00E9316F">
        <w:trPr>
          <w:jc w:val="center"/>
        </w:trPr>
        <w:tc>
          <w:tcPr>
            <w:tcW w:w="363" w:type="dxa"/>
            <w:tcBorders>
              <w:right w:val="nil"/>
            </w:tcBorders>
            <w:shd w:val="clear" w:color="auto" w:fill="auto"/>
            <w:tcMar>
              <w:left w:w="28" w:type="dxa"/>
              <w:right w:w="28" w:type="dxa"/>
            </w:tcMar>
            <w:vAlign w:val="center"/>
          </w:tcPr>
          <w:p w:rsidR="00E9316F" w:rsidRDefault="00E9316F" w:rsidP="00E9316F">
            <w:pPr>
              <w:spacing w:before="20" w:after="20"/>
              <w:jc w:val="center"/>
              <w:rPr>
                <w:rFonts w:cs="Arial"/>
                <w:sz w:val="16"/>
                <w:szCs w:val="16"/>
              </w:rPr>
            </w:pPr>
            <w:r>
              <w:rPr>
                <w:rFonts w:cs="Arial"/>
                <w:sz w:val="16"/>
                <w:szCs w:val="16"/>
              </w:rPr>
              <w:t>23</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Pr>
                <w:rFonts w:cs="Arial"/>
                <w:sz w:val="16"/>
                <w:szCs w:val="16"/>
              </w:rPr>
              <w:t>Adequacy of income to cover basics of accommodation, food, clothing, etc</w:t>
            </w:r>
          </w:p>
        </w:tc>
        <w:tc>
          <w:tcPr>
            <w:tcW w:w="709" w:type="dxa"/>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567" w:type="dxa"/>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850" w:type="dxa"/>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sym w:font="Wingdings" w:char="F0FC"/>
            </w:r>
          </w:p>
        </w:tc>
        <w:tc>
          <w:tcPr>
            <w:tcW w:w="709" w:type="dxa"/>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t>-</w:t>
            </w:r>
          </w:p>
        </w:tc>
        <w:tc>
          <w:tcPr>
            <w:tcW w:w="709" w:type="dxa"/>
            <w:vAlign w:val="center"/>
          </w:tcPr>
          <w:p w:rsidR="00E9316F" w:rsidRPr="00E5253A" w:rsidRDefault="00E9316F" w:rsidP="00796993">
            <w:pPr>
              <w:spacing w:before="20" w:after="20"/>
              <w:jc w:val="center"/>
              <w:rPr>
                <w:rFonts w:cs="Arial"/>
                <w:b/>
                <w:sz w:val="16"/>
                <w:szCs w:val="16"/>
              </w:rPr>
            </w:pPr>
            <w:r w:rsidRPr="00E5253A">
              <w:rPr>
                <w:rFonts w:cs="Arial"/>
                <w:b/>
                <w:sz w:val="16"/>
                <w:szCs w:val="16"/>
              </w:rPr>
              <w:t>-</w:t>
            </w:r>
          </w:p>
        </w:tc>
        <w:tc>
          <w:tcPr>
            <w:tcW w:w="594" w:type="dxa"/>
            <w:vAlign w:val="center"/>
          </w:tcPr>
          <w:p w:rsidR="00E9316F" w:rsidRPr="00E5253A" w:rsidRDefault="00E9316F" w:rsidP="00796993">
            <w:pPr>
              <w:spacing w:before="20" w:after="20"/>
              <w:jc w:val="center"/>
              <w:rPr>
                <w:rFonts w:cs="Arial"/>
                <w:b/>
                <w:sz w:val="16"/>
                <w:szCs w:val="16"/>
              </w:rPr>
            </w:pPr>
            <w:r>
              <w:rPr>
                <w:rFonts w:cs="Arial"/>
                <w:b/>
                <w:sz w:val="16"/>
                <w:szCs w:val="16"/>
              </w:rPr>
              <w:t>-</w:t>
            </w:r>
          </w:p>
        </w:tc>
      </w:tr>
      <w:tr w:rsidR="00E9316F">
        <w:trPr>
          <w:jc w:val="center"/>
        </w:trPr>
        <w:tc>
          <w:tcPr>
            <w:tcW w:w="363" w:type="dxa"/>
            <w:tcBorders>
              <w:right w:val="nil"/>
            </w:tcBorders>
            <w:shd w:val="clear" w:color="auto" w:fill="auto"/>
            <w:tcMar>
              <w:left w:w="28" w:type="dxa"/>
              <w:right w:w="28" w:type="dxa"/>
            </w:tcMar>
            <w:vAlign w:val="center"/>
          </w:tcPr>
          <w:p w:rsidR="00E9316F" w:rsidRDefault="00E9316F" w:rsidP="00E9316F">
            <w:pPr>
              <w:spacing w:before="20" w:after="20"/>
              <w:jc w:val="center"/>
              <w:rPr>
                <w:rFonts w:cs="Arial"/>
                <w:sz w:val="16"/>
                <w:szCs w:val="16"/>
              </w:rPr>
            </w:pPr>
            <w:r>
              <w:rPr>
                <w:rFonts w:cs="Arial"/>
                <w:sz w:val="16"/>
                <w:szCs w:val="16"/>
              </w:rPr>
              <w:t>24</w:t>
            </w:r>
          </w:p>
        </w:tc>
        <w:tc>
          <w:tcPr>
            <w:tcW w:w="5534" w:type="dxa"/>
            <w:tcBorders>
              <w:left w:val="nil"/>
            </w:tcBorders>
            <w:shd w:val="clear" w:color="auto" w:fill="auto"/>
            <w:vAlign w:val="center"/>
          </w:tcPr>
          <w:p w:rsidR="00E9316F" w:rsidRPr="00905691" w:rsidRDefault="00E9316F" w:rsidP="00796993">
            <w:pPr>
              <w:spacing w:before="20" w:after="20"/>
              <w:rPr>
                <w:rFonts w:cs="Arial"/>
                <w:sz w:val="16"/>
                <w:szCs w:val="16"/>
              </w:rPr>
            </w:pPr>
            <w:r>
              <w:rPr>
                <w:rFonts w:cs="Arial"/>
                <w:sz w:val="16"/>
                <w:szCs w:val="16"/>
              </w:rPr>
              <w:t>Material standard of living</w:t>
            </w:r>
          </w:p>
        </w:tc>
        <w:tc>
          <w:tcPr>
            <w:tcW w:w="709" w:type="dxa"/>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567" w:type="dxa"/>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850" w:type="dxa"/>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sym w:font="Wingdings" w:char="F0FC"/>
            </w:r>
          </w:p>
        </w:tc>
        <w:tc>
          <w:tcPr>
            <w:tcW w:w="709" w:type="dxa"/>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t>-</w:t>
            </w:r>
          </w:p>
        </w:tc>
        <w:tc>
          <w:tcPr>
            <w:tcW w:w="709" w:type="dxa"/>
            <w:vAlign w:val="center"/>
          </w:tcPr>
          <w:p w:rsidR="00E9316F" w:rsidRPr="00E5253A" w:rsidRDefault="00E9316F" w:rsidP="00796993">
            <w:pPr>
              <w:spacing w:before="20" w:after="20"/>
              <w:jc w:val="center"/>
              <w:rPr>
                <w:rFonts w:cs="Arial"/>
                <w:b/>
                <w:sz w:val="16"/>
                <w:szCs w:val="16"/>
              </w:rPr>
            </w:pPr>
            <w:r w:rsidRPr="00E5253A">
              <w:rPr>
                <w:rFonts w:cs="Arial"/>
                <w:b/>
                <w:sz w:val="16"/>
                <w:szCs w:val="16"/>
              </w:rPr>
              <w:t>-</w:t>
            </w:r>
          </w:p>
        </w:tc>
        <w:tc>
          <w:tcPr>
            <w:tcW w:w="594" w:type="dxa"/>
            <w:vAlign w:val="center"/>
          </w:tcPr>
          <w:p w:rsidR="00E9316F" w:rsidRPr="00E5253A" w:rsidRDefault="00E9316F" w:rsidP="00796993">
            <w:pPr>
              <w:spacing w:before="20" w:after="20"/>
              <w:jc w:val="center"/>
              <w:rPr>
                <w:rFonts w:cs="Arial"/>
                <w:b/>
                <w:sz w:val="16"/>
                <w:szCs w:val="16"/>
              </w:rPr>
            </w:pPr>
            <w:r>
              <w:rPr>
                <w:rFonts w:cs="Arial"/>
                <w:b/>
                <w:sz w:val="16"/>
                <w:szCs w:val="16"/>
              </w:rPr>
              <w:t>-</w:t>
            </w:r>
          </w:p>
        </w:tc>
      </w:tr>
      <w:tr w:rsidR="00E9316F">
        <w:trPr>
          <w:jc w:val="center"/>
        </w:trPr>
        <w:tc>
          <w:tcPr>
            <w:tcW w:w="363" w:type="dxa"/>
            <w:tcBorders>
              <w:bottom w:val="single" w:sz="4" w:space="0" w:color="auto"/>
              <w:right w:val="nil"/>
            </w:tcBorders>
            <w:shd w:val="clear" w:color="auto" w:fill="auto"/>
            <w:tcMar>
              <w:left w:w="28" w:type="dxa"/>
              <w:right w:w="28" w:type="dxa"/>
            </w:tcMar>
            <w:vAlign w:val="center"/>
          </w:tcPr>
          <w:p w:rsidR="00E9316F" w:rsidRDefault="00E9316F" w:rsidP="00E9316F">
            <w:pPr>
              <w:spacing w:before="20" w:after="20"/>
              <w:jc w:val="center"/>
              <w:rPr>
                <w:rFonts w:cs="Arial"/>
                <w:sz w:val="16"/>
                <w:szCs w:val="16"/>
              </w:rPr>
            </w:pPr>
            <w:r>
              <w:rPr>
                <w:rFonts w:cs="Arial"/>
                <w:sz w:val="16"/>
                <w:szCs w:val="16"/>
              </w:rPr>
              <w:t>25</w:t>
            </w:r>
          </w:p>
        </w:tc>
        <w:tc>
          <w:tcPr>
            <w:tcW w:w="5534" w:type="dxa"/>
            <w:tcBorders>
              <w:left w:val="nil"/>
              <w:bottom w:val="single" w:sz="4" w:space="0" w:color="auto"/>
            </w:tcBorders>
            <w:shd w:val="clear" w:color="auto" w:fill="auto"/>
            <w:vAlign w:val="center"/>
          </w:tcPr>
          <w:p w:rsidR="00E9316F" w:rsidRDefault="00E9316F" w:rsidP="00796993">
            <w:pPr>
              <w:spacing w:before="20" w:after="20"/>
              <w:rPr>
                <w:rFonts w:cs="Arial"/>
                <w:sz w:val="16"/>
                <w:szCs w:val="16"/>
              </w:rPr>
            </w:pPr>
            <w:r>
              <w:rPr>
                <w:rFonts w:cs="Arial"/>
                <w:sz w:val="16"/>
                <w:szCs w:val="16"/>
              </w:rPr>
              <w:t>Satisfaction with material standard of living</w:t>
            </w:r>
          </w:p>
        </w:tc>
        <w:tc>
          <w:tcPr>
            <w:tcW w:w="709" w:type="dxa"/>
            <w:tcBorders>
              <w:bottom w:val="single" w:sz="4" w:space="0" w:color="auto"/>
            </w:tcBorders>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567" w:type="dxa"/>
            <w:tcBorders>
              <w:bottom w:val="single" w:sz="4" w:space="0" w:color="auto"/>
            </w:tcBorders>
            <w:shd w:val="clear" w:color="auto" w:fill="auto"/>
            <w:vAlign w:val="center"/>
          </w:tcPr>
          <w:p w:rsidR="00E9316F" w:rsidRPr="00785B64" w:rsidRDefault="00CE7E7E" w:rsidP="00796993">
            <w:pPr>
              <w:spacing w:before="20" w:after="20"/>
              <w:jc w:val="center"/>
              <w:rPr>
                <w:rFonts w:cs="Arial"/>
                <w:sz w:val="14"/>
                <w:szCs w:val="16"/>
              </w:rPr>
            </w:pPr>
            <w:r>
              <w:rPr>
                <w:rFonts w:cs="Arial"/>
                <w:sz w:val="14"/>
                <w:szCs w:val="16"/>
              </w:rPr>
              <w:t>n/a</w:t>
            </w:r>
          </w:p>
        </w:tc>
        <w:tc>
          <w:tcPr>
            <w:tcW w:w="850" w:type="dxa"/>
            <w:tcBorders>
              <w:bottom w:val="single" w:sz="4" w:space="0" w:color="auto"/>
            </w:tcBorders>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sym w:font="Wingdings" w:char="F0FC"/>
            </w:r>
          </w:p>
        </w:tc>
        <w:tc>
          <w:tcPr>
            <w:tcW w:w="709" w:type="dxa"/>
            <w:tcBorders>
              <w:bottom w:val="single" w:sz="4" w:space="0" w:color="auto"/>
            </w:tcBorders>
            <w:shd w:val="clear" w:color="auto" w:fill="auto"/>
            <w:vAlign w:val="center"/>
          </w:tcPr>
          <w:p w:rsidR="00E9316F" w:rsidRPr="00E5253A" w:rsidRDefault="00E9316F" w:rsidP="00796993">
            <w:pPr>
              <w:spacing w:before="20" w:after="20"/>
              <w:jc w:val="center"/>
              <w:rPr>
                <w:rFonts w:cs="Arial"/>
                <w:sz w:val="16"/>
                <w:szCs w:val="16"/>
              </w:rPr>
            </w:pPr>
            <w:r w:rsidRPr="00E5253A">
              <w:rPr>
                <w:rFonts w:cs="Arial"/>
                <w:sz w:val="16"/>
                <w:szCs w:val="16"/>
              </w:rPr>
              <w:t>-</w:t>
            </w:r>
          </w:p>
        </w:tc>
        <w:tc>
          <w:tcPr>
            <w:tcW w:w="709" w:type="dxa"/>
            <w:tcBorders>
              <w:bottom w:val="single" w:sz="4" w:space="0" w:color="auto"/>
            </w:tcBorders>
            <w:vAlign w:val="center"/>
          </w:tcPr>
          <w:p w:rsidR="00E9316F" w:rsidRPr="00E5253A" w:rsidRDefault="00E9316F" w:rsidP="00796993">
            <w:pPr>
              <w:spacing w:before="20" w:after="20"/>
              <w:jc w:val="center"/>
              <w:rPr>
                <w:rFonts w:cs="Arial"/>
                <w:b/>
                <w:sz w:val="16"/>
                <w:szCs w:val="16"/>
              </w:rPr>
            </w:pPr>
            <w:r w:rsidRPr="00E5253A">
              <w:rPr>
                <w:rFonts w:cs="Arial"/>
                <w:b/>
                <w:sz w:val="16"/>
                <w:szCs w:val="16"/>
              </w:rPr>
              <w:t>-</w:t>
            </w:r>
          </w:p>
        </w:tc>
        <w:tc>
          <w:tcPr>
            <w:tcW w:w="594" w:type="dxa"/>
            <w:tcBorders>
              <w:bottom w:val="single" w:sz="4" w:space="0" w:color="auto"/>
            </w:tcBorders>
            <w:vAlign w:val="center"/>
          </w:tcPr>
          <w:p w:rsidR="00E9316F" w:rsidRPr="00E5253A" w:rsidRDefault="00E9316F" w:rsidP="00796993">
            <w:pPr>
              <w:spacing w:before="20" w:after="20"/>
              <w:jc w:val="center"/>
              <w:rPr>
                <w:rFonts w:cs="Arial"/>
                <w:b/>
                <w:sz w:val="16"/>
                <w:szCs w:val="16"/>
              </w:rPr>
            </w:pPr>
            <w:r>
              <w:rPr>
                <w:rFonts w:cs="Arial"/>
                <w:b/>
                <w:sz w:val="16"/>
                <w:szCs w:val="16"/>
              </w:rPr>
              <w:t>-</w:t>
            </w:r>
          </w:p>
        </w:tc>
      </w:tr>
      <w:tr w:rsidR="00E9316F">
        <w:trPr>
          <w:jc w:val="center"/>
        </w:trPr>
        <w:tc>
          <w:tcPr>
            <w:tcW w:w="5897" w:type="dxa"/>
            <w:gridSpan w:val="2"/>
            <w:shd w:val="clear" w:color="auto" w:fill="auto"/>
            <w:vAlign w:val="center"/>
          </w:tcPr>
          <w:p w:rsidR="00E9316F" w:rsidRPr="00532821" w:rsidRDefault="00E9316F" w:rsidP="00796993">
            <w:pPr>
              <w:spacing w:before="20" w:after="20"/>
              <w:rPr>
                <w:rFonts w:cs="Arial"/>
                <w:b/>
                <w:sz w:val="16"/>
                <w:szCs w:val="16"/>
              </w:rPr>
            </w:pPr>
            <w:r w:rsidRPr="00532821">
              <w:rPr>
                <w:rFonts w:cs="Arial"/>
                <w:b/>
                <w:sz w:val="16"/>
                <w:szCs w:val="16"/>
              </w:rPr>
              <w:t>Freedoms/Restrictions</w:t>
            </w:r>
          </w:p>
        </w:tc>
        <w:tc>
          <w:tcPr>
            <w:tcW w:w="709" w:type="dxa"/>
            <w:shd w:val="clear" w:color="auto" w:fill="auto"/>
            <w:vAlign w:val="center"/>
          </w:tcPr>
          <w:p w:rsidR="00E9316F" w:rsidRPr="00785B64" w:rsidRDefault="00E9316F" w:rsidP="00796993">
            <w:pPr>
              <w:spacing w:before="20" w:after="20"/>
              <w:jc w:val="center"/>
              <w:rPr>
                <w:rFonts w:cs="Arial"/>
                <w:sz w:val="14"/>
                <w:szCs w:val="16"/>
              </w:rPr>
            </w:pPr>
          </w:p>
        </w:tc>
        <w:tc>
          <w:tcPr>
            <w:tcW w:w="567" w:type="dxa"/>
            <w:shd w:val="clear" w:color="auto" w:fill="auto"/>
            <w:vAlign w:val="center"/>
          </w:tcPr>
          <w:p w:rsidR="00E9316F" w:rsidRPr="00785B64" w:rsidRDefault="00E9316F" w:rsidP="00796993">
            <w:pPr>
              <w:spacing w:before="20" w:after="20"/>
              <w:jc w:val="center"/>
              <w:rPr>
                <w:rFonts w:cs="Arial"/>
                <w:sz w:val="14"/>
                <w:szCs w:val="16"/>
              </w:rPr>
            </w:pPr>
          </w:p>
        </w:tc>
        <w:tc>
          <w:tcPr>
            <w:tcW w:w="850"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709"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709" w:type="dxa"/>
            <w:shd w:val="clear" w:color="auto" w:fill="auto"/>
            <w:vAlign w:val="center"/>
          </w:tcPr>
          <w:p w:rsidR="00E9316F" w:rsidRPr="00A31B5B" w:rsidRDefault="00E9316F" w:rsidP="00796993">
            <w:pPr>
              <w:spacing w:before="20" w:after="20"/>
              <w:jc w:val="center"/>
              <w:rPr>
                <w:rFonts w:cs="Arial"/>
                <w:b/>
                <w:color w:val="008000"/>
                <w:sz w:val="16"/>
                <w:szCs w:val="16"/>
              </w:rPr>
            </w:pPr>
          </w:p>
        </w:tc>
        <w:tc>
          <w:tcPr>
            <w:tcW w:w="594" w:type="dxa"/>
            <w:vAlign w:val="center"/>
          </w:tcPr>
          <w:p w:rsidR="00E9316F" w:rsidRPr="00A31B5B" w:rsidRDefault="00E9316F" w:rsidP="00796993">
            <w:pPr>
              <w:spacing w:before="20" w:after="20"/>
              <w:jc w:val="center"/>
              <w:rPr>
                <w:rFonts w:cs="Arial"/>
                <w:b/>
                <w:color w:val="008000"/>
                <w:sz w:val="16"/>
                <w:szCs w:val="16"/>
              </w:rPr>
            </w:pP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Pr="00A94D2A" w:rsidRDefault="00CE7E7E" w:rsidP="00796993">
            <w:pPr>
              <w:autoSpaceDE w:val="0"/>
              <w:autoSpaceDN w:val="0"/>
              <w:adjustRightInd w:val="0"/>
              <w:spacing w:before="40" w:after="40"/>
              <w:ind w:left="173" w:hanging="30"/>
              <w:rPr>
                <w:rFonts w:cs="Arial"/>
                <w:sz w:val="16"/>
                <w:szCs w:val="16"/>
              </w:rPr>
            </w:pPr>
            <w:r w:rsidRPr="00A94D2A">
              <w:rPr>
                <w:rFonts w:cs="Arial"/>
                <w:sz w:val="16"/>
                <w:szCs w:val="16"/>
              </w:rPr>
              <w:t>When buying, or thinking about buying, clothes or shoes for yourself, how much do you usually feel limited by the money available?</w:t>
            </w:r>
            <w:r>
              <w:rPr>
                <w:rFonts w:cs="Arial"/>
                <w:sz w:val="16"/>
                <w:szCs w:val="16"/>
              </w:rPr>
              <w:t xml:space="preserve">  (4 point response from ‘not limited … very limited)</w:t>
            </w:r>
          </w:p>
        </w:tc>
        <w:tc>
          <w:tcPr>
            <w:tcW w:w="709" w:type="dxa"/>
            <w:shd w:val="clear" w:color="auto" w:fill="auto"/>
            <w:vAlign w:val="center"/>
          </w:tcPr>
          <w:p w:rsidR="00CE7E7E" w:rsidRPr="00785B64" w:rsidRDefault="00CE7E7E" w:rsidP="000E7C7A">
            <w:pPr>
              <w:spacing w:before="20" w:after="20"/>
              <w:jc w:val="center"/>
              <w:rPr>
                <w:rFonts w:cs="Arial"/>
                <w:sz w:val="14"/>
                <w:szCs w:val="16"/>
              </w:rPr>
            </w:pPr>
            <w:r>
              <w:rPr>
                <w:rFonts w:cs="Arial"/>
                <w:sz w:val="14"/>
                <w:szCs w:val="16"/>
              </w:rPr>
              <w:t>n/a</w:t>
            </w:r>
          </w:p>
        </w:tc>
        <w:tc>
          <w:tcPr>
            <w:tcW w:w="567" w:type="dxa"/>
            <w:shd w:val="clear" w:color="auto" w:fill="auto"/>
            <w:vAlign w:val="center"/>
          </w:tcPr>
          <w:p w:rsidR="00CE7E7E" w:rsidRPr="00785B64" w:rsidRDefault="00CE7E7E" w:rsidP="000E7C7A">
            <w:pPr>
              <w:spacing w:before="20" w:after="20"/>
              <w:jc w:val="center"/>
              <w:rPr>
                <w:rFonts w:cs="Arial"/>
                <w:sz w:val="14"/>
                <w:szCs w:val="16"/>
              </w:rPr>
            </w:pPr>
            <w:r>
              <w:rPr>
                <w:rFonts w:cs="Arial"/>
                <w:sz w:val="14"/>
                <w:szCs w:val="16"/>
              </w:rPr>
              <w:t>n/a</w:t>
            </w:r>
          </w:p>
        </w:tc>
        <w:tc>
          <w:tcPr>
            <w:tcW w:w="850" w:type="dxa"/>
            <w:shd w:val="clear" w:color="auto" w:fill="auto"/>
            <w:vAlign w:val="center"/>
          </w:tcPr>
          <w:p w:rsidR="00CE7E7E" w:rsidRPr="00905691" w:rsidRDefault="00CE7E7E" w:rsidP="00796993">
            <w:pPr>
              <w:jc w:val="center"/>
              <w:rPr>
                <w:rFonts w:cs="Arial"/>
                <w:sz w:val="16"/>
                <w:szCs w:val="16"/>
              </w:rPr>
            </w:pPr>
            <w:r>
              <w:rPr>
                <w:rFonts w:cs="Arial"/>
                <w:sz w:val="16"/>
                <w:szCs w:val="16"/>
              </w:rPr>
              <w:t>-</w:t>
            </w:r>
          </w:p>
        </w:tc>
        <w:tc>
          <w:tcPr>
            <w:tcW w:w="709" w:type="dxa"/>
            <w:shd w:val="clear" w:color="auto" w:fill="auto"/>
            <w:vAlign w:val="center"/>
          </w:tcPr>
          <w:p w:rsidR="00CE7E7E" w:rsidRPr="00905691" w:rsidRDefault="00CE7E7E" w:rsidP="00796993">
            <w:pPr>
              <w:jc w:val="center"/>
              <w:rPr>
                <w:rFonts w:cs="Arial"/>
                <w:sz w:val="16"/>
                <w:szCs w:val="16"/>
              </w:rPr>
            </w:pPr>
            <w:r>
              <w:rPr>
                <w:rFonts w:cs="Arial"/>
                <w:sz w:val="16"/>
                <w:szCs w:val="16"/>
              </w:rPr>
              <w:t>-</w:t>
            </w:r>
          </w:p>
        </w:tc>
        <w:tc>
          <w:tcPr>
            <w:tcW w:w="709" w:type="dxa"/>
            <w:vAlign w:val="center"/>
          </w:tcPr>
          <w:p w:rsidR="00CE7E7E" w:rsidRPr="00905691" w:rsidRDefault="00CE7E7E" w:rsidP="00796993">
            <w:pPr>
              <w:jc w:val="center"/>
              <w:rPr>
                <w:rFonts w:cs="Arial"/>
                <w:sz w:val="16"/>
                <w:szCs w:val="16"/>
              </w:rPr>
            </w:pPr>
            <w:r>
              <w:rPr>
                <w:rFonts w:cs="Arial"/>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Pr="00A94D2A" w:rsidRDefault="00CE7E7E" w:rsidP="00796993">
            <w:pPr>
              <w:spacing w:before="40" w:after="40"/>
              <w:ind w:left="173" w:hanging="30"/>
              <w:rPr>
                <w:rFonts w:cs="Arial"/>
                <w:sz w:val="16"/>
                <w:szCs w:val="16"/>
              </w:rPr>
            </w:pPr>
            <w:r w:rsidRPr="00A94D2A">
              <w:rPr>
                <w:rFonts w:cs="Arial"/>
                <w:sz w:val="16"/>
                <w:szCs w:val="16"/>
              </w:rPr>
              <w:t>$300 spot purchase for an ’extra’ – how restricted?</w:t>
            </w:r>
            <w:r>
              <w:rPr>
                <w:rFonts w:cs="Arial"/>
                <w:sz w:val="16"/>
                <w:szCs w:val="16"/>
              </w:rPr>
              <w:t xml:space="preserve"> (5 point response  from ‘ not restricted  … couldn’t purchase’)</w:t>
            </w:r>
          </w:p>
        </w:tc>
        <w:tc>
          <w:tcPr>
            <w:tcW w:w="709" w:type="dxa"/>
            <w:shd w:val="clear" w:color="auto" w:fill="auto"/>
            <w:vAlign w:val="center"/>
          </w:tcPr>
          <w:p w:rsidR="00CE7E7E" w:rsidRPr="00785B64" w:rsidRDefault="00CE7E7E" w:rsidP="000E7C7A">
            <w:pPr>
              <w:spacing w:before="20" w:after="20"/>
              <w:jc w:val="center"/>
              <w:rPr>
                <w:rFonts w:cs="Arial"/>
                <w:sz w:val="14"/>
                <w:szCs w:val="16"/>
              </w:rPr>
            </w:pPr>
            <w:r>
              <w:rPr>
                <w:rFonts w:cs="Arial"/>
                <w:sz w:val="14"/>
                <w:szCs w:val="16"/>
              </w:rPr>
              <w:t>n/a</w:t>
            </w:r>
          </w:p>
        </w:tc>
        <w:tc>
          <w:tcPr>
            <w:tcW w:w="567" w:type="dxa"/>
            <w:shd w:val="clear" w:color="auto" w:fill="auto"/>
            <w:vAlign w:val="center"/>
          </w:tcPr>
          <w:p w:rsidR="00CE7E7E" w:rsidRPr="00785B64" w:rsidRDefault="00CE7E7E" w:rsidP="000E7C7A">
            <w:pPr>
              <w:spacing w:before="20" w:after="20"/>
              <w:jc w:val="center"/>
              <w:rPr>
                <w:rFonts w:cs="Arial"/>
                <w:sz w:val="14"/>
                <w:szCs w:val="16"/>
              </w:rPr>
            </w:pPr>
            <w:r>
              <w:rPr>
                <w:rFonts w:cs="Arial"/>
                <w:sz w:val="14"/>
                <w:szCs w:val="16"/>
              </w:rPr>
              <w:t>n/a</w:t>
            </w:r>
          </w:p>
        </w:tc>
        <w:tc>
          <w:tcPr>
            <w:tcW w:w="850" w:type="dxa"/>
            <w:shd w:val="clear" w:color="auto" w:fill="auto"/>
            <w:vAlign w:val="center"/>
          </w:tcPr>
          <w:p w:rsidR="00CE7E7E" w:rsidRPr="00905691" w:rsidRDefault="00CE7E7E" w:rsidP="00796993">
            <w:pPr>
              <w:jc w:val="center"/>
              <w:rPr>
                <w:rFonts w:cs="Arial"/>
                <w:sz w:val="16"/>
                <w:szCs w:val="16"/>
              </w:rPr>
            </w:pPr>
            <w:r w:rsidRPr="00E5253A">
              <w:rPr>
                <w:rFonts w:cs="Arial"/>
                <w:b/>
                <w:sz w:val="16"/>
                <w:szCs w:val="16"/>
              </w:rPr>
              <w:t>-</w:t>
            </w:r>
          </w:p>
        </w:tc>
        <w:tc>
          <w:tcPr>
            <w:tcW w:w="709" w:type="dxa"/>
            <w:shd w:val="clear" w:color="auto" w:fill="auto"/>
            <w:vAlign w:val="center"/>
          </w:tcPr>
          <w:p w:rsidR="00CE7E7E" w:rsidRPr="00905691" w:rsidRDefault="00CE7E7E" w:rsidP="00796993">
            <w:pPr>
              <w:jc w:val="center"/>
              <w:rPr>
                <w:rFonts w:cs="Arial"/>
                <w:sz w:val="16"/>
                <w:szCs w:val="16"/>
              </w:rPr>
            </w:pPr>
            <w:r w:rsidRPr="00E5253A">
              <w:rPr>
                <w:rFonts w:cs="Arial"/>
                <w:b/>
                <w:sz w:val="16"/>
                <w:szCs w:val="16"/>
              </w:rPr>
              <w:t>-</w:t>
            </w:r>
          </w:p>
        </w:tc>
        <w:tc>
          <w:tcPr>
            <w:tcW w:w="709" w:type="dxa"/>
            <w:vAlign w:val="center"/>
          </w:tcPr>
          <w:p w:rsidR="00CE7E7E" w:rsidRPr="00905691" w:rsidRDefault="00CE7E7E" w:rsidP="00796993">
            <w:pPr>
              <w:jc w:val="center"/>
              <w:rPr>
                <w:rFonts w:cs="Arial"/>
                <w:sz w:val="16"/>
                <w:szCs w:val="16"/>
              </w:rPr>
            </w:pPr>
            <w:r w:rsidRPr="00E5253A">
              <w:rPr>
                <w:rFonts w:cs="Arial"/>
                <w:b/>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Pr="00A94D2A" w:rsidRDefault="00CE7E7E" w:rsidP="00796993">
            <w:pPr>
              <w:spacing w:before="40" w:after="40"/>
              <w:ind w:left="173" w:hanging="30"/>
              <w:rPr>
                <w:rFonts w:cs="Arial"/>
                <w:sz w:val="16"/>
                <w:szCs w:val="16"/>
              </w:rPr>
            </w:pPr>
            <w:r w:rsidRPr="00A94D2A">
              <w:rPr>
                <w:rFonts w:cs="Arial"/>
                <w:sz w:val="16"/>
                <w:szCs w:val="16"/>
              </w:rPr>
              <w:t xml:space="preserve">$500 unexpected unavoidable expense on an essential – </w:t>
            </w:r>
            <w:r>
              <w:rPr>
                <w:rFonts w:cs="Arial"/>
                <w:sz w:val="16"/>
                <w:szCs w:val="16"/>
              </w:rPr>
              <w:t xml:space="preserve"> can you </w:t>
            </w:r>
            <w:r w:rsidRPr="00A94D2A">
              <w:rPr>
                <w:rFonts w:cs="Arial"/>
                <w:sz w:val="16"/>
                <w:szCs w:val="16"/>
              </w:rPr>
              <w:t>pay in a month</w:t>
            </w:r>
            <w:r>
              <w:rPr>
                <w:rFonts w:cs="Arial"/>
                <w:sz w:val="16"/>
                <w:szCs w:val="16"/>
              </w:rPr>
              <w:t xml:space="preserve"> without borrowing</w:t>
            </w:r>
            <w:r w:rsidRPr="00A94D2A">
              <w:rPr>
                <w:rFonts w:cs="Arial"/>
                <w:sz w:val="16"/>
                <w:szCs w:val="16"/>
              </w:rPr>
              <w:t>?</w:t>
            </w:r>
            <w:r>
              <w:rPr>
                <w:rFonts w:cs="Arial"/>
                <w:sz w:val="16"/>
                <w:szCs w:val="16"/>
              </w:rPr>
              <w:t xml:space="preserve">  (yes/no)</w:t>
            </w:r>
          </w:p>
        </w:tc>
        <w:tc>
          <w:tcPr>
            <w:tcW w:w="709" w:type="dxa"/>
            <w:tcBorders>
              <w:bottom w:val="single" w:sz="4" w:space="0" w:color="auto"/>
            </w:tcBorders>
            <w:shd w:val="clear" w:color="auto" w:fill="auto"/>
            <w:vAlign w:val="center"/>
          </w:tcPr>
          <w:p w:rsidR="00CE7E7E" w:rsidRPr="00785B64" w:rsidRDefault="00F02767" w:rsidP="000E7C7A">
            <w:pPr>
              <w:spacing w:before="20" w:after="20"/>
              <w:jc w:val="center"/>
              <w:rPr>
                <w:rFonts w:cs="Arial"/>
                <w:sz w:val="14"/>
                <w:szCs w:val="16"/>
              </w:rPr>
            </w:pPr>
            <w:r>
              <w:rPr>
                <w:rFonts w:cs="Arial"/>
                <w:sz w:val="14"/>
                <w:szCs w:val="16"/>
              </w:rPr>
              <w:t>81 (yes)</w:t>
            </w:r>
          </w:p>
        </w:tc>
        <w:tc>
          <w:tcPr>
            <w:tcW w:w="567" w:type="dxa"/>
            <w:shd w:val="clear" w:color="auto" w:fill="auto"/>
            <w:vAlign w:val="center"/>
          </w:tcPr>
          <w:p w:rsidR="00CE7E7E" w:rsidRPr="00785B64" w:rsidRDefault="00F02767" w:rsidP="000E7C7A">
            <w:pPr>
              <w:spacing w:before="20" w:after="20"/>
              <w:jc w:val="center"/>
              <w:rPr>
                <w:rFonts w:cs="Arial"/>
                <w:sz w:val="14"/>
                <w:szCs w:val="16"/>
              </w:rPr>
            </w:pPr>
            <w:r>
              <w:rPr>
                <w:rFonts w:cs="Arial"/>
                <w:sz w:val="14"/>
                <w:szCs w:val="16"/>
              </w:rPr>
              <w:t>19 (no)</w:t>
            </w:r>
          </w:p>
        </w:tc>
        <w:tc>
          <w:tcPr>
            <w:tcW w:w="850" w:type="dxa"/>
            <w:shd w:val="clear" w:color="auto" w:fill="auto"/>
            <w:vAlign w:val="center"/>
          </w:tcPr>
          <w:p w:rsidR="00CE7E7E" w:rsidRPr="00905691" w:rsidRDefault="00CE7E7E" w:rsidP="00796993">
            <w:pPr>
              <w:jc w:val="center"/>
              <w:rPr>
                <w:rFonts w:cs="Arial"/>
                <w:sz w:val="16"/>
                <w:szCs w:val="16"/>
              </w:rPr>
            </w:pPr>
            <w:r>
              <w:rPr>
                <w:rFonts w:cs="Arial"/>
                <w:sz w:val="16"/>
                <w:szCs w:val="16"/>
              </w:rPr>
              <w:t>-</w:t>
            </w:r>
          </w:p>
        </w:tc>
        <w:tc>
          <w:tcPr>
            <w:tcW w:w="709" w:type="dxa"/>
            <w:shd w:val="clear" w:color="auto" w:fill="auto"/>
            <w:vAlign w:val="center"/>
          </w:tcPr>
          <w:p w:rsidR="00CE7E7E" w:rsidRPr="00905691" w:rsidRDefault="00CE7E7E" w:rsidP="00796993">
            <w:pPr>
              <w:jc w:val="center"/>
              <w:rPr>
                <w:rFonts w:cs="Arial"/>
                <w:sz w:val="16"/>
                <w:szCs w:val="16"/>
              </w:rPr>
            </w:pPr>
            <w:r>
              <w:rPr>
                <w:rFonts w:cs="Arial"/>
                <w:sz w:val="16"/>
                <w:szCs w:val="16"/>
              </w:rPr>
              <w:t>-</w:t>
            </w:r>
          </w:p>
        </w:tc>
        <w:tc>
          <w:tcPr>
            <w:tcW w:w="709" w:type="dxa"/>
            <w:vAlign w:val="center"/>
          </w:tcPr>
          <w:p w:rsidR="00CE7E7E" w:rsidRPr="00905691" w:rsidRDefault="00CE7E7E" w:rsidP="00796993">
            <w:pPr>
              <w:jc w:val="center"/>
              <w:rPr>
                <w:rFonts w:cs="Arial"/>
                <w:sz w:val="16"/>
                <w:szCs w:val="16"/>
              </w:rPr>
            </w:pPr>
            <w:r>
              <w:rPr>
                <w:rFonts w:cs="Arial"/>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5897" w:type="dxa"/>
            <w:gridSpan w:val="2"/>
            <w:shd w:val="clear" w:color="auto" w:fill="auto"/>
            <w:vAlign w:val="center"/>
          </w:tcPr>
          <w:p w:rsidR="00CE7E7E" w:rsidRPr="00532821" w:rsidRDefault="00CE7E7E" w:rsidP="00796993">
            <w:pPr>
              <w:spacing w:before="20" w:after="20"/>
              <w:rPr>
                <w:rFonts w:cs="Arial"/>
                <w:b/>
                <w:sz w:val="16"/>
                <w:szCs w:val="16"/>
              </w:rPr>
            </w:pPr>
            <w:r w:rsidRPr="00532821">
              <w:rPr>
                <w:rFonts w:cs="Arial"/>
                <w:b/>
                <w:sz w:val="16"/>
                <w:szCs w:val="16"/>
              </w:rPr>
              <w:t>Financial strain</w:t>
            </w:r>
          </w:p>
        </w:tc>
        <w:tc>
          <w:tcPr>
            <w:tcW w:w="709" w:type="dxa"/>
            <w:shd w:val="clear" w:color="auto" w:fill="auto"/>
            <w:vAlign w:val="center"/>
          </w:tcPr>
          <w:p w:rsidR="00CE7E7E" w:rsidRPr="00F02767" w:rsidRDefault="00CE7E7E" w:rsidP="00F02767">
            <w:pPr>
              <w:jc w:val="center"/>
              <w:rPr>
                <w:rFonts w:cs="Arial"/>
                <w:sz w:val="14"/>
                <w:szCs w:val="16"/>
              </w:rPr>
            </w:pPr>
          </w:p>
        </w:tc>
        <w:tc>
          <w:tcPr>
            <w:tcW w:w="567"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&gt;1</w:t>
            </w:r>
          </w:p>
        </w:tc>
        <w:tc>
          <w:tcPr>
            <w:tcW w:w="850" w:type="dxa"/>
            <w:shd w:val="clear" w:color="auto" w:fill="auto"/>
            <w:vAlign w:val="center"/>
          </w:tcPr>
          <w:p w:rsidR="00CE7E7E" w:rsidRPr="00E5253A" w:rsidRDefault="00CE7E7E" w:rsidP="00796993">
            <w:pPr>
              <w:spacing w:before="20" w:after="20"/>
              <w:jc w:val="center"/>
              <w:rPr>
                <w:rFonts w:cs="Arial"/>
                <w:b/>
                <w:sz w:val="16"/>
                <w:szCs w:val="16"/>
              </w:rPr>
            </w:pPr>
          </w:p>
        </w:tc>
        <w:tc>
          <w:tcPr>
            <w:tcW w:w="709" w:type="dxa"/>
            <w:shd w:val="clear" w:color="auto" w:fill="auto"/>
            <w:vAlign w:val="center"/>
          </w:tcPr>
          <w:p w:rsidR="00CE7E7E" w:rsidRPr="00E5253A" w:rsidRDefault="00CE7E7E" w:rsidP="00796993">
            <w:pPr>
              <w:spacing w:before="20" w:after="20"/>
              <w:jc w:val="center"/>
              <w:rPr>
                <w:rFonts w:cs="Arial"/>
                <w:b/>
                <w:sz w:val="16"/>
                <w:szCs w:val="16"/>
              </w:rPr>
            </w:pPr>
          </w:p>
        </w:tc>
        <w:tc>
          <w:tcPr>
            <w:tcW w:w="709" w:type="dxa"/>
            <w:vAlign w:val="center"/>
          </w:tcPr>
          <w:p w:rsidR="00CE7E7E" w:rsidRPr="00E5253A" w:rsidRDefault="00CE7E7E" w:rsidP="00796993">
            <w:pPr>
              <w:spacing w:before="20" w:after="20"/>
              <w:jc w:val="center"/>
              <w:rPr>
                <w:rFonts w:cs="Arial"/>
                <w:b/>
                <w:sz w:val="16"/>
                <w:szCs w:val="16"/>
              </w:rPr>
            </w:pPr>
          </w:p>
        </w:tc>
        <w:tc>
          <w:tcPr>
            <w:tcW w:w="594" w:type="dxa"/>
            <w:vAlign w:val="center"/>
          </w:tcPr>
          <w:p w:rsidR="00CE7E7E" w:rsidRPr="00E5253A" w:rsidRDefault="00CE7E7E" w:rsidP="00796993">
            <w:pPr>
              <w:spacing w:before="20" w:after="20"/>
              <w:jc w:val="center"/>
              <w:rPr>
                <w:rFonts w:cs="Arial"/>
                <w:b/>
                <w:sz w:val="16"/>
                <w:szCs w:val="16"/>
              </w:rPr>
            </w:pP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Pr="00905691" w:rsidRDefault="00CE7E7E" w:rsidP="00221AB9">
            <w:pPr>
              <w:ind w:left="176"/>
              <w:rPr>
                <w:rFonts w:cs="Arial"/>
                <w:sz w:val="16"/>
                <w:szCs w:val="16"/>
              </w:rPr>
            </w:pPr>
            <w:r>
              <w:rPr>
                <w:rFonts w:cs="Arial"/>
                <w:sz w:val="16"/>
                <w:szCs w:val="16"/>
              </w:rPr>
              <w:t>Behind on utilities in last 12 months?  (not at all, once, more than once)</w:t>
            </w:r>
          </w:p>
        </w:tc>
        <w:tc>
          <w:tcPr>
            <w:tcW w:w="709"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n/a</w:t>
            </w:r>
          </w:p>
        </w:tc>
        <w:tc>
          <w:tcPr>
            <w:tcW w:w="567" w:type="dxa"/>
            <w:shd w:val="clear" w:color="auto" w:fill="auto"/>
            <w:vAlign w:val="center"/>
          </w:tcPr>
          <w:p w:rsidR="00CE7E7E" w:rsidRPr="00F02767" w:rsidRDefault="00F02767" w:rsidP="00F02767">
            <w:pPr>
              <w:jc w:val="center"/>
              <w:rPr>
                <w:rFonts w:cs="Arial"/>
                <w:sz w:val="14"/>
                <w:szCs w:val="16"/>
              </w:rPr>
            </w:pPr>
            <w:r w:rsidRPr="00F02767">
              <w:rPr>
                <w:rFonts w:cs="Arial"/>
                <w:sz w:val="14"/>
                <w:szCs w:val="16"/>
              </w:rPr>
              <w:t>11</w:t>
            </w:r>
          </w:p>
        </w:tc>
        <w:tc>
          <w:tcPr>
            <w:tcW w:w="850" w:type="dxa"/>
            <w:shd w:val="clear" w:color="auto" w:fill="auto"/>
            <w:vAlign w:val="center"/>
          </w:tcPr>
          <w:p w:rsidR="00CE7E7E" w:rsidRPr="00E5253A" w:rsidRDefault="00CE7E7E" w:rsidP="00221AB9">
            <w:pPr>
              <w:jc w:val="center"/>
              <w:rPr>
                <w:rFonts w:cs="Arial"/>
                <w:b/>
                <w:sz w:val="16"/>
                <w:szCs w:val="16"/>
              </w:rPr>
            </w:pPr>
            <w:r w:rsidRPr="00E5253A">
              <w:rPr>
                <w:rFonts w:cs="Arial"/>
                <w:b/>
                <w:sz w:val="16"/>
                <w:szCs w:val="16"/>
              </w:rPr>
              <w:t>-</w:t>
            </w:r>
          </w:p>
        </w:tc>
        <w:tc>
          <w:tcPr>
            <w:tcW w:w="709" w:type="dxa"/>
            <w:shd w:val="clear" w:color="auto" w:fill="auto"/>
            <w:vAlign w:val="center"/>
          </w:tcPr>
          <w:p w:rsidR="00CE7E7E" w:rsidRPr="00E5253A" w:rsidRDefault="00CE7E7E" w:rsidP="00221AB9">
            <w:pPr>
              <w:jc w:val="center"/>
              <w:rPr>
                <w:rFonts w:cs="Arial"/>
                <w:b/>
                <w:sz w:val="16"/>
                <w:szCs w:val="16"/>
              </w:rPr>
            </w:pPr>
            <w:r w:rsidRPr="00E5253A">
              <w:rPr>
                <w:rFonts w:cs="Arial"/>
                <w:b/>
                <w:sz w:val="16"/>
                <w:szCs w:val="16"/>
              </w:rPr>
              <w:t>-</w:t>
            </w:r>
          </w:p>
        </w:tc>
        <w:tc>
          <w:tcPr>
            <w:tcW w:w="709" w:type="dxa"/>
            <w:vAlign w:val="center"/>
          </w:tcPr>
          <w:p w:rsidR="00CE7E7E" w:rsidRPr="00E5253A" w:rsidRDefault="00CE7E7E" w:rsidP="00221AB9">
            <w:pPr>
              <w:jc w:val="center"/>
              <w:rPr>
                <w:rFonts w:cs="Arial"/>
                <w:b/>
                <w:sz w:val="16"/>
                <w:szCs w:val="16"/>
              </w:rPr>
            </w:pPr>
            <w:r w:rsidRPr="00E5253A">
              <w:rPr>
                <w:rFonts w:cs="Arial"/>
                <w:b/>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Default="00CE7E7E" w:rsidP="00221AB9">
            <w:pPr>
              <w:ind w:left="176"/>
              <w:rPr>
                <w:rFonts w:cs="Arial"/>
                <w:sz w:val="16"/>
                <w:szCs w:val="16"/>
              </w:rPr>
            </w:pPr>
            <w:r>
              <w:rPr>
                <w:rFonts w:cs="Arial"/>
                <w:sz w:val="16"/>
                <w:szCs w:val="16"/>
              </w:rPr>
              <w:t>Behind on car registration, wof or insurance in last 12 months?</w:t>
            </w:r>
          </w:p>
        </w:tc>
        <w:tc>
          <w:tcPr>
            <w:tcW w:w="709"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n/a</w:t>
            </w:r>
          </w:p>
        </w:tc>
        <w:tc>
          <w:tcPr>
            <w:tcW w:w="567" w:type="dxa"/>
            <w:shd w:val="clear" w:color="auto" w:fill="auto"/>
            <w:vAlign w:val="center"/>
          </w:tcPr>
          <w:p w:rsidR="00CE7E7E" w:rsidRPr="00F02767" w:rsidRDefault="00F02767" w:rsidP="00F02767">
            <w:pPr>
              <w:jc w:val="center"/>
              <w:rPr>
                <w:rFonts w:cs="Arial"/>
                <w:sz w:val="14"/>
                <w:szCs w:val="16"/>
              </w:rPr>
            </w:pPr>
            <w:r w:rsidRPr="00F02767">
              <w:rPr>
                <w:rFonts w:cs="Arial"/>
                <w:sz w:val="14"/>
                <w:szCs w:val="16"/>
              </w:rPr>
              <w:t>9</w:t>
            </w:r>
          </w:p>
        </w:tc>
        <w:tc>
          <w:tcPr>
            <w:tcW w:w="850"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5897" w:type="dxa"/>
            <w:gridSpan w:val="2"/>
            <w:shd w:val="clear" w:color="auto" w:fill="auto"/>
            <w:vAlign w:val="center"/>
          </w:tcPr>
          <w:p w:rsidR="00CE7E7E" w:rsidRDefault="00CE7E7E" w:rsidP="00796993">
            <w:pPr>
              <w:spacing w:before="20" w:after="20"/>
              <w:rPr>
                <w:rFonts w:cs="Arial"/>
                <w:sz w:val="16"/>
                <w:szCs w:val="16"/>
              </w:rPr>
            </w:pPr>
            <w:r w:rsidRPr="00532821">
              <w:rPr>
                <w:rFonts w:cs="Arial"/>
                <w:b/>
                <w:sz w:val="16"/>
                <w:szCs w:val="16"/>
              </w:rPr>
              <w:t>Housing problems</w:t>
            </w:r>
            <w:r w:rsidRPr="00EE07F3">
              <w:rPr>
                <w:rFonts w:cs="Arial"/>
                <w:b/>
                <w:sz w:val="18"/>
                <w:szCs w:val="16"/>
              </w:rPr>
              <w:t xml:space="preserve"> </w:t>
            </w:r>
            <w:r w:rsidRPr="00221AB9">
              <w:rPr>
                <w:rFonts w:cs="Arial"/>
                <w:sz w:val="16"/>
                <w:szCs w:val="16"/>
              </w:rPr>
              <w:t>(no problem, minor problem, major problem)</w:t>
            </w:r>
          </w:p>
        </w:tc>
        <w:tc>
          <w:tcPr>
            <w:tcW w:w="709" w:type="dxa"/>
            <w:shd w:val="clear" w:color="auto" w:fill="auto"/>
            <w:vAlign w:val="center"/>
          </w:tcPr>
          <w:p w:rsidR="00CE7E7E" w:rsidRPr="00F02767" w:rsidRDefault="00CE7E7E" w:rsidP="00F02767">
            <w:pPr>
              <w:jc w:val="center"/>
              <w:rPr>
                <w:rFonts w:cs="Arial"/>
                <w:sz w:val="14"/>
                <w:szCs w:val="16"/>
              </w:rPr>
            </w:pPr>
          </w:p>
        </w:tc>
        <w:tc>
          <w:tcPr>
            <w:tcW w:w="567"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major</w:t>
            </w:r>
          </w:p>
        </w:tc>
        <w:tc>
          <w:tcPr>
            <w:tcW w:w="850" w:type="dxa"/>
            <w:shd w:val="clear" w:color="auto" w:fill="auto"/>
            <w:vAlign w:val="center"/>
          </w:tcPr>
          <w:p w:rsidR="00CE7E7E" w:rsidRPr="00E5253A" w:rsidRDefault="00CE7E7E" w:rsidP="00796993">
            <w:pPr>
              <w:spacing w:before="20" w:after="20"/>
              <w:jc w:val="center"/>
              <w:rPr>
                <w:rFonts w:cs="Arial"/>
                <w:b/>
                <w:sz w:val="16"/>
                <w:szCs w:val="16"/>
              </w:rPr>
            </w:pPr>
          </w:p>
        </w:tc>
        <w:tc>
          <w:tcPr>
            <w:tcW w:w="709" w:type="dxa"/>
            <w:shd w:val="clear" w:color="auto" w:fill="auto"/>
            <w:vAlign w:val="center"/>
          </w:tcPr>
          <w:p w:rsidR="00CE7E7E" w:rsidRPr="00E5253A" w:rsidRDefault="00CE7E7E" w:rsidP="00796993">
            <w:pPr>
              <w:spacing w:before="20" w:after="20"/>
              <w:jc w:val="center"/>
              <w:rPr>
                <w:rFonts w:cs="Arial"/>
                <w:b/>
                <w:sz w:val="16"/>
                <w:szCs w:val="16"/>
              </w:rPr>
            </w:pPr>
          </w:p>
        </w:tc>
        <w:tc>
          <w:tcPr>
            <w:tcW w:w="709" w:type="dxa"/>
          </w:tcPr>
          <w:p w:rsidR="00CE7E7E" w:rsidRPr="00E5253A" w:rsidRDefault="00CE7E7E" w:rsidP="00796993">
            <w:pPr>
              <w:spacing w:before="20" w:after="20"/>
              <w:jc w:val="center"/>
              <w:rPr>
                <w:rFonts w:cs="Arial"/>
                <w:b/>
                <w:sz w:val="16"/>
                <w:szCs w:val="16"/>
              </w:rPr>
            </w:pPr>
          </w:p>
        </w:tc>
        <w:tc>
          <w:tcPr>
            <w:tcW w:w="594" w:type="dxa"/>
            <w:vAlign w:val="center"/>
          </w:tcPr>
          <w:p w:rsidR="00CE7E7E" w:rsidRPr="00E5253A" w:rsidRDefault="00CE7E7E" w:rsidP="00796993">
            <w:pPr>
              <w:spacing w:before="20" w:after="20"/>
              <w:jc w:val="center"/>
              <w:rPr>
                <w:rFonts w:cs="Arial"/>
                <w:b/>
                <w:sz w:val="16"/>
                <w:szCs w:val="16"/>
              </w:rPr>
            </w:pP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Default="00CE7E7E" w:rsidP="00221AB9">
            <w:pPr>
              <w:ind w:left="176"/>
              <w:rPr>
                <w:rFonts w:cs="Arial"/>
                <w:sz w:val="16"/>
                <w:szCs w:val="16"/>
              </w:rPr>
            </w:pPr>
            <w:r>
              <w:rPr>
                <w:rFonts w:cs="Arial"/>
                <w:sz w:val="16"/>
                <w:szCs w:val="16"/>
              </w:rPr>
              <w:t>Dampness or mould</w:t>
            </w:r>
          </w:p>
        </w:tc>
        <w:tc>
          <w:tcPr>
            <w:tcW w:w="709"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n/a</w:t>
            </w:r>
          </w:p>
        </w:tc>
        <w:tc>
          <w:tcPr>
            <w:tcW w:w="567" w:type="dxa"/>
            <w:shd w:val="clear" w:color="auto" w:fill="auto"/>
            <w:vAlign w:val="center"/>
          </w:tcPr>
          <w:p w:rsidR="00CE7E7E" w:rsidRPr="00F02767" w:rsidRDefault="00F02767" w:rsidP="00F02767">
            <w:pPr>
              <w:jc w:val="center"/>
              <w:rPr>
                <w:rFonts w:cs="Arial"/>
                <w:sz w:val="14"/>
                <w:szCs w:val="16"/>
              </w:rPr>
            </w:pPr>
            <w:r w:rsidRPr="00F02767">
              <w:rPr>
                <w:rFonts w:cs="Arial"/>
                <w:sz w:val="14"/>
                <w:szCs w:val="16"/>
              </w:rPr>
              <w:t>12</w:t>
            </w:r>
          </w:p>
        </w:tc>
        <w:tc>
          <w:tcPr>
            <w:tcW w:w="850"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r w:rsidR="00CE7E7E">
        <w:trPr>
          <w:jc w:val="center"/>
        </w:trPr>
        <w:tc>
          <w:tcPr>
            <w:tcW w:w="363" w:type="dxa"/>
            <w:tcBorders>
              <w:right w:val="nil"/>
            </w:tcBorders>
            <w:shd w:val="clear" w:color="auto" w:fill="auto"/>
            <w:vAlign w:val="center"/>
          </w:tcPr>
          <w:p w:rsidR="00CE7E7E" w:rsidRDefault="00CE7E7E" w:rsidP="00796993">
            <w:pPr>
              <w:spacing w:before="20" w:after="20"/>
              <w:rPr>
                <w:rFonts w:cs="Arial"/>
                <w:sz w:val="16"/>
                <w:szCs w:val="16"/>
              </w:rPr>
            </w:pPr>
          </w:p>
        </w:tc>
        <w:tc>
          <w:tcPr>
            <w:tcW w:w="5534" w:type="dxa"/>
            <w:tcBorders>
              <w:left w:val="nil"/>
            </w:tcBorders>
            <w:shd w:val="clear" w:color="auto" w:fill="auto"/>
            <w:vAlign w:val="center"/>
          </w:tcPr>
          <w:p w:rsidR="00CE7E7E" w:rsidRDefault="00CE7E7E" w:rsidP="00221AB9">
            <w:pPr>
              <w:ind w:left="176"/>
              <w:rPr>
                <w:rFonts w:cs="Arial"/>
                <w:sz w:val="16"/>
                <w:szCs w:val="16"/>
              </w:rPr>
            </w:pPr>
            <w:r>
              <w:rPr>
                <w:rFonts w:cs="Arial"/>
                <w:sz w:val="16"/>
                <w:szCs w:val="16"/>
              </w:rPr>
              <w:t>Heating or keeping it warm in winter</w:t>
            </w:r>
          </w:p>
        </w:tc>
        <w:tc>
          <w:tcPr>
            <w:tcW w:w="709" w:type="dxa"/>
            <w:shd w:val="clear" w:color="auto" w:fill="auto"/>
            <w:vAlign w:val="center"/>
          </w:tcPr>
          <w:p w:rsidR="00CE7E7E" w:rsidRPr="00F02767" w:rsidRDefault="00CE7E7E" w:rsidP="00F02767">
            <w:pPr>
              <w:jc w:val="center"/>
              <w:rPr>
                <w:rFonts w:cs="Arial"/>
                <w:sz w:val="14"/>
                <w:szCs w:val="16"/>
              </w:rPr>
            </w:pPr>
            <w:r w:rsidRPr="00F02767">
              <w:rPr>
                <w:rFonts w:cs="Arial"/>
                <w:sz w:val="14"/>
                <w:szCs w:val="16"/>
              </w:rPr>
              <w:t>n/a</w:t>
            </w:r>
          </w:p>
        </w:tc>
        <w:tc>
          <w:tcPr>
            <w:tcW w:w="567" w:type="dxa"/>
            <w:shd w:val="clear" w:color="auto" w:fill="auto"/>
            <w:vAlign w:val="center"/>
          </w:tcPr>
          <w:p w:rsidR="00CE7E7E" w:rsidRPr="00F02767" w:rsidRDefault="00F02767" w:rsidP="00F02767">
            <w:pPr>
              <w:jc w:val="center"/>
              <w:rPr>
                <w:rFonts w:cs="Arial"/>
                <w:sz w:val="14"/>
                <w:szCs w:val="16"/>
              </w:rPr>
            </w:pPr>
            <w:r w:rsidRPr="00F02767">
              <w:rPr>
                <w:rFonts w:cs="Arial"/>
                <w:sz w:val="14"/>
                <w:szCs w:val="16"/>
              </w:rPr>
              <w:t>17</w:t>
            </w:r>
          </w:p>
        </w:tc>
        <w:tc>
          <w:tcPr>
            <w:tcW w:w="850"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shd w:val="clear" w:color="auto" w:fill="auto"/>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709" w:type="dxa"/>
            <w:vAlign w:val="center"/>
          </w:tcPr>
          <w:p w:rsidR="00CE7E7E" w:rsidRPr="00E5253A" w:rsidRDefault="00CE7E7E" w:rsidP="00796993">
            <w:pPr>
              <w:jc w:val="center"/>
              <w:rPr>
                <w:rFonts w:cs="Arial"/>
                <w:b/>
                <w:sz w:val="16"/>
                <w:szCs w:val="16"/>
              </w:rPr>
            </w:pPr>
            <w:r w:rsidRPr="00E5253A">
              <w:rPr>
                <w:rFonts w:cs="Arial"/>
                <w:b/>
                <w:sz w:val="16"/>
                <w:szCs w:val="16"/>
              </w:rPr>
              <w:t>-</w:t>
            </w:r>
          </w:p>
        </w:tc>
        <w:tc>
          <w:tcPr>
            <w:tcW w:w="594" w:type="dxa"/>
            <w:vAlign w:val="center"/>
          </w:tcPr>
          <w:p w:rsidR="00CE7E7E" w:rsidRPr="00905691" w:rsidRDefault="00CE7E7E" w:rsidP="00796993">
            <w:pPr>
              <w:jc w:val="center"/>
              <w:rPr>
                <w:rFonts w:cs="Arial"/>
                <w:sz w:val="16"/>
                <w:szCs w:val="16"/>
              </w:rPr>
            </w:pPr>
            <w:r w:rsidRPr="00905691">
              <w:rPr>
                <w:rFonts w:cs="Arial"/>
                <w:sz w:val="16"/>
                <w:szCs w:val="16"/>
              </w:rPr>
              <w:sym w:font="Wingdings" w:char="F0FC"/>
            </w:r>
          </w:p>
        </w:tc>
      </w:tr>
    </w:tbl>
    <w:p w:rsidR="00B973D3" w:rsidRPr="008E2C7A" w:rsidRDefault="00B973D3" w:rsidP="00CE7E7E">
      <w:pPr>
        <w:spacing w:before="80"/>
        <w:ind w:left="357" w:hanging="357"/>
        <w:jc w:val="both"/>
        <w:rPr>
          <w:rFonts w:cs="Arial"/>
          <w:sz w:val="16"/>
          <w:szCs w:val="16"/>
        </w:rPr>
      </w:pPr>
      <w:r w:rsidRPr="008E2C7A">
        <w:rPr>
          <w:rFonts w:cs="Arial"/>
          <w:sz w:val="16"/>
          <w:szCs w:val="16"/>
        </w:rPr>
        <w:t>1</w:t>
      </w:r>
      <w:r w:rsidRPr="008E2C7A">
        <w:rPr>
          <w:rFonts w:cs="Arial"/>
          <w:sz w:val="16"/>
          <w:szCs w:val="16"/>
        </w:rPr>
        <w:tab/>
        <w:t>EL = ‘enforced lack’  (= ‘do not have/do because of the cost’ or ‘economise a lot’ to keep costs down for other basics)</w:t>
      </w:r>
    </w:p>
    <w:p w:rsidR="00B973D3" w:rsidRPr="008E2C7A" w:rsidRDefault="00B973D3" w:rsidP="00CE7E7E">
      <w:pPr>
        <w:spacing w:before="40"/>
        <w:ind w:left="357" w:hanging="357"/>
        <w:jc w:val="both"/>
        <w:rPr>
          <w:rFonts w:cs="Arial"/>
          <w:sz w:val="16"/>
          <w:szCs w:val="16"/>
        </w:rPr>
      </w:pPr>
      <w:r w:rsidRPr="008E2C7A">
        <w:rPr>
          <w:rFonts w:cs="Arial"/>
          <w:sz w:val="16"/>
          <w:szCs w:val="16"/>
        </w:rPr>
        <w:t>2</w:t>
      </w:r>
      <w:r w:rsidRPr="008E2C7A">
        <w:rPr>
          <w:rFonts w:cs="Arial"/>
          <w:sz w:val="16"/>
          <w:szCs w:val="16"/>
        </w:rPr>
        <w:tab/>
        <w:t>Have = ‘have or do’ for ownership and social participation items, and economise ‘not at all’ for the economising items.</w:t>
      </w:r>
    </w:p>
    <w:p w:rsidR="00CE7E7E" w:rsidRDefault="00CE7E7E" w:rsidP="00CE7E7E">
      <w:pPr>
        <w:spacing w:before="40"/>
        <w:ind w:left="357" w:hanging="357"/>
        <w:jc w:val="both"/>
        <w:rPr>
          <w:rFonts w:cs="Arial"/>
          <w:sz w:val="16"/>
          <w:szCs w:val="16"/>
        </w:rPr>
      </w:pPr>
      <w:r>
        <w:rPr>
          <w:rFonts w:cs="Arial"/>
          <w:sz w:val="16"/>
          <w:szCs w:val="16"/>
        </w:rPr>
        <w:t>3</w:t>
      </w:r>
      <w:r>
        <w:rPr>
          <w:rFonts w:cs="Arial"/>
          <w:sz w:val="16"/>
          <w:szCs w:val="16"/>
        </w:rPr>
        <w:tab/>
        <w:t>The ‘Endorsement’ figures are from the 2008 Living Standards survey</w:t>
      </w:r>
    </w:p>
    <w:p w:rsidR="00B973D3" w:rsidRPr="008E2C7A" w:rsidRDefault="00CE7E7E" w:rsidP="00CE7E7E">
      <w:pPr>
        <w:spacing w:before="40"/>
        <w:ind w:left="357" w:hanging="357"/>
        <w:jc w:val="both"/>
        <w:rPr>
          <w:rFonts w:cs="Arial"/>
          <w:sz w:val="16"/>
          <w:szCs w:val="16"/>
        </w:rPr>
      </w:pPr>
      <w:r>
        <w:rPr>
          <w:rFonts w:cs="Arial"/>
          <w:sz w:val="16"/>
          <w:szCs w:val="16"/>
        </w:rPr>
        <w:t>4</w:t>
      </w:r>
      <w:r w:rsidR="00B973D3" w:rsidRPr="008E2C7A">
        <w:rPr>
          <w:rFonts w:cs="Arial"/>
          <w:sz w:val="16"/>
          <w:szCs w:val="16"/>
        </w:rPr>
        <w:tab/>
      </w:r>
      <w:r w:rsidR="00BB00FE" w:rsidRPr="008E2C7A">
        <w:rPr>
          <w:rFonts w:cs="Arial"/>
          <w:sz w:val="16"/>
          <w:szCs w:val="16"/>
        </w:rPr>
        <w:t>Indented items are the new ones for the MWI – they are not in ELSI-SF, although three of them are in the full ELSI.</w:t>
      </w:r>
    </w:p>
    <w:p w:rsidR="00BA6F13" w:rsidRPr="008E2C7A" w:rsidRDefault="00CE7E7E" w:rsidP="00CE7E7E">
      <w:pPr>
        <w:spacing w:before="40"/>
        <w:ind w:left="357" w:hanging="357"/>
        <w:jc w:val="both"/>
        <w:rPr>
          <w:rFonts w:cs="Arial"/>
          <w:sz w:val="16"/>
          <w:szCs w:val="16"/>
        </w:rPr>
      </w:pPr>
      <w:r>
        <w:rPr>
          <w:rFonts w:cs="Arial"/>
          <w:sz w:val="16"/>
          <w:szCs w:val="16"/>
        </w:rPr>
        <w:t>5</w:t>
      </w:r>
      <w:r w:rsidR="00BA6F13" w:rsidRPr="008E2C7A">
        <w:rPr>
          <w:rFonts w:cs="Arial"/>
          <w:sz w:val="16"/>
          <w:szCs w:val="16"/>
        </w:rPr>
        <w:tab/>
        <w:t xml:space="preserve">Starting with HES 2012-13, all 24 MWI </w:t>
      </w:r>
      <w:r w:rsidR="008E2C7A">
        <w:rPr>
          <w:rFonts w:cs="Arial"/>
          <w:sz w:val="16"/>
          <w:szCs w:val="16"/>
        </w:rPr>
        <w:t xml:space="preserve">items </w:t>
      </w:r>
      <w:r w:rsidR="00BA6F13" w:rsidRPr="008E2C7A">
        <w:rPr>
          <w:rFonts w:cs="Arial"/>
          <w:sz w:val="16"/>
          <w:szCs w:val="16"/>
        </w:rPr>
        <w:t>plus 5 others</w:t>
      </w:r>
      <w:r w:rsidR="008E2C7A">
        <w:rPr>
          <w:rFonts w:cs="Arial"/>
          <w:sz w:val="16"/>
          <w:szCs w:val="16"/>
        </w:rPr>
        <w:t xml:space="preserve"> are in the HES, replacing the 25 ELSI short-form items.</w:t>
      </w:r>
    </w:p>
    <w:p w:rsidR="00EE3232" w:rsidRPr="003C7455" w:rsidRDefault="00B973D3" w:rsidP="00EE3232">
      <w:pPr>
        <w:jc w:val="both"/>
        <w:rPr>
          <w:rFonts w:cs="Arial"/>
          <w:b/>
          <w:sz w:val="20"/>
          <w:szCs w:val="22"/>
        </w:rPr>
      </w:pPr>
      <w:r>
        <w:rPr>
          <w:rFonts w:cs="Arial"/>
          <w:b/>
          <w:sz w:val="20"/>
        </w:rPr>
        <w:br w:type="page"/>
      </w:r>
      <w:r w:rsidR="00EE3232" w:rsidRPr="003C7455">
        <w:rPr>
          <w:rFonts w:cs="Arial"/>
          <w:b/>
          <w:sz w:val="20"/>
          <w:szCs w:val="22"/>
        </w:rPr>
        <w:lastRenderedPageBreak/>
        <w:t>Comparing the results for the</w:t>
      </w:r>
      <w:r w:rsidR="00D0103F">
        <w:rPr>
          <w:rFonts w:cs="Arial"/>
          <w:b/>
          <w:sz w:val="20"/>
          <w:szCs w:val="22"/>
        </w:rPr>
        <w:t xml:space="preserve"> incomes and NMI</w:t>
      </w:r>
      <w:r w:rsidR="00EE3232" w:rsidRPr="003C7455">
        <w:rPr>
          <w:rFonts w:cs="Arial"/>
          <w:b/>
          <w:sz w:val="20"/>
          <w:szCs w:val="22"/>
        </w:rPr>
        <w:t xml:space="preserve"> approaches</w:t>
      </w:r>
    </w:p>
    <w:p w:rsidR="00EE3232" w:rsidRPr="003C7455" w:rsidRDefault="00EE3232" w:rsidP="00EE3232">
      <w:pPr>
        <w:jc w:val="both"/>
        <w:rPr>
          <w:rFonts w:cs="Arial"/>
          <w:sz w:val="20"/>
          <w:szCs w:val="22"/>
        </w:rPr>
      </w:pPr>
    </w:p>
    <w:p w:rsidR="00EE3232" w:rsidRPr="003C7455" w:rsidRDefault="00EE3232" w:rsidP="00D0103F">
      <w:pPr>
        <w:spacing w:after="120"/>
        <w:jc w:val="both"/>
        <w:rPr>
          <w:rFonts w:cs="Arial"/>
          <w:sz w:val="20"/>
          <w:szCs w:val="22"/>
        </w:rPr>
      </w:pPr>
      <w:r w:rsidRPr="003C7455">
        <w:rPr>
          <w:rFonts w:cs="Arial"/>
          <w:sz w:val="20"/>
          <w:szCs w:val="22"/>
        </w:rPr>
        <w:t xml:space="preserve">In </w:t>
      </w:r>
      <w:r w:rsidR="005F130A">
        <w:rPr>
          <w:rFonts w:cs="Arial"/>
          <w:sz w:val="20"/>
          <w:szCs w:val="22"/>
        </w:rPr>
        <w:t>the 2011 HES</w:t>
      </w:r>
      <w:r w:rsidRPr="003C7455">
        <w:rPr>
          <w:rFonts w:cs="Arial"/>
          <w:sz w:val="20"/>
          <w:szCs w:val="22"/>
        </w:rPr>
        <w:t>, 1</w:t>
      </w:r>
      <w:r w:rsidR="005F130A">
        <w:rPr>
          <w:rFonts w:cs="Arial"/>
          <w:sz w:val="20"/>
          <w:szCs w:val="22"/>
        </w:rPr>
        <w:t>6</w:t>
      </w:r>
      <w:r w:rsidRPr="003C7455">
        <w:rPr>
          <w:rFonts w:cs="Arial"/>
          <w:sz w:val="20"/>
          <w:szCs w:val="22"/>
        </w:rPr>
        <w:t>% of the popul</w:t>
      </w:r>
      <w:r w:rsidR="005F130A">
        <w:rPr>
          <w:rFonts w:cs="Arial"/>
          <w:sz w:val="20"/>
          <w:szCs w:val="22"/>
        </w:rPr>
        <w:t xml:space="preserve">ation were identified as poor </w:t>
      </w:r>
      <w:r w:rsidRPr="003C7455">
        <w:rPr>
          <w:rFonts w:cs="Arial"/>
          <w:sz w:val="20"/>
          <w:szCs w:val="22"/>
        </w:rPr>
        <w:t xml:space="preserve">using the 60% </w:t>
      </w:r>
      <w:smartTag w:uri="urn:schemas-microsoft-com:office:smarttags" w:element="stockticker">
        <w:r w:rsidRPr="003C7455">
          <w:rPr>
            <w:rFonts w:cs="Arial"/>
            <w:sz w:val="20"/>
            <w:szCs w:val="22"/>
          </w:rPr>
          <w:t>AHC</w:t>
        </w:r>
      </w:smartTag>
      <w:r>
        <w:rPr>
          <w:rFonts w:cs="Arial"/>
          <w:sz w:val="20"/>
          <w:szCs w:val="22"/>
        </w:rPr>
        <w:t xml:space="preserve"> CV (fixed line</w:t>
      </w:r>
      <w:r w:rsidRPr="003C7455">
        <w:rPr>
          <w:rFonts w:cs="Arial"/>
          <w:sz w:val="20"/>
          <w:szCs w:val="22"/>
        </w:rPr>
        <w:t xml:space="preserve">) </w:t>
      </w:r>
      <w:r w:rsidR="005F130A">
        <w:rPr>
          <w:rFonts w:cs="Arial"/>
          <w:sz w:val="20"/>
          <w:szCs w:val="22"/>
        </w:rPr>
        <w:t>measure</w:t>
      </w:r>
      <w:r w:rsidRPr="003C7455">
        <w:rPr>
          <w:rFonts w:cs="Arial"/>
          <w:sz w:val="20"/>
          <w:szCs w:val="22"/>
        </w:rPr>
        <w:t>, and 1</w:t>
      </w:r>
      <w:r w:rsidR="00F16B61">
        <w:rPr>
          <w:rFonts w:cs="Arial"/>
          <w:sz w:val="20"/>
          <w:szCs w:val="22"/>
        </w:rPr>
        <w:t>3</w:t>
      </w:r>
      <w:r w:rsidRPr="003C7455">
        <w:rPr>
          <w:rFonts w:cs="Arial"/>
          <w:sz w:val="20"/>
          <w:szCs w:val="22"/>
        </w:rPr>
        <w:t xml:space="preserve">% were in </w:t>
      </w:r>
      <w:r w:rsidR="005F130A">
        <w:rPr>
          <w:rFonts w:cs="Arial"/>
          <w:sz w:val="20"/>
          <w:szCs w:val="22"/>
        </w:rPr>
        <w:t>hardship</w:t>
      </w:r>
      <w:r>
        <w:rPr>
          <w:rFonts w:cs="Arial"/>
          <w:sz w:val="20"/>
          <w:szCs w:val="22"/>
        </w:rPr>
        <w:t xml:space="preserve"> </w:t>
      </w:r>
      <w:r w:rsidRPr="003C7455">
        <w:rPr>
          <w:rFonts w:cs="Arial"/>
          <w:sz w:val="20"/>
          <w:szCs w:val="22"/>
        </w:rPr>
        <w:t xml:space="preserve">as measured using </w:t>
      </w:r>
      <w:smartTag w:uri="urn:schemas-microsoft-com:office:smarttags" w:element="stockticker">
        <w:r w:rsidRPr="003C7455">
          <w:rPr>
            <w:rFonts w:cs="Arial"/>
            <w:sz w:val="20"/>
            <w:szCs w:val="22"/>
          </w:rPr>
          <w:t>ELSI</w:t>
        </w:r>
      </w:smartTag>
      <w:r w:rsidRPr="003C7455">
        <w:rPr>
          <w:rFonts w:cs="Arial"/>
          <w:sz w:val="20"/>
          <w:szCs w:val="22"/>
        </w:rPr>
        <w:t xml:space="preserve"> Levels 1 and 2.  These proportions are close enough to allow some comparisons of relative rates for selected subgroups of the population. The subgroups are based on the following individual and household or family characteristics:</w:t>
      </w:r>
    </w:p>
    <w:p w:rsidR="00EE3232" w:rsidRPr="003C7455" w:rsidRDefault="00EE3232" w:rsidP="00614C04">
      <w:pPr>
        <w:numPr>
          <w:ilvl w:val="0"/>
          <w:numId w:val="56"/>
        </w:numPr>
        <w:tabs>
          <w:tab w:val="clear" w:pos="720"/>
          <w:tab w:val="num" w:pos="630"/>
        </w:tabs>
        <w:spacing w:after="60"/>
        <w:ind w:left="630" w:hanging="270"/>
        <w:jc w:val="both"/>
        <w:rPr>
          <w:rFonts w:cs="Arial"/>
          <w:sz w:val="20"/>
          <w:szCs w:val="22"/>
        </w:rPr>
      </w:pPr>
      <w:r w:rsidRPr="003C7455">
        <w:rPr>
          <w:rFonts w:cs="Arial"/>
          <w:sz w:val="20"/>
          <w:szCs w:val="22"/>
        </w:rPr>
        <w:t>age group</w:t>
      </w:r>
    </w:p>
    <w:p w:rsidR="00EE3232" w:rsidRPr="003C7455" w:rsidRDefault="00EE3232" w:rsidP="00614C04">
      <w:pPr>
        <w:numPr>
          <w:ilvl w:val="0"/>
          <w:numId w:val="56"/>
        </w:numPr>
        <w:tabs>
          <w:tab w:val="clear" w:pos="720"/>
          <w:tab w:val="num" w:pos="630"/>
        </w:tabs>
        <w:spacing w:after="60"/>
        <w:ind w:left="630" w:hanging="270"/>
        <w:jc w:val="both"/>
        <w:rPr>
          <w:rFonts w:cs="Arial"/>
          <w:sz w:val="20"/>
          <w:szCs w:val="22"/>
        </w:rPr>
      </w:pPr>
      <w:r w:rsidRPr="003C7455">
        <w:rPr>
          <w:rFonts w:cs="Arial"/>
          <w:sz w:val="20"/>
          <w:szCs w:val="22"/>
        </w:rPr>
        <w:t>ethnicity</w:t>
      </w:r>
    </w:p>
    <w:p w:rsidR="00EE3232" w:rsidRPr="003C7455" w:rsidRDefault="00EE3232" w:rsidP="00614C04">
      <w:pPr>
        <w:numPr>
          <w:ilvl w:val="0"/>
          <w:numId w:val="56"/>
        </w:numPr>
        <w:tabs>
          <w:tab w:val="clear" w:pos="720"/>
          <w:tab w:val="num" w:pos="630"/>
        </w:tabs>
        <w:spacing w:after="60"/>
        <w:ind w:left="630" w:hanging="270"/>
        <w:jc w:val="both"/>
        <w:rPr>
          <w:rFonts w:cs="Arial"/>
          <w:sz w:val="20"/>
          <w:szCs w:val="22"/>
        </w:rPr>
      </w:pPr>
      <w:r w:rsidRPr="003C7455">
        <w:rPr>
          <w:rFonts w:cs="Arial"/>
          <w:sz w:val="20"/>
          <w:szCs w:val="22"/>
        </w:rPr>
        <w:t>family type</w:t>
      </w:r>
    </w:p>
    <w:p w:rsidR="00EE3232" w:rsidRPr="003C7455" w:rsidRDefault="00EE3232" w:rsidP="00614C04">
      <w:pPr>
        <w:numPr>
          <w:ilvl w:val="0"/>
          <w:numId w:val="56"/>
        </w:numPr>
        <w:tabs>
          <w:tab w:val="clear" w:pos="720"/>
          <w:tab w:val="num" w:pos="630"/>
        </w:tabs>
        <w:spacing w:after="60"/>
        <w:ind w:left="630" w:hanging="270"/>
        <w:jc w:val="both"/>
        <w:rPr>
          <w:rFonts w:cs="Arial"/>
          <w:sz w:val="20"/>
          <w:szCs w:val="22"/>
        </w:rPr>
      </w:pPr>
      <w:r w:rsidRPr="003C7455">
        <w:rPr>
          <w:rFonts w:cs="Arial"/>
          <w:sz w:val="20"/>
          <w:szCs w:val="22"/>
        </w:rPr>
        <w:t>number of children</w:t>
      </w:r>
    </w:p>
    <w:p w:rsidR="00EE3232" w:rsidRPr="003C7455" w:rsidRDefault="00EE3232" w:rsidP="00614C04">
      <w:pPr>
        <w:numPr>
          <w:ilvl w:val="0"/>
          <w:numId w:val="56"/>
        </w:numPr>
        <w:tabs>
          <w:tab w:val="clear" w:pos="720"/>
          <w:tab w:val="num" w:pos="630"/>
        </w:tabs>
        <w:ind w:left="630" w:hanging="270"/>
        <w:jc w:val="both"/>
        <w:rPr>
          <w:rFonts w:cs="Arial"/>
          <w:sz w:val="20"/>
          <w:szCs w:val="22"/>
        </w:rPr>
      </w:pPr>
      <w:r w:rsidRPr="003C7455">
        <w:rPr>
          <w:rFonts w:cs="Arial"/>
          <w:sz w:val="20"/>
          <w:szCs w:val="22"/>
        </w:rPr>
        <w:t>main source of income for those households and families under 65.</w:t>
      </w:r>
    </w:p>
    <w:p w:rsidR="00B973D3" w:rsidRDefault="00B973D3" w:rsidP="00EE3232">
      <w:pPr>
        <w:jc w:val="both"/>
        <w:rPr>
          <w:rFonts w:cs="Arial"/>
          <w:b/>
          <w:sz w:val="20"/>
          <w:szCs w:val="22"/>
        </w:rPr>
      </w:pPr>
    </w:p>
    <w:p w:rsidR="00EE3232" w:rsidRDefault="00EE3232" w:rsidP="00EE3232">
      <w:pPr>
        <w:jc w:val="both"/>
        <w:rPr>
          <w:rFonts w:cs="Arial"/>
          <w:sz w:val="20"/>
          <w:szCs w:val="22"/>
        </w:rPr>
      </w:pPr>
      <w:r w:rsidRPr="003C7455">
        <w:rPr>
          <w:rFonts w:cs="Arial"/>
          <w:b/>
          <w:sz w:val="20"/>
          <w:szCs w:val="22"/>
        </w:rPr>
        <w:t>Table K.</w:t>
      </w:r>
      <w:r w:rsidR="00B97BEC">
        <w:rPr>
          <w:rFonts w:cs="Arial"/>
          <w:b/>
          <w:sz w:val="20"/>
          <w:szCs w:val="22"/>
        </w:rPr>
        <w:t>3</w:t>
      </w:r>
      <w:r w:rsidRPr="003C7455">
        <w:rPr>
          <w:rFonts w:cs="Arial"/>
          <w:sz w:val="20"/>
          <w:szCs w:val="22"/>
        </w:rPr>
        <w:t xml:space="preserve"> s</w:t>
      </w:r>
      <w:r>
        <w:rPr>
          <w:rFonts w:cs="Arial"/>
          <w:sz w:val="20"/>
          <w:szCs w:val="22"/>
        </w:rPr>
        <w:t xml:space="preserve">hows that </w:t>
      </w:r>
      <w:r w:rsidRPr="003C7455">
        <w:rPr>
          <w:rFonts w:cs="Arial"/>
          <w:sz w:val="20"/>
          <w:szCs w:val="22"/>
        </w:rPr>
        <w:t>there is a reasonable similarity in actual proportions identified as</w:t>
      </w:r>
      <w:r>
        <w:rPr>
          <w:rFonts w:cs="Arial"/>
          <w:sz w:val="20"/>
          <w:szCs w:val="22"/>
        </w:rPr>
        <w:t xml:space="preserve"> ‘income poor’ or ‘in hardship’.</w:t>
      </w:r>
    </w:p>
    <w:p w:rsidR="00EE3232" w:rsidRDefault="00EE3232" w:rsidP="00EE3232">
      <w:pPr>
        <w:jc w:val="both"/>
        <w:rPr>
          <w:rFonts w:cs="Arial"/>
          <w:sz w:val="20"/>
          <w:szCs w:val="22"/>
        </w:rPr>
      </w:pPr>
    </w:p>
    <w:p w:rsidR="00EE3232" w:rsidRPr="006E41BF" w:rsidRDefault="00EE3232" w:rsidP="00EE3232">
      <w:pPr>
        <w:ind w:right="29"/>
        <w:jc w:val="both"/>
        <w:rPr>
          <w:rFonts w:cs="Arial"/>
          <w:sz w:val="20"/>
          <w:szCs w:val="22"/>
        </w:rPr>
      </w:pPr>
      <w:r>
        <w:rPr>
          <w:rFonts w:cs="Arial"/>
          <w:sz w:val="20"/>
          <w:szCs w:val="22"/>
        </w:rPr>
        <w:t>It is important to note however that while the subgroup relativities are very similar, there is only about a 50% overlap between those identified as poor / in hardship on the two measures.</w:t>
      </w:r>
      <w:r w:rsidRPr="006E41BF">
        <w:rPr>
          <w:rStyle w:val="FootnoteReference"/>
          <w:rFonts w:cs="Arial"/>
          <w:sz w:val="20"/>
          <w:szCs w:val="22"/>
        </w:rPr>
        <w:footnoteReference w:id="99"/>
      </w:r>
      <w:r w:rsidRPr="006E41BF">
        <w:rPr>
          <w:rFonts w:cs="Arial"/>
          <w:sz w:val="20"/>
          <w:szCs w:val="22"/>
        </w:rPr>
        <w:t xml:space="preserve">  Th</w:t>
      </w:r>
      <w:r>
        <w:rPr>
          <w:rFonts w:cs="Arial"/>
          <w:sz w:val="20"/>
          <w:szCs w:val="22"/>
        </w:rPr>
        <w:t>e relatively limited overlap</w:t>
      </w:r>
      <w:r w:rsidRPr="006E41BF">
        <w:rPr>
          <w:rFonts w:cs="Arial"/>
          <w:sz w:val="20"/>
          <w:szCs w:val="22"/>
        </w:rPr>
        <w:t xml:space="preserve"> is hardly surprising given that day-to-day living standards are determined by much more than current income (see Figure A.1 in the Introduction).</w:t>
      </w:r>
    </w:p>
    <w:p w:rsidR="00EE3232" w:rsidRPr="003C7455" w:rsidRDefault="00EE3232" w:rsidP="00EE3232">
      <w:pPr>
        <w:jc w:val="both"/>
        <w:rPr>
          <w:rFonts w:cs="Arial"/>
          <w:sz w:val="20"/>
          <w:szCs w:val="22"/>
        </w:rPr>
      </w:pPr>
    </w:p>
    <w:p w:rsidR="00EE3232" w:rsidRPr="003C7455" w:rsidRDefault="00EE3232" w:rsidP="00EE3232">
      <w:pPr>
        <w:jc w:val="center"/>
        <w:rPr>
          <w:rFonts w:cs="Arial"/>
          <w:b/>
          <w:sz w:val="18"/>
        </w:rPr>
      </w:pPr>
      <w:r w:rsidRPr="003C7455">
        <w:rPr>
          <w:rFonts w:cs="Arial"/>
          <w:b/>
          <w:sz w:val="18"/>
        </w:rPr>
        <w:t>Table K.</w:t>
      </w:r>
      <w:r w:rsidR="00B97BEC">
        <w:rPr>
          <w:rFonts w:cs="Arial"/>
          <w:b/>
          <w:sz w:val="18"/>
        </w:rPr>
        <w:t>3</w:t>
      </w:r>
    </w:p>
    <w:p w:rsidR="00EE3232" w:rsidRPr="003C7455" w:rsidRDefault="00EE3232" w:rsidP="00EE3232">
      <w:pPr>
        <w:jc w:val="center"/>
        <w:rPr>
          <w:rFonts w:cs="Arial"/>
          <w:b/>
          <w:sz w:val="18"/>
        </w:rPr>
      </w:pPr>
      <w:r w:rsidRPr="003C7455">
        <w:rPr>
          <w:rFonts w:cs="Arial"/>
          <w:b/>
          <w:sz w:val="18"/>
        </w:rPr>
        <w:t xml:space="preserve">Comparison of hardship rates based on income and </w:t>
      </w:r>
      <w:r>
        <w:rPr>
          <w:rFonts w:cs="Arial"/>
          <w:b/>
          <w:sz w:val="18"/>
        </w:rPr>
        <w:t>non-income</w:t>
      </w:r>
      <w:r w:rsidRPr="003C7455">
        <w:rPr>
          <w:rFonts w:cs="Arial"/>
          <w:b/>
          <w:sz w:val="18"/>
        </w:rPr>
        <w:t xml:space="preserve"> measures,</w:t>
      </w:r>
    </w:p>
    <w:p w:rsidR="00EE3232" w:rsidRDefault="00EE3232" w:rsidP="00912B30">
      <w:pPr>
        <w:spacing w:after="120"/>
        <w:jc w:val="center"/>
        <w:rPr>
          <w:rFonts w:cs="Arial"/>
          <w:b/>
          <w:sz w:val="20"/>
          <w:szCs w:val="22"/>
        </w:rPr>
      </w:pPr>
      <w:r w:rsidRPr="003C7455">
        <w:rPr>
          <w:rFonts w:cs="Arial"/>
          <w:b/>
          <w:sz w:val="18"/>
        </w:rPr>
        <w:t>by selected individual and household/family characteristics (</w:t>
      </w:r>
      <w:r>
        <w:rPr>
          <w:rFonts w:cs="Arial"/>
          <w:b/>
          <w:sz w:val="18"/>
        </w:rPr>
        <w:t>20</w:t>
      </w:r>
      <w:r w:rsidR="003B2F8F">
        <w:rPr>
          <w:rFonts w:cs="Arial"/>
          <w:b/>
          <w:sz w:val="18"/>
        </w:rPr>
        <w:t>11</w:t>
      </w:r>
      <w:r>
        <w:rPr>
          <w:rFonts w:cs="Arial"/>
          <w:b/>
          <w:sz w:val="18"/>
        </w:rPr>
        <w:t xml:space="preserve"> HES</w:t>
      </w:r>
      <w:r w:rsidRPr="003C7455">
        <w:rPr>
          <w:rFonts w:cs="Arial"/>
          <w:b/>
          <w:sz w:val="18"/>
        </w:rPr>
        <w:t>)</w:t>
      </w:r>
    </w:p>
    <w:tbl>
      <w:tblPr>
        <w:tblStyle w:val="TableGrid"/>
        <w:tblW w:w="0" w:type="auto"/>
        <w:jc w:val="center"/>
        <w:tblInd w:w="255" w:type="dxa"/>
        <w:tblLook w:val="01E0"/>
      </w:tblPr>
      <w:tblGrid>
        <w:gridCol w:w="1646"/>
        <w:gridCol w:w="1507"/>
        <w:gridCol w:w="1035"/>
        <w:gridCol w:w="1119"/>
      </w:tblGrid>
      <w:tr w:rsidR="00DD24E2" w:rsidRPr="000521A1">
        <w:trPr>
          <w:jc w:val="center"/>
        </w:trPr>
        <w:tc>
          <w:tcPr>
            <w:tcW w:w="1646" w:type="dxa"/>
            <w:vAlign w:val="center"/>
          </w:tcPr>
          <w:p w:rsidR="00DD24E2" w:rsidRPr="000521A1" w:rsidRDefault="00DD24E2" w:rsidP="003D4A44">
            <w:pPr>
              <w:spacing w:before="60" w:after="60"/>
              <w:jc w:val="center"/>
              <w:rPr>
                <w:rFonts w:cs="Arial"/>
                <w:sz w:val="14"/>
                <w:szCs w:val="16"/>
              </w:rPr>
            </w:pPr>
          </w:p>
        </w:tc>
        <w:tc>
          <w:tcPr>
            <w:tcW w:w="1507" w:type="dxa"/>
            <w:vAlign w:val="center"/>
          </w:tcPr>
          <w:p w:rsidR="00DD24E2" w:rsidRPr="000521A1" w:rsidRDefault="00DD24E2" w:rsidP="003D4A44">
            <w:pPr>
              <w:spacing w:before="60" w:after="60"/>
              <w:jc w:val="center"/>
              <w:rPr>
                <w:rFonts w:cs="Arial"/>
                <w:b/>
                <w:sz w:val="14"/>
                <w:szCs w:val="16"/>
              </w:rPr>
            </w:pPr>
            <w:r w:rsidRPr="000521A1">
              <w:rPr>
                <w:rFonts w:cs="Arial"/>
                <w:b/>
                <w:sz w:val="14"/>
                <w:szCs w:val="16"/>
              </w:rPr>
              <w:t xml:space="preserve">Income </w:t>
            </w:r>
            <w:smartTag w:uri="urn:schemas-microsoft-com:office:smarttags" w:element="stockticker">
              <w:r w:rsidRPr="000521A1">
                <w:rPr>
                  <w:rFonts w:cs="Arial"/>
                  <w:b/>
                  <w:sz w:val="14"/>
                  <w:szCs w:val="16"/>
                </w:rPr>
                <w:t>AHC</w:t>
              </w:r>
            </w:smartTag>
            <w:r w:rsidRPr="000521A1">
              <w:rPr>
                <w:rFonts w:cs="Arial"/>
                <w:b/>
                <w:sz w:val="14"/>
                <w:szCs w:val="16"/>
              </w:rPr>
              <w:t xml:space="preserve"> CV 60</w:t>
            </w:r>
          </w:p>
        </w:tc>
        <w:tc>
          <w:tcPr>
            <w:tcW w:w="1035" w:type="dxa"/>
            <w:vAlign w:val="center"/>
          </w:tcPr>
          <w:p w:rsidR="00DD24E2" w:rsidRPr="000521A1" w:rsidRDefault="00DD24E2" w:rsidP="003D4A44">
            <w:pPr>
              <w:spacing w:before="60" w:after="60"/>
              <w:jc w:val="center"/>
              <w:rPr>
                <w:rFonts w:cs="Arial"/>
                <w:b/>
                <w:sz w:val="14"/>
                <w:szCs w:val="16"/>
              </w:rPr>
            </w:pPr>
            <w:r w:rsidRPr="000521A1">
              <w:rPr>
                <w:rFonts w:cs="Arial"/>
                <w:b/>
                <w:sz w:val="14"/>
                <w:szCs w:val="16"/>
              </w:rPr>
              <w:t>ELSI</w:t>
            </w:r>
          </w:p>
        </w:tc>
        <w:tc>
          <w:tcPr>
            <w:tcW w:w="1119" w:type="dxa"/>
          </w:tcPr>
          <w:p w:rsidR="00DD24E2" w:rsidRPr="000521A1" w:rsidRDefault="00DD24E2" w:rsidP="003D4A44">
            <w:pPr>
              <w:spacing w:before="60" w:after="60"/>
              <w:jc w:val="center"/>
              <w:rPr>
                <w:rFonts w:cs="Arial"/>
                <w:b/>
                <w:sz w:val="14"/>
                <w:szCs w:val="16"/>
              </w:rPr>
            </w:pPr>
            <w:r>
              <w:rPr>
                <w:rFonts w:cs="Arial"/>
                <w:b/>
                <w:sz w:val="14"/>
                <w:szCs w:val="16"/>
              </w:rPr>
              <w:t>FRILS</w:t>
            </w:r>
          </w:p>
        </w:tc>
      </w:tr>
      <w:tr w:rsidR="00DD24E2" w:rsidRPr="000521A1">
        <w:trPr>
          <w:trHeight w:val="215"/>
          <w:jc w:val="center"/>
        </w:trPr>
        <w:tc>
          <w:tcPr>
            <w:tcW w:w="1646" w:type="dxa"/>
            <w:vAlign w:val="center"/>
          </w:tcPr>
          <w:p w:rsidR="00DD24E2" w:rsidRPr="000521A1" w:rsidRDefault="00DD24E2" w:rsidP="003D4A44">
            <w:pPr>
              <w:spacing w:before="40" w:after="40"/>
              <w:rPr>
                <w:rFonts w:cs="Arial"/>
                <w:b/>
                <w:i/>
                <w:sz w:val="14"/>
                <w:szCs w:val="16"/>
              </w:rPr>
            </w:pPr>
            <w:r w:rsidRPr="000521A1">
              <w:rPr>
                <w:rFonts w:cs="Arial"/>
                <w:b/>
                <w:i/>
                <w:sz w:val="14"/>
                <w:szCs w:val="16"/>
              </w:rPr>
              <w:t>Age group</w:t>
            </w:r>
          </w:p>
        </w:tc>
        <w:tc>
          <w:tcPr>
            <w:tcW w:w="1507" w:type="dxa"/>
            <w:vAlign w:val="center"/>
          </w:tcPr>
          <w:p w:rsidR="00DD24E2" w:rsidRPr="000521A1" w:rsidRDefault="00DD24E2" w:rsidP="003D4A44">
            <w:pPr>
              <w:spacing w:before="40" w:after="40"/>
              <w:rPr>
                <w:rFonts w:cs="Arial"/>
                <w:b/>
                <w:i/>
                <w:sz w:val="14"/>
                <w:szCs w:val="16"/>
              </w:rPr>
            </w:pPr>
          </w:p>
        </w:tc>
        <w:tc>
          <w:tcPr>
            <w:tcW w:w="1035" w:type="dxa"/>
            <w:vAlign w:val="center"/>
          </w:tcPr>
          <w:p w:rsidR="00DD24E2" w:rsidRPr="000521A1" w:rsidRDefault="00DD24E2" w:rsidP="003D4A44">
            <w:pPr>
              <w:spacing w:before="40" w:after="40"/>
              <w:rPr>
                <w:rFonts w:cs="Arial"/>
                <w:b/>
                <w:i/>
                <w:sz w:val="14"/>
                <w:szCs w:val="16"/>
              </w:rPr>
            </w:pPr>
          </w:p>
        </w:tc>
        <w:tc>
          <w:tcPr>
            <w:tcW w:w="1119" w:type="dxa"/>
          </w:tcPr>
          <w:p w:rsidR="00DD24E2" w:rsidRPr="000521A1" w:rsidRDefault="00DD24E2" w:rsidP="003D4A44">
            <w:pPr>
              <w:spacing w:before="40" w:after="40"/>
              <w:rPr>
                <w:rFonts w:cs="Arial"/>
                <w:b/>
                <w:i/>
                <w:sz w:val="14"/>
                <w:szCs w:val="16"/>
              </w:rPr>
            </w:pP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0-17</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21</w:t>
            </w:r>
          </w:p>
        </w:tc>
        <w:tc>
          <w:tcPr>
            <w:tcW w:w="1035" w:type="dxa"/>
            <w:vAlign w:val="center"/>
          </w:tcPr>
          <w:p w:rsidR="00DD24E2" w:rsidRPr="000521A1" w:rsidRDefault="00DD24E2" w:rsidP="003D4A44">
            <w:pPr>
              <w:spacing w:before="40" w:after="40"/>
              <w:jc w:val="center"/>
              <w:rPr>
                <w:rFonts w:cs="Arial"/>
                <w:sz w:val="14"/>
                <w:szCs w:val="16"/>
              </w:rPr>
            </w:pPr>
            <w:r>
              <w:rPr>
                <w:rFonts w:cs="Arial"/>
                <w:sz w:val="14"/>
                <w:szCs w:val="16"/>
              </w:rPr>
              <w:t>2</w:t>
            </w:r>
            <w:r w:rsidR="00F16B61">
              <w:rPr>
                <w:rFonts w:cs="Arial"/>
                <w:sz w:val="14"/>
                <w:szCs w:val="16"/>
              </w:rPr>
              <w:t>1</w:t>
            </w:r>
          </w:p>
        </w:tc>
        <w:tc>
          <w:tcPr>
            <w:tcW w:w="1119" w:type="dxa"/>
          </w:tcPr>
          <w:p w:rsidR="00DD24E2" w:rsidRDefault="00DD24E2" w:rsidP="003D4A44">
            <w:pPr>
              <w:spacing w:before="40" w:after="40"/>
              <w:jc w:val="center"/>
              <w:rPr>
                <w:rFonts w:cs="Arial"/>
                <w:sz w:val="14"/>
                <w:szCs w:val="16"/>
              </w:rPr>
            </w:pPr>
            <w:r>
              <w:rPr>
                <w:rFonts w:cs="Arial"/>
                <w:sz w:val="14"/>
                <w:szCs w:val="16"/>
              </w:rPr>
              <w:t>22</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18-24</w:t>
            </w:r>
          </w:p>
        </w:tc>
        <w:tc>
          <w:tcPr>
            <w:tcW w:w="1507" w:type="dxa"/>
            <w:vAlign w:val="center"/>
          </w:tcPr>
          <w:p w:rsidR="00DD24E2" w:rsidRPr="000521A1" w:rsidRDefault="00DD24E2" w:rsidP="003D4A44">
            <w:pPr>
              <w:spacing w:before="40" w:after="40"/>
              <w:jc w:val="center"/>
              <w:rPr>
                <w:rFonts w:cs="Arial"/>
                <w:sz w:val="14"/>
                <w:szCs w:val="16"/>
              </w:rPr>
            </w:pPr>
            <w:r>
              <w:rPr>
                <w:rFonts w:cs="Arial"/>
                <w:sz w:val="14"/>
                <w:szCs w:val="16"/>
              </w:rPr>
              <w:t>21</w:t>
            </w:r>
          </w:p>
        </w:tc>
        <w:tc>
          <w:tcPr>
            <w:tcW w:w="1035" w:type="dxa"/>
            <w:vAlign w:val="center"/>
          </w:tcPr>
          <w:p w:rsidR="00DD24E2" w:rsidRPr="000521A1" w:rsidRDefault="00F16B61" w:rsidP="003D4A44">
            <w:pPr>
              <w:spacing w:before="40" w:after="40"/>
              <w:jc w:val="center"/>
              <w:rPr>
                <w:rFonts w:cs="Arial"/>
                <w:sz w:val="14"/>
                <w:szCs w:val="16"/>
              </w:rPr>
            </w:pPr>
            <w:r>
              <w:rPr>
                <w:rFonts w:cs="Arial"/>
                <w:sz w:val="14"/>
                <w:szCs w:val="16"/>
              </w:rPr>
              <w:t>17</w:t>
            </w:r>
          </w:p>
        </w:tc>
        <w:tc>
          <w:tcPr>
            <w:tcW w:w="1119" w:type="dxa"/>
          </w:tcPr>
          <w:p w:rsidR="00DD24E2" w:rsidRDefault="00DD24E2" w:rsidP="003D4A44">
            <w:pPr>
              <w:spacing w:before="40" w:after="40"/>
              <w:jc w:val="center"/>
              <w:rPr>
                <w:rFonts w:cs="Arial"/>
                <w:sz w:val="14"/>
                <w:szCs w:val="16"/>
              </w:rPr>
            </w:pPr>
            <w:r>
              <w:rPr>
                <w:rFonts w:cs="Arial"/>
                <w:sz w:val="14"/>
                <w:szCs w:val="16"/>
              </w:rPr>
              <w:t>20</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25-44</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15</w:t>
            </w:r>
          </w:p>
        </w:tc>
        <w:tc>
          <w:tcPr>
            <w:tcW w:w="1035" w:type="dxa"/>
            <w:vAlign w:val="center"/>
          </w:tcPr>
          <w:p w:rsidR="00DD24E2" w:rsidRPr="000521A1" w:rsidRDefault="00DD24E2" w:rsidP="003D4A44">
            <w:pPr>
              <w:spacing w:before="40" w:after="40"/>
              <w:jc w:val="center"/>
              <w:rPr>
                <w:rFonts w:cs="Arial"/>
                <w:sz w:val="14"/>
                <w:szCs w:val="16"/>
              </w:rPr>
            </w:pPr>
            <w:r>
              <w:rPr>
                <w:rFonts w:cs="Arial"/>
                <w:sz w:val="14"/>
                <w:szCs w:val="16"/>
              </w:rPr>
              <w:t>1</w:t>
            </w:r>
            <w:r w:rsidR="00F16B61">
              <w:rPr>
                <w:rFonts w:cs="Arial"/>
                <w:sz w:val="14"/>
                <w:szCs w:val="16"/>
              </w:rPr>
              <w:t>3</w:t>
            </w:r>
          </w:p>
        </w:tc>
        <w:tc>
          <w:tcPr>
            <w:tcW w:w="1119" w:type="dxa"/>
          </w:tcPr>
          <w:p w:rsidR="00DD24E2" w:rsidRDefault="00DD24E2" w:rsidP="003D4A44">
            <w:pPr>
              <w:spacing w:before="40" w:after="40"/>
              <w:jc w:val="center"/>
              <w:rPr>
                <w:rFonts w:cs="Arial"/>
                <w:sz w:val="14"/>
                <w:szCs w:val="16"/>
              </w:rPr>
            </w:pPr>
            <w:r>
              <w:rPr>
                <w:rFonts w:cs="Arial"/>
                <w:sz w:val="14"/>
                <w:szCs w:val="16"/>
              </w:rPr>
              <w:t>16</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45-64</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Pr>
                <w:rFonts w:cs="Arial"/>
                <w:sz w:val="14"/>
                <w:szCs w:val="16"/>
              </w:rPr>
              <w:t>4</w:t>
            </w:r>
          </w:p>
        </w:tc>
        <w:tc>
          <w:tcPr>
            <w:tcW w:w="1035" w:type="dxa"/>
            <w:vAlign w:val="center"/>
          </w:tcPr>
          <w:p w:rsidR="00DD24E2" w:rsidRPr="000521A1" w:rsidRDefault="00F16B61" w:rsidP="003D4A44">
            <w:pPr>
              <w:spacing w:before="40" w:after="40"/>
              <w:jc w:val="center"/>
              <w:rPr>
                <w:rFonts w:cs="Arial"/>
                <w:sz w:val="14"/>
                <w:szCs w:val="16"/>
              </w:rPr>
            </w:pPr>
            <w:r>
              <w:rPr>
                <w:rFonts w:cs="Arial"/>
                <w:sz w:val="14"/>
                <w:szCs w:val="16"/>
              </w:rPr>
              <w:t>8</w:t>
            </w:r>
          </w:p>
        </w:tc>
        <w:tc>
          <w:tcPr>
            <w:tcW w:w="1119" w:type="dxa"/>
          </w:tcPr>
          <w:p w:rsidR="00DD24E2" w:rsidRDefault="00DD24E2" w:rsidP="003D4A44">
            <w:pPr>
              <w:spacing w:before="40" w:after="40"/>
              <w:jc w:val="center"/>
              <w:rPr>
                <w:rFonts w:cs="Arial"/>
                <w:sz w:val="14"/>
                <w:szCs w:val="16"/>
              </w:rPr>
            </w:pPr>
            <w:r>
              <w:rPr>
                <w:rFonts w:cs="Arial"/>
                <w:sz w:val="14"/>
                <w:szCs w:val="16"/>
              </w:rPr>
              <w:t>10</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65+</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7</w:t>
            </w:r>
          </w:p>
        </w:tc>
        <w:tc>
          <w:tcPr>
            <w:tcW w:w="1035" w:type="dxa"/>
            <w:vAlign w:val="center"/>
          </w:tcPr>
          <w:p w:rsidR="00DD24E2" w:rsidRPr="000521A1" w:rsidRDefault="00F16B61" w:rsidP="003D4A44">
            <w:pPr>
              <w:spacing w:before="40" w:after="40"/>
              <w:jc w:val="center"/>
              <w:rPr>
                <w:rFonts w:cs="Arial"/>
                <w:sz w:val="14"/>
                <w:szCs w:val="16"/>
              </w:rPr>
            </w:pPr>
            <w:r>
              <w:rPr>
                <w:rFonts w:cs="Arial"/>
                <w:sz w:val="14"/>
                <w:szCs w:val="16"/>
              </w:rPr>
              <w:t>3</w:t>
            </w:r>
          </w:p>
        </w:tc>
        <w:tc>
          <w:tcPr>
            <w:tcW w:w="1119" w:type="dxa"/>
          </w:tcPr>
          <w:p w:rsidR="00DD24E2" w:rsidRDefault="00DD24E2" w:rsidP="003D4A44">
            <w:pPr>
              <w:spacing w:before="40" w:after="40"/>
              <w:jc w:val="center"/>
              <w:rPr>
                <w:rFonts w:cs="Arial"/>
                <w:sz w:val="14"/>
                <w:szCs w:val="16"/>
              </w:rPr>
            </w:pPr>
            <w:r>
              <w:rPr>
                <w:rFonts w:cs="Arial"/>
                <w:sz w:val="14"/>
                <w:szCs w:val="16"/>
              </w:rPr>
              <w:t>7</w:t>
            </w:r>
          </w:p>
        </w:tc>
      </w:tr>
      <w:tr w:rsidR="00A14629" w:rsidRPr="000521A1">
        <w:trPr>
          <w:jc w:val="center"/>
        </w:trPr>
        <w:tc>
          <w:tcPr>
            <w:tcW w:w="5307" w:type="dxa"/>
            <w:gridSpan w:val="4"/>
            <w:vAlign w:val="center"/>
          </w:tcPr>
          <w:p w:rsidR="00A14629" w:rsidRDefault="00A14629" w:rsidP="00A14629">
            <w:pPr>
              <w:spacing w:before="40" w:after="40"/>
              <w:jc w:val="both"/>
              <w:rPr>
                <w:rFonts w:cs="Arial"/>
                <w:sz w:val="14"/>
                <w:szCs w:val="16"/>
              </w:rPr>
            </w:pPr>
            <w:r w:rsidRPr="000521A1">
              <w:rPr>
                <w:rFonts w:cs="Arial"/>
                <w:b/>
                <w:i/>
                <w:sz w:val="14"/>
                <w:szCs w:val="16"/>
              </w:rPr>
              <w:t>Ethnicity</w:t>
            </w:r>
            <w:r>
              <w:rPr>
                <w:rFonts w:cs="Arial"/>
                <w:b/>
                <w:i/>
                <w:sz w:val="14"/>
                <w:szCs w:val="16"/>
              </w:rPr>
              <w:t xml:space="preserve"> (aged 15+, avg over HES 2009, 2010 and 2011)</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European</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Pr>
                <w:rFonts w:cs="Arial"/>
                <w:sz w:val="14"/>
                <w:szCs w:val="16"/>
              </w:rPr>
              <w:t>0</w:t>
            </w:r>
          </w:p>
        </w:tc>
        <w:tc>
          <w:tcPr>
            <w:tcW w:w="1035"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sidR="00F16B61">
              <w:rPr>
                <w:rFonts w:cs="Arial"/>
                <w:sz w:val="14"/>
                <w:szCs w:val="16"/>
              </w:rPr>
              <w:t>0</w:t>
            </w:r>
            <w:r>
              <w:rPr>
                <w:rFonts w:cs="Arial"/>
                <w:sz w:val="14"/>
                <w:szCs w:val="16"/>
              </w:rPr>
              <w:t xml:space="preserve"> </w:t>
            </w:r>
          </w:p>
        </w:tc>
        <w:tc>
          <w:tcPr>
            <w:tcW w:w="1119" w:type="dxa"/>
          </w:tcPr>
          <w:p w:rsidR="00DD24E2" w:rsidRPr="000521A1" w:rsidRDefault="00DD24E2" w:rsidP="003D4A44">
            <w:pPr>
              <w:spacing w:before="40" w:after="40"/>
              <w:jc w:val="center"/>
              <w:rPr>
                <w:rFonts w:cs="Arial"/>
                <w:sz w:val="14"/>
                <w:szCs w:val="16"/>
              </w:rPr>
            </w:pPr>
            <w:r>
              <w:rPr>
                <w:rFonts w:cs="Arial"/>
                <w:sz w:val="14"/>
                <w:szCs w:val="16"/>
              </w:rPr>
              <w:t>11</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Māori</w:t>
            </w:r>
            <w:r>
              <w:rPr>
                <w:rFonts w:cs="Arial"/>
                <w:sz w:val="14"/>
                <w:szCs w:val="16"/>
              </w:rPr>
              <w:t>/Pacific</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2</w:t>
            </w:r>
            <w:r>
              <w:rPr>
                <w:rFonts w:cs="Arial"/>
                <w:sz w:val="14"/>
                <w:szCs w:val="16"/>
              </w:rPr>
              <w:t>0</w:t>
            </w:r>
          </w:p>
        </w:tc>
        <w:tc>
          <w:tcPr>
            <w:tcW w:w="1035" w:type="dxa"/>
            <w:vAlign w:val="center"/>
          </w:tcPr>
          <w:p w:rsidR="00DD24E2" w:rsidRPr="000521A1" w:rsidRDefault="00F16B61" w:rsidP="003D4A44">
            <w:pPr>
              <w:spacing w:before="40" w:after="40"/>
              <w:jc w:val="center"/>
              <w:rPr>
                <w:rFonts w:cs="Arial"/>
                <w:sz w:val="14"/>
                <w:szCs w:val="16"/>
              </w:rPr>
            </w:pPr>
            <w:r>
              <w:rPr>
                <w:rFonts w:cs="Arial"/>
                <w:sz w:val="14"/>
                <w:szCs w:val="16"/>
              </w:rPr>
              <w:t>28</w:t>
            </w:r>
          </w:p>
        </w:tc>
        <w:tc>
          <w:tcPr>
            <w:tcW w:w="1119" w:type="dxa"/>
          </w:tcPr>
          <w:p w:rsidR="00DD24E2" w:rsidRDefault="00DD24E2" w:rsidP="003D4A44">
            <w:pPr>
              <w:spacing w:before="40" w:after="40"/>
              <w:jc w:val="center"/>
              <w:rPr>
                <w:rFonts w:cs="Arial"/>
                <w:sz w:val="14"/>
                <w:szCs w:val="16"/>
              </w:rPr>
            </w:pPr>
            <w:r>
              <w:rPr>
                <w:rFonts w:cs="Arial"/>
                <w:sz w:val="14"/>
                <w:szCs w:val="16"/>
              </w:rPr>
              <w:t>31</w:t>
            </w:r>
          </w:p>
        </w:tc>
      </w:tr>
      <w:tr w:rsidR="00DD24E2" w:rsidRPr="000521A1">
        <w:trPr>
          <w:jc w:val="center"/>
        </w:trPr>
        <w:tc>
          <w:tcPr>
            <w:tcW w:w="1646" w:type="dxa"/>
            <w:vAlign w:val="center"/>
          </w:tcPr>
          <w:p w:rsidR="00DD24E2" w:rsidRPr="000521A1" w:rsidRDefault="00DD24E2" w:rsidP="003D4A44">
            <w:pPr>
              <w:spacing w:before="40" w:after="40"/>
              <w:rPr>
                <w:rFonts w:cs="Arial"/>
                <w:b/>
                <w:i/>
                <w:sz w:val="14"/>
                <w:szCs w:val="16"/>
              </w:rPr>
            </w:pPr>
            <w:r w:rsidRPr="000521A1">
              <w:rPr>
                <w:rFonts w:cs="Arial"/>
                <w:b/>
                <w:i/>
                <w:sz w:val="14"/>
                <w:szCs w:val="16"/>
              </w:rPr>
              <w:t>Family type</w:t>
            </w:r>
          </w:p>
        </w:tc>
        <w:tc>
          <w:tcPr>
            <w:tcW w:w="1507" w:type="dxa"/>
            <w:vAlign w:val="center"/>
          </w:tcPr>
          <w:p w:rsidR="00DD24E2" w:rsidRPr="000521A1" w:rsidRDefault="00DD24E2" w:rsidP="003D4A44">
            <w:pPr>
              <w:spacing w:before="40" w:after="40"/>
              <w:rPr>
                <w:rFonts w:cs="Arial"/>
                <w:b/>
                <w:i/>
                <w:sz w:val="14"/>
                <w:szCs w:val="16"/>
              </w:rPr>
            </w:pPr>
          </w:p>
        </w:tc>
        <w:tc>
          <w:tcPr>
            <w:tcW w:w="1035" w:type="dxa"/>
            <w:vAlign w:val="center"/>
          </w:tcPr>
          <w:p w:rsidR="00DD24E2" w:rsidRPr="000521A1" w:rsidRDefault="00DD24E2" w:rsidP="003D4A44">
            <w:pPr>
              <w:spacing w:before="40" w:after="40"/>
              <w:rPr>
                <w:rFonts w:cs="Arial"/>
                <w:b/>
                <w:i/>
                <w:sz w:val="14"/>
                <w:szCs w:val="16"/>
              </w:rPr>
            </w:pPr>
          </w:p>
        </w:tc>
        <w:tc>
          <w:tcPr>
            <w:tcW w:w="1119" w:type="dxa"/>
          </w:tcPr>
          <w:p w:rsidR="00DD24E2" w:rsidRPr="000521A1" w:rsidRDefault="00DD24E2" w:rsidP="003D4A44">
            <w:pPr>
              <w:spacing w:before="40" w:after="40"/>
              <w:rPr>
                <w:rFonts w:cs="Arial"/>
                <w:b/>
                <w:i/>
                <w:sz w:val="14"/>
                <w:szCs w:val="16"/>
              </w:rPr>
            </w:pP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 xml:space="preserve">SP </w:t>
            </w:r>
          </w:p>
        </w:tc>
        <w:tc>
          <w:tcPr>
            <w:tcW w:w="1507" w:type="dxa"/>
            <w:vAlign w:val="center"/>
          </w:tcPr>
          <w:p w:rsidR="00DD24E2" w:rsidRPr="000521A1" w:rsidRDefault="00DD24E2" w:rsidP="003D4A44">
            <w:pPr>
              <w:spacing w:before="40" w:after="40"/>
              <w:jc w:val="center"/>
              <w:rPr>
                <w:rFonts w:cs="Arial"/>
                <w:sz w:val="14"/>
                <w:szCs w:val="16"/>
              </w:rPr>
            </w:pPr>
            <w:r>
              <w:rPr>
                <w:rFonts w:cs="Arial"/>
                <w:sz w:val="14"/>
                <w:szCs w:val="16"/>
              </w:rPr>
              <w:t>52</w:t>
            </w:r>
          </w:p>
        </w:tc>
        <w:tc>
          <w:tcPr>
            <w:tcW w:w="1035" w:type="dxa"/>
            <w:vAlign w:val="center"/>
          </w:tcPr>
          <w:p w:rsidR="00DD24E2" w:rsidRPr="000521A1" w:rsidRDefault="00F16B61" w:rsidP="003D4A44">
            <w:pPr>
              <w:spacing w:before="40" w:after="40"/>
              <w:jc w:val="center"/>
              <w:rPr>
                <w:rFonts w:cs="Arial"/>
                <w:sz w:val="14"/>
                <w:szCs w:val="16"/>
              </w:rPr>
            </w:pPr>
            <w:r>
              <w:rPr>
                <w:rFonts w:cs="Arial"/>
                <w:sz w:val="14"/>
                <w:szCs w:val="16"/>
              </w:rPr>
              <w:t>36</w:t>
            </w:r>
          </w:p>
        </w:tc>
        <w:tc>
          <w:tcPr>
            <w:tcW w:w="1119" w:type="dxa"/>
          </w:tcPr>
          <w:p w:rsidR="00DD24E2" w:rsidRDefault="00DD24E2" w:rsidP="003D4A44">
            <w:pPr>
              <w:spacing w:before="40" w:after="40"/>
              <w:jc w:val="center"/>
              <w:rPr>
                <w:rFonts w:cs="Arial"/>
                <w:sz w:val="14"/>
                <w:szCs w:val="16"/>
              </w:rPr>
            </w:pPr>
            <w:r>
              <w:rPr>
                <w:rFonts w:cs="Arial"/>
                <w:sz w:val="14"/>
                <w:szCs w:val="16"/>
              </w:rPr>
              <w:t>39</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 xml:space="preserve">2P </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Pr>
                <w:rFonts w:cs="Arial"/>
                <w:sz w:val="14"/>
                <w:szCs w:val="16"/>
              </w:rPr>
              <w:t>3</w:t>
            </w:r>
          </w:p>
        </w:tc>
        <w:tc>
          <w:tcPr>
            <w:tcW w:w="1035" w:type="dxa"/>
            <w:vAlign w:val="center"/>
          </w:tcPr>
          <w:p w:rsidR="00DD24E2" w:rsidRPr="000521A1" w:rsidRDefault="00DD24E2" w:rsidP="003D4A44">
            <w:pPr>
              <w:spacing w:before="40" w:after="40"/>
              <w:jc w:val="center"/>
              <w:rPr>
                <w:rFonts w:cs="Arial"/>
                <w:sz w:val="14"/>
                <w:szCs w:val="16"/>
              </w:rPr>
            </w:pPr>
            <w:r>
              <w:rPr>
                <w:rFonts w:cs="Arial"/>
                <w:sz w:val="14"/>
                <w:szCs w:val="16"/>
              </w:rPr>
              <w:t>1</w:t>
            </w:r>
            <w:r w:rsidR="00F16B61">
              <w:rPr>
                <w:rFonts w:cs="Arial"/>
                <w:sz w:val="14"/>
                <w:szCs w:val="16"/>
              </w:rPr>
              <w:t>3</w:t>
            </w:r>
          </w:p>
        </w:tc>
        <w:tc>
          <w:tcPr>
            <w:tcW w:w="1119" w:type="dxa"/>
          </w:tcPr>
          <w:p w:rsidR="00DD24E2" w:rsidRDefault="00DD24E2" w:rsidP="003D4A44">
            <w:pPr>
              <w:spacing w:before="40" w:after="40"/>
              <w:jc w:val="center"/>
              <w:rPr>
                <w:rFonts w:cs="Arial"/>
                <w:sz w:val="14"/>
                <w:szCs w:val="16"/>
              </w:rPr>
            </w:pPr>
            <w:r>
              <w:rPr>
                <w:rFonts w:cs="Arial"/>
                <w:sz w:val="14"/>
                <w:szCs w:val="16"/>
              </w:rPr>
              <w:t>14</w:t>
            </w:r>
          </w:p>
        </w:tc>
      </w:tr>
      <w:tr w:rsidR="00A14629" w:rsidRPr="000521A1">
        <w:trPr>
          <w:jc w:val="center"/>
        </w:trPr>
        <w:tc>
          <w:tcPr>
            <w:tcW w:w="5307" w:type="dxa"/>
            <w:gridSpan w:val="4"/>
            <w:vAlign w:val="center"/>
          </w:tcPr>
          <w:p w:rsidR="00A14629" w:rsidRDefault="00A14629" w:rsidP="00A14629">
            <w:pPr>
              <w:spacing w:before="40" w:after="40"/>
              <w:jc w:val="both"/>
              <w:rPr>
                <w:rFonts w:cs="Arial"/>
                <w:sz w:val="14"/>
                <w:szCs w:val="16"/>
              </w:rPr>
            </w:pPr>
            <w:r w:rsidRPr="000521A1">
              <w:rPr>
                <w:rFonts w:cs="Arial"/>
                <w:b/>
                <w:i/>
                <w:sz w:val="14"/>
                <w:szCs w:val="16"/>
              </w:rPr>
              <w:t>Number of children</w:t>
            </w:r>
            <w:r>
              <w:rPr>
                <w:rFonts w:cs="Arial"/>
                <w:b/>
                <w:i/>
                <w:sz w:val="14"/>
                <w:szCs w:val="16"/>
              </w:rPr>
              <w:t xml:space="preserve"> (avg over HES 2009, 2010 and 2011)</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One</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17</w:t>
            </w:r>
          </w:p>
        </w:tc>
        <w:tc>
          <w:tcPr>
            <w:tcW w:w="1035"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sidR="00F16B61">
              <w:rPr>
                <w:rFonts w:cs="Arial"/>
                <w:sz w:val="14"/>
                <w:szCs w:val="16"/>
              </w:rPr>
              <w:t>5</w:t>
            </w:r>
          </w:p>
        </w:tc>
        <w:tc>
          <w:tcPr>
            <w:tcW w:w="1119" w:type="dxa"/>
          </w:tcPr>
          <w:p w:rsidR="00DD24E2" w:rsidRPr="000521A1" w:rsidRDefault="00DD24E2" w:rsidP="003D4A44">
            <w:pPr>
              <w:spacing w:before="40" w:after="40"/>
              <w:jc w:val="center"/>
              <w:rPr>
                <w:rFonts w:cs="Arial"/>
                <w:sz w:val="14"/>
                <w:szCs w:val="16"/>
              </w:rPr>
            </w:pPr>
            <w:r>
              <w:rPr>
                <w:rFonts w:cs="Arial"/>
                <w:sz w:val="14"/>
                <w:szCs w:val="16"/>
              </w:rPr>
              <w:t>15</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Two</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Pr>
                <w:rFonts w:cs="Arial"/>
                <w:sz w:val="14"/>
                <w:szCs w:val="16"/>
              </w:rPr>
              <w:t>6</w:t>
            </w:r>
          </w:p>
        </w:tc>
        <w:tc>
          <w:tcPr>
            <w:tcW w:w="1035"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1</w:t>
            </w:r>
            <w:r w:rsidR="00F16B61">
              <w:rPr>
                <w:rFonts w:cs="Arial"/>
                <w:sz w:val="14"/>
                <w:szCs w:val="16"/>
              </w:rPr>
              <w:t>4</w:t>
            </w:r>
          </w:p>
        </w:tc>
        <w:tc>
          <w:tcPr>
            <w:tcW w:w="1119" w:type="dxa"/>
          </w:tcPr>
          <w:p w:rsidR="00DD24E2" w:rsidRPr="000521A1" w:rsidRDefault="00DD24E2" w:rsidP="003D4A44">
            <w:pPr>
              <w:spacing w:before="40" w:after="40"/>
              <w:jc w:val="center"/>
              <w:rPr>
                <w:rFonts w:cs="Arial"/>
                <w:sz w:val="14"/>
                <w:szCs w:val="16"/>
              </w:rPr>
            </w:pPr>
            <w:r>
              <w:rPr>
                <w:rFonts w:cs="Arial"/>
                <w:sz w:val="14"/>
                <w:szCs w:val="16"/>
              </w:rPr>
              <w:t>14</w:t>
            </w:r>
          </w:p>
        </w:tc>
      </w:tr>
      <w:tr w:rsidR="00DD24E2" w:rsidRPr="000521A1">
        <w:trPr>
          <w:jc w:val="center"/>
        </w:trPr>
        <w:tc>
          <w:tcPr>
            <w:tcW w:w="1646" w:type="dxa"/>
            <w:vAlign w:val="center"/>
          </w:tcPr>
          <w:p w:rsidR="00DD24E2" w:rsidRPr="000521A1" w:rsidRDefault="00DD24E2" w:rsidP="003D4A44">
            <w:pPr>
              <w:spacing w:before="40" w:after="40"/>
              <w:ind w:right="-74"/>
              <w:rPr>
                <w:rFonts w:cs="Arial"/>
                <w:sz w:val="14"/>
                <w:szCs w:val="16"/>
              </w:rPr>
            </w:pPr>
            <w:r w:rsidRPr="000521A1">
              <w:rPr>
                <w:rFonts w:cs="Arial"/>
                <w:sz w:val="14"/>
                <w:szCs w:val="16"/>
              </w:rPr>
              <w:t xml:space="preserve">Three+ </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25</w:t>
            </w:r>
          </w:p>
        </w:tc>
        <w:tc>
          <w:tcPr>
            <w:tcW w:w="1035"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2</w:t>
            </w:r>
            <w:r w:rsidR="00F16B61">
              <w:rPr>
                <w:rFonts w:cs="Arial"/>
                <w:sz w:val="14"/>
                <w:szCs w:val="16"/>
              </w:rPr>
              <w:t>6</w:t>
            </w:r>
          </w:p>
        </w:tc>
        <w:tc>
          <w:tcPr>
            <w:tcW w:w="1119" w:type="dxa"/>
          </w:tcPr>
          <w:p w:rsidR="00DD24E2" w:rsidRPr="000521A1" w:rsidRDefault="00DD24E2" w:rsidP="003D4A44">
            <w:pPr>
              <w:spacing w:before="40" w:after="40"/>
              <w:jc w:val="center"/>
              <w:rPr>
                <w:rFonts w:cs="Arial"/>
                <w:sz w:val="14"/>
                <w:szCs w:val="16"/>
              </w:rPr>
            </w:pPr>
            <w:r>
              <w:rPr>
                <w:rFonts w:cs="Arial"/>
                <w:sz w:val="14"/>
                <w:szCs w:val="16"/>
              </w:rPr>
              <w:t>32</w:t>
            </w:r>
          </w:p>
        </w:tc>
      </w:tr>
      <w:tr w:rsidR="00A14629" w:rsidRPr="000521A1">
        <w:trPr>
          <w:jc w:val="center"/>
        </w:trPr>
        <w:tc>
          <w:tcPr>
            <w:tcW w:w="5307" w:type="dxa"/>
            <w:gridSpan w:val="4"/>
            <w:vAlign w:val="center"/>
          </w:tcPr>
          <w:p w:rsidR="00A14629" w:rsidRDefault="00A14629" w:rsidP="00A14629">
            <w:pPr>
              <w:spacing w:before="40" w:after="40"/>
              <w:jc w:val="both"/>
              <w:rPr>
                <w:rFonts w:cs="Arial"/>
                <w:sz w:val="14"/>
                <w:szCs w:val="16"/>
              </w:rPr>
            </w:pPr>
            <w:r w:rsidRPr="000521A1">
              <w:rPr>
                <w:rFonts w:cs="Arial"/>
                <w:b/>
                <w:i/>
                <w:sz w:val="14"/>
                <w:szCs w:val="16"/>
              </w:rPr>
              <w:t>Main source of income for families/households &lt;65</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Market</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9</w:t>
            </w:r>
          </w:p>
        </w:tc>
        <w:tc>
          <w:tcPr>
            <w:tcW w:w="1035" w:type="dxa"/>
            <w:vAlign w:val="center"/>
          </w:tcPr>
          <w:p w:rsidR="00DD24E2" w:rsidRPr="000521A1" w:rsidRDefault="00DD24E2" w:rsidP="003D4A44">
            <w:pPr>
              <w:spacing w:before="40" w:after="40"/>
              <w:jc w:val="center"/>
              <w:rPr>
                <w:rFonts w:cs="Arial"/>
                <w:sz w:val="14"/>
                <w:szCs w:val="16"/>
              </w:rPr>
            </w:pPr>
            <w:r>
              <w:rPr>
                <w:rFonts w:cs="Arial"/>
                <w:sz w:val="14"/>
                <w:szCs w:val="16"/>
              </w:rPr>
              <w:t>1</w:t>
            </w:r>
            <w:r w:rsidR="00F16B61">
              <w:rPr>
                <w:rFonts w:cs="Arial"/>
                <w:sz w:val="14"/>
                <w:szCs w:val="16"/>
              </w:rPr>
              <w:t>0</w:t>
            </w:r>
          </w:p>
        </w:tc>
        <w:tc>
          <w:tcPr>
            <w:tcW w:w="1119" w:type="dxa"/>
          </w:tcPr>
          <w:p w:rsidR="00DD24E2" w:rsidRDefault="00DD24E2" w:rsidP="003D4A44">
            <w:pPr>
              <w:spacing w:before="40" w:after="40"/>
              <w:jc w:val="center"/>
              <w:rPr>
                <w:rFonts w:cs="Arial"/>
                <w:sz w:val="14"/>
                <w:szCs w:val="16"/>
              </w:rPr>
            </w:pPr>
            <w:r>
              <w:rPr>
                <w:rFonts w:cs="Arial"/>
                <w:sz w:val="14"/>
                <w:szCs w:val="16"/>
              </w:rPr>
              <w:t>11</w:t>
            </w:r>
          </w:p>
        </w:tc>
      </w:tr>
      <w:tr w:rsidR="00DD24E2" w:rsidRPr="000521A1">
        <w:trPr>
          <w:jc w:val="center"/>
        </w:trPr>
        <w:tc>
          <w:tcPr>
            <w:tcW w:w="1646" w:type="dxa"/>
            <w:vAlign w:val="center"/>
          </w:tcPr>
          <w:p w:rsidR="00DD24E2" w:rsidRPr="000521A1" w:rsidRDefault="00DD24E2" w:rsidP="003D4A44">
            <w:pPr>
              <w:spacing w:before="40" w:after="40"/>
              <w:rPr>
                <w:rFonts w:cs="Arial"/>
                <w:sz w:val="14"/>
                <w:szCs w:val="16"/>
              </w:rPr>
            </w:pPr>
            <w:r w:rsidRPr="000521A1">
              <w:rPr>
                <w:rFonts w:cs="Arial"/>
                <w:sz w:val="14"/>
                <w:szCs w:val="16"/>
              </w:rPr>
              <w:t>Income-tested benefit</w:t>
            </w:r>
          </w:p>
        </w:tc>
        <w:tc>
          <w:tcPr>
            <w:tcW w:w="1507" w:type="dxa"/>
            <w:vAlign w:val="center"/>
          </w:tcPr>
          <w:p w:rsidR="00DD24E2" w:rsidRPr="000521A1" w:rsidRDefault="00DD24E2" w:rsidP="003D4A44">
            <w:pPr>
              <w:spacing w:before="40" w:after="40"/>
              <w:jc w:val="center"/>
              <w:rPr>
                <w:rFonts w:cs="Arial"/>
                <w:sz w:val="14"/>
                <w:szCs w:val="16"/>
              </w:rPr>
            </w:pPr>
            <w:r w:rsidRPr="000521A1">
              <w:rPr>
                <w:rFonts w:cs="Arial"/>
                <w:sz w:val="14"/>
                <w:szCs w:val="16"/>
              </w:rPr>
              <w:t>6</w:t>
            </w:r>
            <w:r>
              <w:rPr>
                <w:rFonts w:cs="Arial"/>
                <w:sz w:val="14"/>
                <w:szCs w:val="16"/>
              </w:rPr>
              <w:t>5</w:t>
            </w:r>
          </w:p>
        </w:tc>
        <w:tc>
          <w:tcPr>
            <w:tcW w:w="1035" w:type="dxa"/>
            <w:vAlign w:val="center"/>
          </w:tcPr>
          <w:p w:rsidR="00DD24E2" w:rsidRPr="000521A1" w:rsidRDefault="00DD24E2" w:rsidP="003D4A44">
            <w:pPr>
              <w:spacing w:before="40" w:after="40"/>
              <w:jc w:val="center"/>
              <w:rPr>
                <w:rFonts w:cs="Arial"/>
                <w:sz w:val="14"/>
                <w:szCs w:val="16"/>
              </w:rPr>
            </w:pPr>
            <w:r>
              <w:rPr>
                <w:rFonts w:cs="Arial"/>
                <w:sz w:val="14"/>
                <w:szCs w:val="16"/>
              </w:rPr>
              <w:t>5</w:t>
            </w:r>
            <w:r w:rsidR="00F16B61">
              <w:rPr>
                <w:rFonts w:cs="Arial"/>
                <w:sz w:val="14"/>
                <w:szCs w:val="16"/>
              </w:rPr>
              <w:t>1</w:t>
            </w:r>
          </w:p>
        </w:tc>
        <w:tc>
          <w:tcPr>
            <w:tcW w:w="1119" w:type="dxa"/>
          </w:tcPr>
          <w:p w:rsidR="00DD24E2" w:rsidRDefault="00DD24E2" w:rsidP="003D4A44">
            <w:pPr>
              <w:spacing w:before="40" w:after="40"/>
              <w:jc w:val="center"/>
              <w:rPr>
                <w:rFonts w:cs="Arial"/>
                <w:sz w:val="14"/>
                <w:szCs w:val="16"/>
              </w:rPr>
            </w:pPr>
            <w:r>
              <w:rPr>
                <w:rFonts w:cs="Arial"/>
                <w:sz w:val="14"/>
                <w:szCs w:val="16"/>
              </w:rPr>
              <w:t>51</w:t>
            </w:r>
          </w:p>
        </w:tc>
      </w:tr>
      <w:tr w:rsidR="00DD24E2" w:rsidRPr="000521A1">
        <w:trPr>
          <w:jc w:val="center"/>
        </w:trPr>
        <w:tc>
          <w:tcPr>
            <w:tcW w:w="1646" w:type="dxa"/>
            <w:vAlign w:val="center"/>
          </w:tcPr>
          <w:p w:rsidR="00DD24E2" w:rsidRPr="000521A1" w:rsidRDefault="00DD24E2" w:rsidP="003D4A44">
            <w:pPr>
              <w:spacing w:before="40" w:after="40"/>
              <w:rPr>
                <w:rFonts w:cs="Arial"/>
                <w:b/>
                <w:sz w:val="14"/>
                <w:szCs w:val="16"/>
              </w:rPr>
            </w:pPr>
            <w:r w:rsidRPr="000521A1">
              <w:rPr>
                <w:rFonts w:cs="Arial"/>
                <w:b/>
                <w:sz w:val="14"/>
                <w:szCs w:val="16"/>
              </w:rPr>
              <w:t>Total population</w:t>
            </w:r>
          </w:p>
        </w:tc>
        <w:tc>
          <w:tcPr>
            <w:tcW w:w="1507" w:type="dxa"/>
            <w:vAlign w:val="center"/>
          </w:tcPr>
          <w:p w:rsidR="00DD24E2" w:rsidRPr="000521A1" w:rsidRDefault="00DD24E2" w:rsidP="003D4A44">
            <w:pPr>
              <w:spacing w:before="40" w:after="40"/>
              <w:jc w:val="center"/>
              <w:rPr>
                <w:rFonts w:cs="Arial"/>
                <w:b/>
                <w:sz w:val="14"/>
                <w:szCs w:val="16"/>
              </w:rPr>
            </w:pPr>
            <w:r>
              <w:rPr>
                <w:rFonts w:cs="Arial"/>
                <w:b/>
                <w:sz w:val="14"/>
                <w:szCs w:val="16"/>
              </w:rPr>
              <w:t>16</w:t>
            </w:r>
          </w:p>
        </w:tc>
        <w:tc>
          <w:tcPr>
            <w:tcW w:w="1035" w:type="dxa"/>
            <w:vAlign w:val="center"/>
          </w:tcPr>
          <w:p w:rsidR="00DD24E2" w:rsidRPr="000521A1" w:rsidRDefault="00DD24E2" w:rsidP="003D4A44">
            <w:pPr>
              <w:spacing w:before="40" w:after="40"/>
              <w:jc w:val="center"/>
              <w:rPr>
                <w:rFonts w:cs="Arial"/>
                <w:b/>
                <w:sz w:val="14"/>
                <w:szCs w:val="16"/>
              </w:rPr>
            </w:pPr>
            <w:r>
              <w:rPr>
                <w:rFonts w:cs="Arial"/>
                <w:b/>
                <w:sz w:val="14"/>
                <w:szCs w:val="16"/>
              </w:rPr>
              <w:t>1</w:t>
            </w:r>
            <w:r w:rsidR="00F16B61">
              <w:rPr>
                <w:rFonts w:cs="Arial"/>
                <w:b/>
                <w:sz w:val="14"/>
                <w:szCs w:val="16"/>
              </w:rPr>
              <w:t>3</w:t>
            </w:r>
          </w:p>
        </w:tc>
        <w:tc>
          <w:tcPr>
            <w:tcW w:w="1119" w:type="dxa"/>
          </w:tcPr>
          <w:p w:rsidR="00DD24E2" w:rsidRDefault="00912B30" w:rsidP="003D4A44">
            <w:pPr>
              <w:spacing w:before="40" w:after="40"/>
              <w:jc w:val="center"/>
              <w:rPr>
                <w:rFonts w:cs="Arial"/>
                <w:b/>
                <w:sz w:val="14"/>
                <w:szCs w:val="16"/>
              </w:rPr>
            </w:pPr>
            <w:r>
              <w:rPr>
                <w:rFonts w:cs="Arial"/>
                <w:b/>
                <w:sz w:val="14"/>
                <w:szCs w:val="16"/>
              </w:rPr>
              <w:t>15</w:t>
            </w:r>
          </w:p>
        </w:tc>
      </w:tr>
    </w:tbl>
    <w:p w:rsidR="00D13455" w:rsidRDefault="00D13455" w:rsidP="00840A7E">
      <w:pPr>
        <w:jc w:val="both"/>
      </w:pPr>
    </w:p>
    <w:p w:rsidR="00D13455" w:rsidRDefault="00D13455" w:rsidP="00840A7E">
      <w:pPr>
        <w:jc w:val="both"/>
      </w:pPr>
    </w:p>
    <w:p w:rsidR="005F130A" w:rsidRPr="00840A7E" w:rsidRDefault="00C2755F" w:rsidP="00341705">
      <w:pPr>
        <w:jc w:val="both"/>
        <w:rPr>
          <w:b/>
          <w:sz w:val="20"/>
        </w:rPr>
      </w:pPr>
      <w:r>
        <w:rPr>
          <w:b/>
          <w:sz w:val="20"/>
        </w:rPr>
        <w:br w:type="page"/>
      </w:r>
      <w:r w:rsidR="005F130A" w:rsidRPr="00840A7E">
        <w:rPr>
          <w:b/>
          <w:sz w:val="20"/>
        </w:rPr>
        <w:lastRenderedPageBreak/>
        <w:t>Using non-monetary indicators (NMIs) to illustrate the sorts of restrictions on living standards experienced by low-income households</w:t>
      </w:r>
    </w:p>
    <w:p w:rsidR="005F130A" w:rsidRPr="003C7455" w:rsidRDefault="005F130A" w:rsidP="005F130A">
      <w:pPr>
        <w:jc w:val="both"/>
        <w:rPr>
          <w:rFonts w:cs="Arial"/>
          <w:sz w:val="20"/>
          <w:szCs w:val="22"/>
        </w:rPr>
      </w:pPr>
    </w:p>
    <w:p w:rsidR="00341705" w:rsidRDefault="0000264E" w:rsidP="005F130A">
      <w:pPr>
        <w:jc w:val="both"/>
        <w:rPr>
          <w:rFonts w:cs="Arial"/>
          <w:sz w:val="20"/>
          <w:szCs w:val="22"/>
        </w:rPr>
      </w:pPr>
      <w:r>
        <w:rPr>
          <w:rFonts w:cs="Arial"/>
          <w:sz w:val="20"/>
          <w:szCs w:val="22"/>
        </w:rPr>
        <w:t>One of the values of NMIs is to describe in tangible ways what it means to be poor.  The items in the HES can do this to some extent, but a wider range of information is needed to give a fuller picture of what it means in practical day-to-day terms to live in a household with very low income.</w:t>
      </w:r>
      <w:r w:rsidR="00341705">
        <w:rPr>
          <w:rFonts w:cs="Arial"/>
          <w:sz w:val="20"/>
          <w:szCs w:val="22"/>
        </w:rPr>
        <w:t xml:space="preserve">  </w:t>
      </w:r>
      <w:r>
        <w:rPr>
          <w:rFonts w:cs="Arial"/>
          <w:sz w:val="20"/>
          <w:szCs w:val="22"/>
        </w:rPr>
        <w:t>The Ministry’s 2008 Living Standards Survey gathered a wide range a wide range of information on respondents</w:t>
      </w:r>
      <w:r w:rsidR="00341705">
        <w:rPr>
          <w:rFonts w:cs="Arial"/>
          <w:sz w:val="20"/>
          <w:szCs w:val="22"/>
        </w:rPr>
        <w:t xml:space="preserve"> and published material is available using this dataset.  In particular, some of the published material uses child-specific items to show the restrictions experienced by children in households with low-income or low living standards. </w:t>
      </w:r>
    </w:p>
    <w:p w:rsidR="00341705" w:rsidRDefault="00341705" w:rsidP="005F130A">
      <w:pPr>
        <w:jc w:val="both"/>
        <w:rPr>
          <w:rFonts w:cs="Arial"/>
          <w:sz w:val="20"/>
          <w:szCs w:val="22"/>
        </w:rPr>
      </w:pPr>
    </w:p>
    <w:p w:rsidR="00341705" w:rsidRDefault="00341705" w:rsidP="005F130A">
      <w:pPr>
        <w:jc w:val="both"/>
        <w:rPr>
          <w:rFonts w:cs="Arial"/>
          <w:sz w:val="20"/>
          <w:szCs w:val="22"/>
        </w:rPr>
      </w:pPr>
      <w:r>
        <w:rPr>
          <w:rFonts w:cs="Arial"/>
          <w:sz w:val="20"/>
          <w:szCs w:val="22"/>
        </w:rPr>
        <w:t>The reader is referred to:</w:t>
      </w:r>
    </w:p>
    <w:p w:rsidR="00341705" w:rsidRDefault="00341705" w:rsidP="00D968A7">
      <w:pPr>
        <w:numPr>
          <w:ilvl w:val="0"/>
          <w:numId w:val="129"/>
        </w:numPr>
        <w:spacing w:before="120"/>
        <w:ind w:left="714" w:hanging="357"/>
        <w:jc w:val="both"/>
        <w:rPr>
          <w:rFonts w:cs="Arial"/>
          <w:sz w:val="20"/>
          <w:szCs w:val="22"/>
        </w:rPr>
      </w:pPr>
      <w:r>
        <w:rPr>
          <w:rFonts w:cs="Arial"/>
          <w:sz w:val="20"/>
          <w:szCs w:val="22"/>
        </w:rPr>
        <w:t>Table C.10 in Perry (2009)</w:t>
      </w:r>
    </w:p>
    <w:p w:rsidR="00341705" w:rsidRDefault="00341705" w:rsidP="00D968A7">
      <w:pPr>
        <w:numPr>
          <w:ilvl w:val="0"/>
          <w:numId w:val="129"/>
        </w:numPr>
        <w:spacing w:before="120"/>
        <w:ind w:left="714" w:hanging="357"/>
        <w:jc w:val="both"/>
        <w:rPr>
          <w:rFonts w:cs="Arial"/>
          <w:sz w:val="20"/>
          <w:szCs w:val="22"/>
        </w:rPr>
      </w:pPr>
      <w:r>
        <w:rPr>
          <w:rFonts w:cs="Arial"/>
          <w:sz w:val="20"/>
          <w:szCs w:val="22"/>
        </w:rPr>
        <w:t>Table 2, p14 in the Summer 2011 Newsletter from the Office of the Children’s Commissioner</w:t>
      </w:r>
    </w:p>
    <w:p w:rsidR="00341705" w:rsidRDefault="00341705" w:rsidP="00D968A7">
      <w:pPr>
        <w:numPr>
          <w:ilvl w:val="0"/>
          <w:numId w:val="129"/>
        </w:numPr>
        <w:spacing w:before="120"/>
        <w:ind w:left="714" w:hanging="357"/>
        <w:jc w:val="both"/>
        <w:rPr>
          <w:rFonts w:cs="Arial"/>
          <w:sz w:val="20"/>
          <w:szCs w:val="22"/>
        </w:rPr>
      </w:pPr>
      <w:r>
        <w:rPr>
          <w:rFonts w:cs="Arial"/>
          <w:sz w:val="20"/>
          <w:szCs w:val="22"/>
        </w:rPr>
        <w:t>Table 6.1 in Appendix 6 in this report.</w:t>
      </w:r>
    </w:p>
    <w:p w:rsidR="00341705" w:rsidRDefault="00341705" w:rsidP="005F130A">
      <w:pPr>
        <w:jc w:val="both"/>
        <w:rPr>
          <w:rFonts w:cs="Arial"/>
          <w:sz w:val="20"/>
          <w:szCs w:val="22"/>
        </w:rPr>
      </w:pPr>
    </w:p>
    <w:p w:rsidR="00341705" w:rsidRDefault="00341705" w:rsidP="005F130A">
      <w:pPr>
        <w:jc w:val="both"/>
        <w:rPr>
          <w:rFonts w:cs="Arial"/>
          <w:sz w:val="20"/>
          <w:szCs w:val="22"/>
        </w:rPr>
      </w:pPr>
    </w:p>
    <w:p w:rsidR="00341705" w:rsidRPr="00840A7E" w:rsidRDefault="001C46C0" w:rsidP="00341705">
      <w:pPr>
        <w:jc w:val="both"/>
        <w:rPr>
          <w:b/>
          <w:sz w:val="20"/>
        </w:rPr>
      </w:pPr>
      <w:r>
        <w:rPr>
          <w:b/>
          <w:sz w:val="20"/>
        </w:rPr>
        <w:br w:type="page"/>
      </w:r>
      <w:r w:rsidR="00341705" w:rsidRPr="00840A7E">
        <w:rPr>
          <w:b/>
          <w:sz w:val="20"/>
        </w:rPr>
        <w:lastRenderedPageBreak/>
        <w:t xml:space="preserve">Using non-monetary indicators (NMIs) to </w:t>
      </w:r>
      <w:r w:rsidR="00341705">
        <w:rPr>
          <w:b/>
          <w:sz w:val="20"/>
        </w:rPr>
        <w:t>help assess the credibility</w:t>
      </w:r>
      <w:r>
        <w:rPr>
          <w:b/>
          <w:sz w:val="20"/>
        </w:rPr>
        <w:t xml:space="preserve"> of a given income poverty threshold</w:t>
      </w:r>
    </w:p>
    <w:p w:rsidR="005F130A" w:rsidRDefault="005F130A" w:rsidP="005F130A">
      <w:pPr>
        <w:jc w:val="both"/>
        <w:rPr>
          <w:rFonts w:cs="Arial"/>
          <w:sz w:val="20"/>
          <w:szCs w:val="22"/>
        </w:rPr>
      </w:pPr>
    </w:p>
    <w:p w:rsidR="00F61FBE" w:rsidRDefault="001C46C0" w:rsidP="00F61FBE">
      <w:pPr>
        <w:jc w:val="both"/>
        <w:rPr>
          <w:rFonts w:cs="Arial"/>
          <w:sz w:val="20"/>
          <w:szCs w:val="22"/>
        </w:rPr>
      </w:pPr>
      <w:r w:rsidRPr="008616AE">
        <w:rPr>
          <w:rFonts w:cs="Arial"/>
          <w:b/>
          <w:sz w:val="20"/>
          <w:szCs w:val="22"/>
        </w:rPr>
        <w:t xml:space="preserve">Figure </w:t>
      </w:r>
      <w:r>
        <w:rPr>
          <w:rFonts w:cs="Arial"/>
          <w:b/>
          <w:sz w:val="20"/>
          <w:szCs w:val="22"/>
        </w:rPr>
        <w:t>K.</w:t>
      </w:r>
      <w:r w:rsidR="00B97BEC">
        <w:rPr>
          <w:rFonts w:cs="Arial"/>
          <w:b/>
          <w:sz w:val="20"/>
          <w:szCs w:val="22"/>
        </w:rPr>
        <w:t>2</w:t>
      </w:r>
      <w:r>
        <w:rPr>
          <w:rFonts w:cs="Arial"/>
          <w:b/>
          <w:sz w:val="20"/>
          <w:szCs w:val="22"/>
        </w:rPr>
        <w:t xml:space="preserve">, </w:t>
      </w:r>
      <w:r w:rsidRPr="00416EC8">
        <w:rPr>
          <w:rFonts w:cs="Arial"/>
          <w:sz w:val="20"/>
          <w:szCs w:val="22"/>
        </w:rPr>
        <w:t>based on NMI data from the 2010 HES</w:t>
      </w:r>
      <w:r>
        <w:rPr>
          <w:rFonts w:cs="Arial"/>
          <w:sz w:val="20"/>
          <w:szCs w:val="22"/>
        </w:rPr>
        <w:t xml:space="preserve">, clearly shows the much greater risk of hardship for low-income households  in the lower quintile (20%) than for the rest of the population.  The 11 items used are all either necessities or ones that are commonplace among the bulk of the population, or both.  The graph shows the proportions reporting either an ‘enforced lack’ of an item because of the cost, or the decision to ‘economise a lot’ on the item so as to be able to pay for other basics.   </w:t>
      </w:r>
    </w:p>
    <w:p w:rsidR="00F61FBE" w:rsidRDefault="00F61FBE" w:rsidP="00F61FBE">
      <w:pPr>
        <w:jc w:val="both"/>
        <w:rPr>
          <w:rFonts w:cs="Arial"/>
          <w:sz w:val="20"/>
          <w:szCs w:val="22"/>
        </w:rPr>
      </w:pPr>
    </w:p>
    <w:p w:rsidR="00F61FBE" w:rsidRDefault="001C46C0" w:rsidP="00F61FBE">
      <w:pPr>
        <w:jc w:val="both"/>
        <w:rPr>
          <w:rFonts w:cs="Arial"/>
          <w:sz w:val="20"/>
          <w:szCs w:val="22"/>
        </w:rPr>
      </w:pPr>
      <w:r>
        <w:rPr>
          <w:rFonts w:cs="Arial"/>
          <w:sz w:val="20"/>
          <w:szCs w:val="22"/>
        </w:rPr>
        <w:t>The lower two deciles stand out as being quite different in their risk of hardship / degree of restriction in day-to-day living standards compared with the rest of the population.</w:t>
      </w:r>
      <w:r w:rsidR="00F61FBE">
        <w:rPr>
          <w:rFonts w:cs="Arial"/>
          <w:sz w:val="20"/>
          <w:szCs w:val="22"/>
        </w:rPr>
        <w:t xml:space="preserve">  This is the essence of what ‘relative disadvantage’ is all about, as discussed in Section E.</w:t>
      </w:r>
    </w:p>
    <w:p w:rsidR="001C46C0" w:rsidRDefault="001C46C0" w:rsidP="001C46C0">
      <w:pPr>
        <w:jc w:val="both"/>
        <w:rPr>
          <w:rFonts w:cs="Arial"/>
          <w:sz w:val="20"/>
          <w:szCs w:val="22"/>
        </w:rPr>
      </w:pPr>
    </w:p>
    <w:p w:rsidR="001C46C0" w:rsidRDefault="001C46C0" w:rsidP="001C46C0">
      <w:pPr>
        <w:jc w:val="both"/>
        <w:rPr>
          <w:rFonts w:cs="Arial"/>
          <w:sz w:val="20"/>
          <w:szCs w:val="22"/>
        </w:rPr>
      </w:pPr>
      <w:r>
        <w:rPr>
          <w:rFonts w:cs="Arial"/>
          <w:sz w:val="20"/>
          <w:szCs w:val="22"/>
        </w:rPr>
        <w:t xml:space="preserve">The AHC 60% of median fixed line measure that is commended as the primary income poverty measure in this report has been steady at 15% to 16% in recent years and is therefore well within the bottom quintile (20%).  The 50% and 60% of median moving line AHC measures have recently </w:t>
      </w:r>
      <w:r w:rsidR="00F61FBE">
        <w:rPr>
          <w:rFonts w:cs="Arial"/>
          <w:sz w:val="20"/>
          <w:szCs w:val="22"/>
        </w:rPr>
        <w:t>produced poverty rates of</w:t>
      </w:r>
      <w:r>
        <w:rPr>
          <w:rFonts w:cs="Arial"/>
          <w:sz w:val="20"/>
          <w:szCs w:val="22"/>
        </w:rPr>
        <w:t xml:space="preserve"> 13% and 19% respectively, again, within the bottom quintile.</w:t>
      </w:r>
      <w:r w:rsidR="00F61FBE">
        <w:rPr>
          <w:rFonts w:cs="Arial"/>
          <w:sz w:val="20"/>
          <w:szCs w:val="22"/>
        </w:rPr>
        <w:t xml:space="preserve">  None of this ‘proves’ that these lines are ‘correct’, but it does </w:t>
      </w:r>
      <w:r w:rsidR="00037B7C">
        <w:rPr>
          <w:rFonts w:cs="Arial"/>
          <w:sz w:val="20"/>
          <w:szCs w:val="22"/>
        </w:rPr>
        <w:t xml:space="preserve">provide some support for </w:t>
      </w:r>
      <w:r w:rsidR="00F61FBE">
        <w:rPr>
          <w:rFonts w:cs="Arial"/>
          <w:sz w:val="20"/>
          <w:szCs w:val="22"/>
        </w:rPr>
        <w:t>setting the thresholds where they are.</w:t>
      </w:r>
    </w:p>
    <w:p w:rsidR="005F130A" w:rsidRPr="001D47DC" w:rsidRDefault="005F130A" w:rsidP="005F130A">
      <w:pPr>
        <w:jc w:val="both"/>
        <w:rPr>
          <w:lang w:val="en-NZ"/>
        </w:rPr>
      </w:pPr>
    </w:p>
    <w:p w:rsidR="005F130A" w:rsidRPr="005114E1" w:rsidRDefault="005F130A" w:rsidP="005F130A">
      <w:pPr>
        <w:ind w:right="-25"/>
        <w:jc w:val="center"/>
        <w:rPr>
          <w:b/>
          <w:sz w:val="18"/>
        </w:rPr>
      </w:pPr>
      <w:r w:rsidRPr="005114E1">
        <w:rPr>
          <w:b/>
          <w:sz w:val="18"/>
        </w:rPr>
        <w:t xml:space="preserve">Figure </w:t>
      </w:r>
      <w:r w:rsidR="001C46C0">
        <w:rPr>
          <w:b/>
          <w:sz w:val="18"/>
        </w:rPr>
        <w:t>K</w:t>
      </w:r>
      <w:r w:rsidRPr="005114E1">
        <w:rPr>
          <w:b/>
          <w:sz w:val="18"/>
        </w:rPr>
        <w:t>.</w:t>
      </w:r>
      <w:r w:rsidR="00B97BEC">
        <w:rPr>
          <w:b/>
          <w:sz w:val="18"/>
        </w:rPr>
        <w:t>2</w:t>
      </w:r>
    </w:p>
    <w:p w:rsidR="005F130A" w:rsidRDefault="005F130A" w:rsidP="005F130A">
      <w:pPr>
        <w:ind w:right="-25"/>
        <w:jc w:val="center"/>
        <w:rPr>
          <w:b/>
          <w:sz w:val="18"/>
        </w:rPr>
      </w:pPr>
      <w:r>
        <w:rPr>
          <w:b/>
          <w:sz w:val="18"/>
        </w:rPr>
        <w:t>Proportion reporting not having / economising a lot on 4 or more of 11 basic items, because of cost:</w:t>
      </w:r>
    </w:p>
    <w:p w:rsidR="005F130A" w:rsidRDefault="005F130A" w:rsidP="005F130A">
      <w:pPr>
        <w:ind w:right="-25"/>
        <w:jc w:val="center"/>
        <w:rPr>
          <w:b/>
          <w:sz w:val="18"/>
        </w:rPr>
      </w:pPr>
      <w:r>
        <w:rPr>
          <w:b/>
          <w:sz w:val="18"/>
        </w:rPr>
        <w:t xml:space="preserve"> all households, HES 2010</w:t>
      </w:r>
    </w:p>
    <w:p w:rsidR="005F130A" w:rsidRPr="009F0F67" w:rsidRDefault="00EC0BE0" w:rsidP="005F130A">
      <w:pPr>
        <w:ind w:right="-25"/>
        <w:jc w:val="center"/>
        <w:rPr>
          <w:sz w:val="16"/>
          <w:szCs w:val="18"/>
        </w:rPr>
      </w:pPr>
      <w:r>
        <w:rPr>
          <w:noProof/>
          <w:lang w:val="en-US"/>
        </w:rPr>
        <w:drawing>
          <wp:inline distT="0" distB="0" distL="0" distR="0">
            <wp:extent cx="3429000" cy="2171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srcRect/>
                    <a:stretch>
                      <a:fillRect/>
                    </a:stretch>
                  </pic:blipFill>
                  <pic:spPr bwMode="auto">
                    <a:xfrm>
                      <a:off x="0" y="0"/>
                      <a:ext cx="3429000" cy="2171700"/>
                    </a:xfrm>
                    <a:prstGeom prst="rect">
                      <a:avLst/>
                    </a:prstGeom>
                    <a:noFill/>
                    <a:ln w="9525">
                      <a:noFill/>
                      <a:miter lim="800000"/>
                      <a:headEnd/>
                      <a:tailEnd/>
                    </a:ln>
                  </pic:spPr>
                </pic:pic>
              </a:graphicData>
            </a:graphic>
          </wp:inline>
        </w:drawing>
      </w:r>
    </w:p>
    <w:p w:rsidR="005F130A" w:rsidRDefault="005F130A" w:rsidP="005F130A">
      <w:pPr>
        <w:jc w:val="both"/>
        <w:rPr>
          <w:sz w:val="20"/>
        </w:rPr>
      </w:pPr>
    </w:p>
    <w:p w:rsidR="005F130A" w:rsidRPr="00EE6AB7" w:rsidRDefault="005F130A" w:rsidP="005F130A">
      <w:pPr>
        <w:jc w:val="both"/>
        <w:rPr>
          <w:sz w:val="18"/>
        </w:rPr>
      </w:pPr>
      <w:r w:rsidRPr="00EE6AB7">
        <w:rPr>
          <w:sz w:val="18"/>
        </w:rPr>
        <w:t>The 11 items used in Figure 6.3 are of two types</w:t>
      </w:r>
      <w:r w:rsidR="00037B7C">
        <w:rPr>
          <w:sz w:val="18"/>
        </w:rPr>
        <w:t xml:space="preserve"> (see also Table K.1 above)</w:t>
      </w:r>
      <w:r w:rsidRPr="00EE6AB7">
        <w:rPr>
          <w:sz w:val="18"/>
        </w:rPr>
        <w:t>:</w:t>
      </w:r>
    </w:p>
    <w:p w:rsidR="005F130A" w:rsidRPr="00EE6AB7" w:rsidRDefault="005F130A" w:rsidP="00E62AFD">
      <w:pPr>
        <w:numPr>
          <w:ilvl w:val="0"/>
          <w:numId w:val="118"/>
        </w:numPr>
        <w:spacing w:before="120"/>
        <w:ind w:left="634" w:hanging="274"/>
        <w:jc w:val="both"/>
        <w:rPr>
          <w:sz w:val="18"/>
        </w:rPr>
      </w:pPr>
      <w:r w:rsidRPr="00EE6AB7">
        <w:rPr>
          <w:sz w:val="18"/>
        </w:rPr>
        <w:t>7 ‘enforced lacks’ of basics that the respondent ‘wants’ but cannot have or do because of the cost:</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telephone</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good pair of shoes</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heating available in all main rooms</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contents insurance</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give presents to family or friends on special occasions</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have family or friends over for a meal at least once a month</w:t>
      </w:r>
    </w:p>
    <w:p w:rsidR="005F130A" w:rsidRPr="00EE6AB7" w:rsidRDefault="005F130A" w:rsidP="00E62AFD">
      <w:pPr>
        <w:numPr>
          <w:ilvl w:val="0"/>
          <w:numId w:val="119"/>
        </w:numPr>
        <w:tabs>
          <w:tab w:val="clear" w:pos="720"/>
          <w:tab w:val="num" w:pos="1260"/>
        </w:tabs>
        <w:ind w:left="1260" w:hanging="270"/>
        <w:jc w:val="both"/>
        <w:rPr>
          <w:sz w:val="18"/>
        </w:rPr>
      </w:pPr>
      <w:r w:rsidRPr="00EE6AB7">
        <w:rPr>
          <w:sz w:val="18"/>
        </w:rPr>
        <w:t>have a week’s holiday away from home each year</w:t>
      </w:r>
    </w:p>
    <w:p w:rsidR="005F130A" w:rsidRPr="00EE6AB7" w:rsidRDefault="005F130A" w:rsidP="00E62AFD">
      <w:pPr>
        <w:numPr>
          <w:ilvl w:val="0"/>
          <w:numId w:val="116"/>
        </w:numPr>
        <w:tabs>
          <w:tab w:val="clear" w:pos="720"/>
          <w:tab w:val="num" w:pos="630"/>
        </w:tabs>
        <w:spacing w:before="120"/>
        <w:ind w:left="634" w:hanging="274"/>
        <w:jc w:val="both"/>
        <w:rPr>
          <w:sz w:val="18"/>
        </w:rPr>
      </w:pPr>
      <w:r w:rsidRPr="00EE6AB7">
        <w:rPr>
          <w:sz w:val="18"/>
        </w:rPr>
        <w:t>4 ‘economising’ items.  The survey gives the option of ‘not at all’, ‘a little’ and ‘a lot’ as a response.  The graph uses only</w:t>
      </w:r>
      <w:r>
        <w:rPr>
          <w:sz w:val="18"/>
        </w:rPr>
        <w:t xml:space="preserve"> the more stringent ‘ lot’ resp</w:t>
      </w:r>
      <w:r w:rsidRPr="00EE6AB7">
        <w:rPr>
          <w:sz w:val="18"/>
        </w:rPr>
        <w:t>onse:</w:t>
      </w:r>
    </w:p>
    <w:p w:rsidR="005F130A" w:rsidRPr="00EE6AB7" w:rsidRDefault="005F130A" w:rsidP="00E62AFD">
      <w:pPr>
        <w:numPr>
          <w:ilvl w:val="0"/>
          <w:numId w:val="120"/>
        </w:numPr>
        <w:tabs>
          <w:tab w:val="clear" w:pos="720"/>
          <w:tab w:val="num" w:pos="1260"/>
        </w:tabs>
        <w:ind w:left="1260" w:hanging="270"/>
        <w:jc w:val="both"/>
        <w:rPr>
          <w:sz w:val="18"/>
        </w:rPr>
      </w:pPr>
      <w:r w:rsidRPr="00EE6AB7">
        <w:rPr>
          <w:sz w:val="18"/>
        </w:rPr>
        <w:t>gone without fresh fruit and vegetables to help keep costs down (‘a lot’)</w:t>
      </w:r>
    </w:p>
    <w:p w:rsidR="005F130A" w:rsidRPr="00EE6AB7" w:rsidRDefault="005F130A" w:rsidP="00E62AFD">
      <w:pPr>
        <w:numPr>
          <w:ilvl w:val="0"/>
          <w:numId w:val="120"/>
        </w:numPr>
        <w:tabs>
          <w:tab w:val="clear" w:pos="720"/>
          <w:tab w:val="num" w:pos="1260"/>
        </w:tabs>
        <w:ind w:left="1260" w:hanging="270"/>
        <w:jc w:val="both"/>
        <w:rPr>
          <w:sz w:val="18"/>
        </w:rPr>
      </w:pPr>
      <w:r w:rsidRPr="00EE6AB7">
        <w:rPr>
          <w:sz w:val="18"/>
        </w:rPr>
        <w:t>put off buying new clothes for as long as possible to help keep costs down (‘a lot’)</w:t>
      </w:r>
    </w:p>
    <w:p w:rsidR="005F130A" w:rsidRPr="00EE6AB7" w:rsidRDefault="005F130A" w:rsidP="00E62AFD">
      <w:pPr>
        <w:numPr>
          <w:ilvl w:val="0"/>
          <w:numId w:val="120"/>
        </w:numPr>
        <w:tabs>
          <w:tab w:val="clear" w:pos="720"/>
          <w:tab w:val="num" w:pos="1260"/>
        </w:tabs>
        <w:ind w:left="1260" w:hanging="270"/>
        <w:jc w:val="both"/>
        <w:rPr>
          <w:sz w:val="18"/>
        </w:rPr>
      </w:pPr>
      <w:r w:rsidRPr="00EE6AB7">
        <w:rPr>
          <w:sz w:val="18"/>
        </w:rPr>
        <w:t>postponed or put off visits to the doctor to help keep down costs (‘a lot’)</w:t>
      </w:r>
    </w:p>
    <w:p w:rsidR="005F130A" w:rsidRPr="00EE6AB7" w:rsidRDefault="005F130A" w:rsidP="00E62AFD">
      <w:pPr>
        <w:numPr>
          <w:ilvl w:val="0"/>
          <w:numId w:val="120"/>
        </w:numPr>
        <w:tabs>
          <w:tab w:val="clear" w:pos="720"/>
          <w:tab w:val="num" w:pos="1260"/>
        </w:tabs>
        <w:ind w:left="1260" w:hanging="270"/>
        <w:jc w:val="both"/>
        <w:rPr>
          <w:sz w:val="18"/>
        </w:rPr>
      </w:pPr>
      <w:r w:rsidRPr="00EE6AB7">
        <w:rPr>
          <w:sz w:val="18"/>
        </w:rPr>
        <w:t>did not pick up a prescription to help keep down costs (‘a lot’)</w:t>
      </w:r>
    </w:p>
    <w:p w:rsidR="001C46C0" w:rsidRDefault="001C46C0" w:rsidP="005F130A">
      <w:pPr>
        <w:jc w:val="both"/>
        <w:rPr>
          <w:sz w:val="20"/>
        </w:rPr>
      </w:pPr>
    </w:p>
    <w:p w:rsidR="00D13455" w:rsidRPr="00D13455" w:rsidRDefault="005F130A" w:rsidP="00F61FBE">
      <w:pPr>
        <w:jc w:val="both"/>
        <w:rPr>
          <w:b/>
          <w:sz w:val="20"/>
        </w:rPr>
      </w:pPr>
      <w:r>
        <w:rPr>
          <w:sz w:val="20"/>
        </w:rPr>
        <w:br w:type="page"/>
      </w:r>
      <w:r w:rsidR="00D13455" w:rsidRPr="00D13455">
        <w:rPr>
          <w:b/>
          <w:sz w:val="20"/>
        </w:rPr>
        <w:lastRenderedPageBreak/>
        <w:t>Tracking hardship</w:t>
      </w:r>
      <w:r w:rsidR="005E3E65">
        <w:rPr>
          <w:b/>
          <w:sz w:val="20"/>
        </w:rPr>
        <w:t xml:space="preserve">, </w:t>
      </w:r>
      <w:r w:rsidR="00CF4203">
        <w:rPr>
          <w:b/>
          <w:sz w:val="20"/>
        </w:rPr>
        <w:t>f</w:t>
      </w:r>
      <w:r w:rsidR="00FF795A">
        <w:rPr>
          <w:b/>
          <w:sz w:val="20"/>
        </w:rPr>
        <w:t>rom</w:t>
      </w:r>
      <w:r w:rsidR="00CF4203">
        <w:rPr>
          <w:b/>
          <w:sz w:val="20"/>
        </w:rPr>
        <w:t xml:space="preserve"> the </w:t>
      </w:r>
      <w:r w:rsidR="005E3E65">
        <w:rPr>
          <w:b/>
          <w:sz w:val="20"/>
        </w:rPr>
        <w:t>2006-07</w:t>
      </w:r>
      <w:r w:rsidR="00CF4203">
        <w:rPr>
          <w:b/>
          <w:sz w:val="20"/>
        </w:rPr>
        <w:t xml:space="preserve"> HES</w:t>
      </w:r>
      <w:r w:rsidR="005E3E65">
        <w:rPr>
          <w:b/>
          <w:sz w:val="20"/>
        </w:rPr>
        <w:t xml:space="preserve"> to </w:t>
      </w:r>
      <w:r w:rsidR="00CF4203">
        <w:rPr>
          <w:b/>
          <w:sz w:val="20"/>
        </w:rPr>
        <w:t xml:space="preserve">the </w:t>
      </w:r>
      <w:r w:rsidR="005E3E65">
        <w:rPr>
          <w:b/>
          <w:sz w:val="20"/>
        </w:rPr>
        <w:t>2010-11 HES</w:t>
      </w:r>
    </w:p>
    <w:p w:rsidR="009D6758" w:rsidRPr="009D6758" w:rsidRDefault="009D6758" w:rsidP="005E3E65">
      <w:pPr>
        <w:pStyle w:val="ListBullet"/>
        <w:numPr>
          <w:ilvl w:val="0"/>
          <w:numId w:val="0"/>
        </w:numPr>
        <w:ind w:left="540"/>
        <w:jc w:val="both"/>
        <w:rPr>
          <w:rFonts w:ascii="Arial" w:hAnsi="Arial" w:cs="Arial"/>
          <w:color w:val="000000"/>
          <w:sz w:val="20"/>
          <w:szCs w:val="20"/>
        </w:rPr>
      </w:pPr>
    </w:p>
    <w:p w:rsidR="00D13455" w:rsidRPr="004452B2" w:rsidRDefault="005E3E65" w:rsidP="005E3E65">
      <w:pPr>
        <w:pStyle w:val="ListBullet"/>
        <w:numPr>
          <w:ilvl w:val="0"/>
          <w:numId w:val="0"/>
        </w:numPr>
        <w:jc w:val="both"/>
        <w:rPr>
          <w:rFonts w:ascii="Arial" w:hAnsi="Arial" w:cs="Arial"/>
          <w:color w:val="000000"/>
          <w:sz w:val="20"/>
          <w:szCs w:val="20"/>
        </w:rPr>
      </w:pPr>
      <w:r w:rsidRPr="00757959">
        <w:rPr>
          <w:rFonts w:ascii="Arial" w:hAnsi="Arial" w:cs="Arial"/>
          <w:b/>
          <w:sz w:val="20"/>
          <w:szCs w:val="20"/>
        </w:rPr>
        <w:t xml:space="preserve">Figure </w:t>
      </w:r>
      <w:r>
        <w:rPr>
          <w:rFonts w:ascii="Arial" w:hAnsi="Arial" w:cs="Arial"/>
          <w:b/>
          <w:sz w:val="20"/>
          <w:szCs w:val="20"/>
        </w:rPr>
        <w:t>K.</w:t>
      </w:r>
      <w:r w:rsidR="00B97BEC">
        <w:rPr>
          <w:rFonts w:ascii="Arial" w:hAnsi="Arial" w:cs="Arial"/>
          <w:b/>
          <w:sz w:val="20"/>
          <w:szCs w:val="20"/>
        </w:rPr>
        <w:t>3</w:t>
      </w:r>
      <w:r w:rsidR="00BD5F74">
        <w:rPr>
          <w:rFonts w:ascii="Arial" w:hAnsi="Arial" w:cs="Arial"/>
          <w:b/>
          <w:sz w:val="20"/>
          <w:szCs w:val="20"/>
        </w:rPr>
        <w:t xml:space="preserve"> (</w:t>
      </w:r>
      <w:r w:rsidR="00BD5F74" w:rsidRPr="00BD5F74">
        <w:rPr>
          <w:rFonts w:ascii="Arial" w:hAnsi="Arial" w:cs="Arial"/>
          <w:sz w:val="20"/>
          <w:szCs w:val="20"/>
        </w:rPr>
        <w:t>using the ELSI measure</w:t>
      </w:r>
      <w:r w:rsidR="00BD5F74">
        <w:rPr>
          <w:rFonts w:ascii="Arial" w:hAnsi="Arial" w:cs="Arial"/>
          <w:sz w:val="20"/>
          <w:szCs w:val="20"/>
        </w:rPr>
        <w:t>)</w:t>
      </w:r>
      <w:r w:rsidR="00BD5F74">
        <w:rPr>
          <w:rFonts w:ascii="Arial" w:hAnsi="Arial" w:cs="Arial"/>
          <w:b/>
          <w:sz w:val="20"/>
          <w:szCs w:val="20"/>
        </w:rPr>
        <w:t xml:space="preserve"> </w:t>
      </w:r>
      <w:r>
        <w:rPr>
          <w:rFonts w:ascii="Arial" w:hAnsi="Arial" w:cs="Arial"/>
          <w:sz w:val="20"/>
          <w:szCs w:val="20"/>
        </w:rPr>
        <w:t>show</w:t>
      </w:r>
      <w:r w:rsidR="00BD5F74">
        <w:rPr>
          <w:rFonts w:ascii="Arial" w:hAnsi="Arial" w:cs="Arial"/>
          <w:sz w:val="20"/>
          <w:szCs w:val="20"/>
        </w:rPr>
        <w:t>s</w:t>
      </w:r>
      <w:r>
        <w:rPr>
          <w:rFonts w:ascii="Arial" w:hAnsi="Arial" w:cs="Arial"/>
          <w:sz w:val="20"/>
          <w:szCs w:val="20"/>
        </w:rPr>
        <w:t xml:space="preserve"> the trends in material hardship r</w:t>
      </w:r>
      <w:r w:rsidR="00BD5F74">
        <w:rPr>
          <w:rFonts w:ascii="Arial" w:hAnsi="Arial" w:cs="Arial"/>
          <w:sz w:val="20"/>
          <w:szCs w:val="20"/>
        </w:rPr>
        <w:t xml:space="preserve">ates from 2007 to 2011 </w:t>
      </w:r>
      <w:r>
        <w:rPr>
          <w:rFonts w:ascii="Arial" w:hAnsi="Arial" w:cs="Arial"/>
          <w:sz w:val="20"/>
          <w:szCs w:val="20"/>
        </w:rPr>
        <w:t xml:space="preserve">for </w:t>
      </w:r>
      <w:r w:rsidR="0004307D">
        <w:rPr>
          <w:rFonts w:ascii="Arial" w:hAnsi="Arial" w:cs="Arial"/>
          <w:sz w:val="20"/>
          <w:szCs w:val="20"/>
        </w:rPr>
        <w:t xml:space="preserve">the population overall and for </w:t>
      </w:r>
      <w:r>
        <w:rPr>
          <w:rFonts w:ascii="Arial" w:hAnsi="Arial" w:cs="Arial"/>
          <w:sz w:val="20"/>
          <w:szCs w:val="20"/>
        </w:rPr>
        <w:t xml:space="preserve">selected population groups.  </w:t>
      </w:r>
      <w:r w:rsidR="0004307D">
        <w:rPr>
          <w:rFonts w:ascii="Arial" w:hAnsi="Arial" w:cs="Arial"/>
          <w:color w:val="000000"/>
          <w:sz w:val="20"/>
          <w:szCs w:val="20"/>
        </w:rPr>
        <w:t xml:space="preserve"> </w:t>
      </w:r>
      <w:r w:rsidR="00D13455">
        <w:rPr>
          <w:rFonts w:ascii="Arial" w:hAnsi="Arial" w:cs="Arial"/>
          <w:sz w:val="20"/>
          <w:szCs w:val="20"/>
        </w:rPr>
        <w:t xml:space="preserve">The hardship threshold used in Figure </w:t>
      </w:r>
      <w:r w:rsidR="009D6758">
        <w:rPr>
          <w:rFonts w:ascii="Arial" w:hAnsi="Arial" w:cs="Arial"/>
          <w:sz w:val="20"/>
          <w:szCs w:val="20"/>
        </w:rPr>
        <w:t>K.2</w:t>
      </w:r>
      <w:r w:rsidR="009B6B93">
        <w:rPr>
          <w:rFonts w:ascii="Arial" w:hAnsi="Arial" w:cs="Arial"/>
          <w:sz w:val="20"/>
          <w:szCs w:val="20"/>
        </w:rPr>
        <w:t xml:space="preserve"> is a relatively stringent one, giving a 2007 population hardship rate of 10%.  The </w:t>
      </w:r>
      <w:r w:rsidR="00D13455">
        <w:rPr>
          <w:rFonts w:ascii="Arial" w:hAnsi="Arial" w:cs="Arial"/>
          <w:sz w:val="20"/>
          <w:szCs w:val="20"/>
        </w:rPr>
        <w:t xml:space="preserve">income poverty rate using the </w:t>
      </w:r>
      <w:r w:rsidR="00D13455" w:rsidRPr="005E3E65">
        <w:rPr>
          <w:rFonts w:ascii="Arial" w:hAnsi="Arial" w:cs="Arial"/>
          <w:b/>
          <w:sz w:val="20"/>
          <w:szCs w:val="20"/>
          <w:u w:val="single"/>
        </w:rPr>
        <w:t>50%</w:t>
      </w:r>
      <w:r w:rsidR="00D13455">
        <w:rPr>
          <w:rFonts w:ascii="Arial" w:hAnsi="Arial" w:cs="Arial"/>
          <w:sz w:val="20"/>
          <w:szCs w:val="20"/>
        </w:rPr>
        <w:t xml:space="preserve"> of median AHC poverty threshold at that time</w:t>
      </w:r>
      <w:r w:rsidR="00BD5F74">
        <w:rPr>
          <w:rFonts w:ascii="Arial" w:hAnsi="Arial" w:cs="Arial"/>
          <w:sz w:val="20"/>
          <w:szCs w:val="20"/>
        </w:rPr>
        <w:t xml:space="preserve"> </w:t>
      </w:r>
      <w:r w:rsidR="009B6B93">
        <w:rPr>
          <w:rFonts w:ascii="Arial" w:hAnsi="Arial" w:cs="Arial"/>
          <w:sz w:val="20"/>
          <w:szCs w:val="20"/>
        </w:rPr>
        <w:t>was 13%.</w:t>
      </w:r>
    </w:p>
    <w:p w:rsidR="00D13455" w:rsidRPr="00E007A9" w:rsidRDefault="00D13455" w:rsidP="00D13455">
      <w:pPr>
        <w:pStyle w:val="ListBullet"/>
        <w:numPr>
          <w:ilvl w:val="0"/>
          <w:numId w:val="0"/>
        </w:numPr>
        <w:ind w:left="540"/>
        <w:rPr>
          <w:rFonts w:ascii="Arial" w:hAnsi="Arial" w:cs="Arial"/>
          <w:color w:val="000000"/>
          <w:sz w:val="20"/>
          <w:szCs w:val="20"/>
        </w:rPr>
      </w:pPr>
    </w:p>
    <w:p w:rsidR="00D13455" w:rsidRPr="009436C5" w:rsidRDefault="00D13455" w:rsidP="00D13455">
      <w:pPr>
        <w:ind w:right="-25"/>
        <w:jc w:val="center"/>
        <w:rPr>
          <w:rFonts w:cs="Arial"/>
          <w:b/>
          <w:sz w:val="18"/>
        </w:rPr>
      </w:pPr>
      <w:r w:rsidRPr="009436C5">
        <w:rPr>
          <w:rFonts w:cs="Arial"/>
          <w:b/>
          <w:sz w:val="18"/>
        </w:rPr>
        <w:t xml:space="preserve">Figure </w:t>
      </w:r>
      <w:r>
        <w:rPr>
          <w:rFonts w:cs="Arial"/>
          <w:b/>
          <w:sz w:val="18"/>
        </w:rPr>
        <w:t>K</w:t>
      </w:r>
      <w:r w:rsidRPr="009436C5">
        <w:rPr>
          <w:rFonts w:cs="Arial"/>
          <w:b/>
          <w:sz w:val="18"/>
        </w:rPr>
        <w:t>.</w:t>
      </w:r>
      <w:r w:rsidR="00B97BEC">
        <w:rPr>
          <w:rFonts w:cs="Arial"/>
          <w:b/>
          <w:sz w:val="18"/>
        </w:rPr>
        <w:t>3</w:t>
      </w:r>
    </w:p>
    <w:p w:rsidR="00D13455" w:rsidRPr="009436C5" w:rsidRDefault="00D13455" w:rsidP="00D13455">
      <w:pPr>
        <w:ind w:right="-25"/>
        <w:jc w:val="center"/>
        <w:rPr>
          <w:rFonts w:cs="Arial"/>
          <w:b/>
          <w:sz w:val="18"/>
        </w:rPr>
      </w:pPr>
      <w:r>
        <w:rPr>
          <w:rFonts w:cs="Arial"/>
          <w:b/>
          <w:sz w:val="18"/>
        </w:rPr>
        <w:t>Rising material hardship for children and old</w:t>
      </w:r>
      <w:r w:rsidR="00B45597">
        <w:rPr>
          <w:rFonts w:cs="Arial"/>
          <w:b/>
          <w:sz w:val="18"/>
        </w:rPr>
        <w:t xml:space="preserve">er </w:t>
      </w:r>
      <w:r>
        <w:rPr>
          <w:rFonts w:cs="Arial"/>
          <w:b/>
          <w:sz w:val="18"/>
        </w:rPr>
        <w:t>one-person households, 2007 to 2011</w:t>
      </w:r>
      <w:r w:rsidR="00D112DC">
        <w:rPr>
          <w:rFonts w:cs="Arial"/>
          <w:b/>
          <w:sz w:val="18"/>
        </w:rPr>
        <w:t xml:space="preserve"> (ELSI)</w:t>
      </w:r>
    </w:p>
    <w:p w:rsidR="00D13455" w:rsidRPr="009B6B93" w:rsidRDefault="00EC0BE0" w:rsidP="00D13455">
      <w:pPr>
        <w:jc w:val="center"/>
        <w:rPr>
          <w:rFonts w:cs="Arial"/>
          <w:b/>
          <w:color w:val="000000"/>
          <w:sz w:val="20"/>
        </w:rPr>
      </w:pPr>
      <w:r>
        <w:rPr>
          <w:noProof/>
          <w:lang w:val="en-US"/>
        </w:rPr>
        <w:drawing>
          <wp:inline distT="0" distB="0" distL="0" distR="0">
            <wp:extent cx="3343275" cy="2066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srcRect/>
                    <a:stretch>
                      <a:fillRect/>
                    </a:stretch>
                  </pic:blipFill>
                  <pic:spPr bwMode="auto">
                    <a:xfrm>
                      <a:off x="0" y="0"/>
                      <a:ext cx="3343275" cy="2066925"/>
                    </a:xfrm>
                    <a:prstGeom prst="rect">
                      <a:avLst/>
                    </a:prstGeom>
                    <a:noFill/>
                    <a:ln w="9525">
                      <a:noFill/>
                      <a:miter lim="800000"/>
                      <a:headEnd/>
                      <a:tailEnd/>
                    </a:ln>
                  </pic:spPr>
                </pic:pic>
              </a:graphicData>
            </a:graphic>
          </wp:inline>
        </w:drawing>
      </w:r>
    </w:p>
    <w:p w:rsidR="00D13455" w:rsidRPr="009F3584" w:rsidRDefault="00D13455" w:rsidP="00D13455">
      <w:pPr>
        <w:pStyle w:val="ListBullet"/>
        <w:numPr>
          <w:ilvl w:val="0"/>
          <w:numId w:val="0"/>
        </w:numPr>
        <w:ind w:left="491"/>
        <w:rPr>
          <w:rFonts w:ascii="Arial" w:hAnsi="Arial" w:cs="Arial"/>
          <w:color w:val="000000"/>
          <w:sz w:val="20"/>
          <w:szCs w:val="20"/>
        </w:rPr>
      </w:pPr>
    </w:p>
    <w:p w:rsidR="00D13455" w:rsidRPr="001E450F" w:rsidRDefault="0004307D" w:rsidP="00961E00">
      <w:pPr>
        <w:pStyle w:val="ListBullet"/>
        <w:numPr>
          <w:ilvl w:val="0"/>
          <w:numId w:val="0"/>
        </w:numPr>
        <w:rPr>
          <w:rFonts w:ascii="Arial" w:hAnsi="Arial" w:cs="Arial"/>
          <w:color w:val="000000"/>
          <w:sz w:val="20"/>
          <w:szCs w:val="20"/>
        </w:rPr>
      </w:pPr>
      <w:r>
        <w:rPr>
          <w:rFonts w:ascii="Arial" w:hAnsi="Arial" w:cs="Arial"/>
          <w:sz w:val="20"/>
          <w:szCs w:val="20"/>
        </w:rPr>
        <w:t>The rise for the population overall (1</w:t>
      </w:r>
      <w:r w:rsidR="009B6B93">
        <w:rPr>
          <w:rFonts w:ascii="Arial" w:hAnsi="Arial" w:cs="Arial"/>
          <w:sz w:val="20"/>
          <w:szCs w:val="20"/>
        </w:rPr>
        <w:t>0</w:t>
      </w:r>
      <w:r>
        <w:rPr>
          <w:rFonts w:ascii="Arial" w:hAnsi="Arial" w:cs="Arial"/>
          <w:sz w:val="20"/>
          <w:szCs w:val="20"/>
        </w:rPr>
        <w:t>% to 1</w:t>
      </w:r>
      <w:r w:rsidR="009B6B93">
        <w:rPr>
          <w:rFonts w:ascii="Arial" w:hAnsi="Arial" w:cs="Arial"/>
          <w:sz w:val="20"/>
          <w:szCs w:val="20"/>
        </w:rPr>
        <w:t>3</w:t>
      </w:r>
      <w:r>
        <w:rPr>
          <w:rFonts w:ascii="Arial" w:hAnsi="Arial" w:cs="Arial"/>
          <w:sz w:val="20"/>
          <w:szCs w:val="20"/>
        </w:rPr>
        <w:t xml:space="preserve">%) is not unexpected, given the impact of the GFC and the economic downturn.  </w:t>
      </w:r>
      <w:r w:rsidR="00D13455">
        <w:rPr>
          <w:rFonts w:ascii="Arial" w:hAnsi="Arial" w:cs="Arial"/>
          <w:sz w:val="20"/>
          <w:szCs w:val="20"/>
        </w:rPr>
        <w:t xml:space="preserve">For some groups, hardship rates remained much the same in 2011 as in 2007, but for others hardship rates increased:  </w:t>
      </w:r>
    </w:p>
    <w:p w:rsidR="00D13455" w:rsidRPr="002C282C" w:rsidRDefault="00D13455" w:rsidP="00961E00">
      <w:pPr>
        <w:pStyle w:val="ListBullet"/>
        <w:numPr>
          <w:ilvl w:val="0"/>
          <w:numId w:val="123"/>
        </w:numPr>
        <w:spacing w:before="60"/>
        <w:jc w:val="both"/>
        <w:rPr>
          <w:rFonts w:ascii="Arial" w:hAnsi="Arial" w:cs="Arial"/>
          <w:color w:val="000000"/>
          <w:sz w:val="20"/>
          <w:szCs w:val="20"/>
        </w:rPr>
      </w:pPr>
      <w:r>
        <w:rPr>
          <w:rFonts w:ascii="Arial" w:hAnsi="Arial" w:cs="Arial"/>
          <w:sz w:val="20"/>
          <w:szCs w:val="20"/>
        </w:rPr>
        <w:t xml:space="preserve">The hardship rate for older New Zealanders remained relatively low and flat at </w:t>
      </w:r>
      <w:r w:rsidR="00D112DC">
        <w:rPr>
          <w:rFonts w:ascii="Arial" w:hAnsi="Arial" w:cs="Arial"/>
          <w:sz w:val="20"/>
          <w:szCs w:val="20"/>
        </w:rPr>
        <w:t xml:space="preserve">4 to </w:t>
      </w:r>
      <w:r>
        <w:rPr>
          <w:rFonts w:ascii="Arial" w:hAnsi="Arial" w:cs="Arial"/>
          <w:sz w:val="20"/>
          <w:szCs w:val="20"/>
        </w:rPr>
        <w:t>5%, while for children it rose from 1</w:t>
      </w:r>
      <w:r w:rsidR="00D112DC">
        <w:rPr>
          <w:rFonts w:ascii="Arial" w:hAnsi="Arial" w:cs="Arial"/>
          <w:sz w:val="20"/>
          <w:szCs w:val="20"/>
        </w:rPr>
        <w:t>5</w:t>
      </w:r>
      <w:r>
        <w:rPr>
          <w:rFonts w:ascii="Arial" w:hAnsi="Arial" w:cs="Arial"/>
          <w:sz w:val="20"/>
          <w:szCs w:val="20"/>
        </w:rPr>
        <w:t>% in 2007 to 2</w:t>
      </w:r>
      <w:r w:rsidR="00D112DC">
        <w:rPr>
          <w:rFonts w:ascii="Arial" w:hAnsi="Arial" w:cs="Arial"/>
          <w:sz w:val="20"/>
          <w:szCs w:val="20"/>
        </w:rPr>
        <w:t>1</w:t>
      </w:r>
      <w:r>
        <w:rPr>
          <w:rFonts w:ascii="Arial" w:hAnsi="Arial" w:cs="Arial"/>
          <w:sz w:val="20"/>
          <w:szCs w:val="20"/>
        </w:rPr>
        <w:t>% in 2011.</w:t>
      </w:r>
    </w:p>
    <w:p w:rsidR="00D13455" w:rsidRDefault="00803639" w:rsidP="00961E00">
      <w:pPr>
        <w:pStyle w:val="ListBullet"/>
        <w:numPr>
          <w:ilvl w:val="0"/>
          <w:numId w:val="123"/>
        </w:numPr>
        <w:spacing w:before="60"/>
        <w:jc w:val="both"/>
        <w:rPr>
          <w:rFonts w:ascii="Arial" w:hAnsi="Arial" w:cs="Arial"/>
          <w:sz w:val="20"/>
          <w:szCs w:val="20"/>
        </w:rPr>
      </w:pPr>
      <w:r>
        <w:rPr>
          <w:rFonts w:ascii="Arial" w:hAnsi="Arial" w:cs="Arial"/>
          <w:sz w:val="20"/>
          <w:szCs w:val="20"/>
        </w:rPr>
        <w:t>The hardship rate</w:t>
      </w:r>
      <w:r w:rsidR="00D13455" w:rsidRPr="001250E6">
        <w:rPr>
          <w:rFonts w:ascii="Arial" w:hAnsi="Arial" w:cs="Arial"/>
          <w:sz w:val="20"/>
          <w:szCs w:val="20"/>
        </w:rPr>
        <w:t xml:space="preserve"> for older working</w:t>
      </w:r>
      <w:r w:rsidR="00D13455">
        <w:rPr>
          <w:rFonts w:ascii="Arial" w:hAnsi="Arial" w:cs="Arial"/>
          <w:sz w:val="20"/>
          <w:szCs w:val="20"/>
        </w:rPr>
        <w:t>-</w:t>
      </w:r>
      <w:r w:rsidR="00D13455" w:rsidRPr="001250E6">
        <w:rPr>
          <w:rFonts w:ascii="Arial" w:hAnsi="Arial" w:cs="Arial"/>
          <w:sz w:val="20"/>
          <w:szCs w:val="20"/>
        </w:rPr>
        <w:t>age adults living on their own (45 to 64 yrs) also increased, from 1</w:t>
      </w:r>
      <w:r w:rsidR="00D112DC">
        <w:rPr>
          <w:rFonts w:ascii="Arial" w:hAnsi="Arial" w:cs="Arial"/>
          <w:sz w:val="20"/>
          <w:szCs w:val="20"/>
        </w:rPr>
        <w:t>0</w:t>
      </w:r>
      <w:r w:rsidR="00D13455" w:rsidRPr="001250E6">
        <w:rPr>
          <w:rFonts w:ascii="Arial" w:hAnsi="Arial" w:cs="Arial"/>
          <w:sz w:val="20"/>
          <w:szCs w:val="20"/>
        </w:rPr>
        <w:t xml:space="preserve">% in 2007 to </w:t>
      </w:r>
      <w:r w:rsidR="00D13455">
        <w:rPr>
          <w:rFonts w:ascii="Arial" w:hAnsi="Arial" w:cs="Arial"/>
          <w:sz w:val="20"/>
          <w:szCs w:val="20"/>
        </w:rPr>
        <w:t>an average of 1</w:t>
      </w:r>
      <w:r w:rsidR="00D112DC">
        <w:rPr>
          <w:rFonts w:ascii="Arial" w:hAnsi="Arial" w:cs="Arial"/>
          <w:sz w:val="20"/>
          <w:szCs w:val="20"/>
        </w:rPr>
        <w:t>5</w:t>
      </w:r>
      <w:r w:rsidR="00D13455">
        <w:rPr>
          <w:rFonts w:ascii="Arial" w:hAnsi="Arial" w:cs="Arial"/>
          <w:sz w:val="20"/>
          <w:szCs w:val="20"/>
        </w:rPr>
        <w:t>% in 2010 and 2011, while for working</w:t>
      </w:r>
      <w:r w:rsidR="00BD5F74">
        <w:rPr>
          <w:rFonts w:ascii="Arial" w:hAnsi="Arial" w:cs="Arial"/>
          <w:sz w:val="20"/>
          <w:szCs w:val="20"/>
        </w:rPr>
        <w:t>-</w:t>
      </w:r>
      <w:r w:rsidR="00D13455">
        <w:rPr>
          <w:rFonts w:ascii="Arial" w:hAnsi="Arial" w:cs="Arial"/>
          <w:sz w:val="20"/>
          <w:szCs w:val="20"/>
        </w:rPr>
        <w:t xml:space="preserve"> age couples without dependent children, the hardship rate was low and steady at </w:t>
      </w:r>
      <w:r w:rsidR="00D112DC">
        <w:rPr>
          <w:rFonts w:ascii="Arial" w:hAnsi="Arial" w:cs="Arial"/>
          <w:sz w:val="20"/>
          <w:szCs w:val="20"/>
        </w:rPr>
        <w:t>3</w:t>
      </w:r>
      <w:r w:rsidR="00D13455">
        <w:rPr>
          <w:rFonts w:ascii="Arial" w:hAnsi="Arial" w:cs="Arial"/>
          <w:sz w:val="20"/>
          <w:szCs w:val="20"/>
        </w:rPr>
        <w:t xml:space="preserve"> to </w:t>
      </w:r>
      <w:r w:rsidR="00D112DC">
        <w:rPr>
          <w:rFonts w:ascii="Arial" w:hAnsi="Arial" w:cs="Arial"/>
          <w:sz w:val="20"/>
          <w:szCs w:val="20"/>
        </w:rPr>
        <w:t>4</w:t>
      </w:r>
      <w:r w:rsidR="00D13455">
        <w:rPr>
          <w:rFonts w:ascii="Arial" w:hAnsi="Arial" w:cs="Arial"/>
          <w:sz w:val="20"/>
          <w:szCs w:val="20"/>
        </w:rPr>
        <w:t>%.</w:t>
      </w:r>
    </w:p>
    <w:p w:rsidR="005E3E65" w:rsidRDefault="005E3E65" w:rsidP="00FF795A">
      <w:pPr>
        <w:pStyle w:val="ListBullet"/>
        <w:numPr>
          <w:ilvl w:val="0"/>
          <w:numId w:val="0"/>
        </w:numPr>
        <w:ind w:left="539"/>
        <w:jc w:val="both"/>
        <w:rPr>
          <w:rFonts w:ascii="Arial" w:hAnsi="Arial" w:cs="Arial"/>
          <w:sz w:val="20"/>
          <w:szCs w:val="20"/>
        </w:rPr>
      </w:pPr>
    </w:p>
    <w:p w:rsidR="00C30ED9" w:rsidRDefault="00C30ED9" w:rsidP="00C30ED9">
      <w:pPr>
        <w:pStyle w:val="ListBullet"/>
        <w:numPr>
          <w:ilvl w:val="0"/>
          <w:numId w:val="0"/>
        </w:numPr>
        <w:jc w:val="both"/>
        <w:rPr>
          <w:rFonts w:ascii="Arial" w:hAnsi="Arial" w:cs="Arial"/>
          <w:sz w:val="20"/>
          <w:szCs w:val="20"/>
        </w:rPr>
      </w:pPr>
      <w:r>
        <w:rPr>
          <w:rFonts w:ascii="Arial" w:hAnsi="Arial" w:cs="Arial"/>
          <w:sz w:val="20"/>
          <w:szCs w:val="20"/>
        </w:rPr>
        <w:t xml:space="preserve">In Section F above it is noted that income poverty rates for children remained much the same from 2009 to 2011.  </w:t>
      </w:r>
      <w:r w:rsidRPr="00594D2C">
        <w:rPr>
          <w:rFonts w:ascii="Arial" w:hAnsi="Arial" w:cs="Arial"/>
          <w:sz w:val="20"/>
          <w:szCs w:val="20"/>
        </w:rPr>
        <w:t>One of the main reasons for th</w:t>
      </w:r>
      <w:r>
        <w:rPr>
          <w:rFonts w:ascii="Arial" w:hAnsi="Arial" w:cs="Arial"/>
          <w:sz w:val="20"/>
          <w:szCs w:val="20"/>
        </w:rPr>
        <w:t>e</w:t>
      </w:r>
      <w:r w:rsidRPr="00594D2C">
        <w:rPr>
          <w:rFonts w:ascii="Arial" w:hAnsi="Arial" w:cs="Arial"/>
          <w:sz w:val="20"/>
          <w:szCs w:val="20"/>
        </w:rPr>
        <w:t xml:space="preserve"> difference of trend</w:t>
      </w:r>
      <w:r>
        <w:rPr>
          <w:rFonts w:ascii="Arial" w:hAnsi="Arial" w:cs="Arial"/>
          <w:sz w:val="20"/>
          <w:szCs w:val="20"/>
        </w:rPr>
        <w:t xml:space="preserve"> between income poverty and material hardship measured using NMIs</w:t>
      </w:r>
      <w:r w:rsidRPr="00594D2C">
        <w:rPr>
          <w:rFonts w:ascii="Arial" w:hAnsi="Arial" w:cs="Arial"/>
          <w:sz w:val="20"/>
          <w:szCs w:val="20"/>
        </w:rPr>
        <w:t xml:space="preserve"> is that families with children with family incomes </w:t>
      </w:r>
      <w:r w:rsidRPr="00594D2C">
        <w:rPr>
          <w:rFonts w:ascii="Arial" w:hAnsi="Arial" w:cs="Arial"/>
          <w:sz w:val="20"/>
          <w:szCs w:val="20"/>
          <w:u w:val="single"/>
        </w:rPr>
        <w:t>above</w:t>
      </w:r>
      <w:r>
        <w:rPr>
          <w:rFonts w:ascii="Arial" w:hAnsi="Arial" w:cs="Arial"/>
          <w:sz w:val="20"/>
          <w:szCs w:val="20"/>
        </w:rPr>
        <w:t xml:space="preserve"> the poverty line </w:t>
      </w:r>
      <w:r w:rsidRPr="00594D2C">
        <w:rPr>
          <w:rFonts w:ascii="Arial" w:hAnsi="Arial" w:cs="Arial"/>
          <w:sz w:val="20"/>
          <w:szCs w:val="20"/>
        </w:rPr>
        <w:t>reported increased hardship, thus increasing measured hardship irrespective of what the income poverty trend was.</w:t>
      </w:r>
      <w:r>
        <w:rPr>
          <w:rFonts w:ascii="Arial" w:hAnsi="Arial" w:cs="Arial"/>
          <w:sz w:val="20"/>
          <w:szCs w:val="20"/>
        </w:rPr>
        <w:t xml:space="preserve">  </w:t>
      </w:r>
    </w:p>
    <w:p w:rsidR="00C30ED9" w:rsidRDefault="00C30ED9" w:rsidP="00961E00">
      <w:pPr>
        <w:pStyle w:val="ListBullet"/>
        <w:numPr>
          <w:ilvl w:val="0"/>
          <w:numId w:val="0"/>
        </w:numPr>
        <w:jc w:val="both"/>
        <w:rPr>
          <w:rFonts w:ascii="Arial" w:hAnsi="Arial" w:cs="Arial"/>
          <w:sz w:val="20"/>
          <w:szCs w:val="20"/>
        </w:rPr>
      </w:pPr>
    </w:p>
    <w:p w:rsidR="00D112DC" w:rsidRDefault="00D112DC" w:rsidP="00961E00">
      <w:pPr>
        <w:pStyle w:val="ListBullet"/>
        <w:numPr>
          <w:ilvl w:val="0"/>
          <w:numId w:val="0"/>
        </w:numPr>
        <w:jc w:val="both"/>
        <w:rPr>
          <w:rFonts w:ascii="Arial" w:hAnsi="Arial" w:cs="Arial"/>
          <w:sz w:val="20"/>
          <w:szCs w:val="20"/>
        </w:rPr>
      </w:pPr>
      <w:r>
        <w:rPr>
          <w:rFonts w:ascii="Arial" w:hAnsi="Arial" w:cs="Arial"/>
          <w:sz w:val="20"/>
          <w:szCs w:val="20"/>
        </w:rPr>
        <w:t>The direction of the trends shown in Figure K.4</w:t>
      </w:r>
      <w:r w:rsidR="00BD5F74">
        <w:rPr>
          <w:rFonts w:ascii="Arial" w:hAnsi="Arial" w:cs="Arial"/>
          <w:sz w:val="20"/>
          <w:szCs w:val="20"/>
        </w:rPr>
        <w:t xml:space="preserve"> are robust to the choice of </w:t>
      </w:r>
      <w:r w:rsidR="00803639">
        <w:rPr>
          <w:rFonts w:ascii="Arial" w:hAnsi="Arial" w:cs="Arial"/>
          <w:sz w:val="20"/>
          <w:szCs w:val="20"/>
        </w:rPr>
        <w:t xml:space="preserve">both the </w:t>
      </w:r>
      <w:r w:rsidR="00BD5F74">
        <w:rPr>
          <w:rFonts w:ascii="Arial" w:hAnsi="Arial" w:cs="Arial"/>
          <w:sz w:val="20"/>
          <w:szCs w:val="20"/>
        </w:rPr>
        <w:t xml:space="preserve">threshold and </w:t>
      </w:r>
      <w:r w:rsidR="00803639">
        <w:rPr>
          <w:rFonts w:ascii="Arial" w:hAnsi="Arial" w:cs="Arial"/>
          <w:sz w:val="20"/>
          <w:szCs w:val="20"/>
        </w:rPr>
        <w:t xml:space="preserve">the </w:t>
      </w:r>
      <w:r w:rsidR="00BD5F74">
        <w:rPr>
          <w:rFonts w:ascii="Arial" w:hAnsi="Arial" w:cs="Arial"/>
          <w:sz w:val="20"/>
          <w:szCs w:val="20"/>
        </w:rPr>
        <w:t>index</w:t>
      </w:r>
      <w:r>
        <w:rPr>
          <w:rFonts w:ascii="Arial" w:hAnsi="Arial" w:cs="Arial"/>
          <w:sz w:val="20"/>
          <w:szCs w:val="20"/>
        </w:rPr>
        <w:t xml:space="preserve"> used</w:t>
      </w:r>
      <w:r w:rsidR="005E3E65">
        <w:rPr>
          <w:rFonts w:ascii="Arial" w:hAnsi="Arial" w:cs="Arial"/>
          <w:sz w:val="20"/>
          <w:szCs w:val="20"/>
        </w:rPr>
        <w:t xml:space="preserve">. </w:t>
      </w:r>
      <w:r>
        <w:rPr>
          <w:rFonts w:ascii="Arial" w:hAnsi="Arial" w:cs="Arial"/>
          <w:sz w:val="20"/>
          <w:szCs w:val="20"/>
        </w:rPr>
        <w:t>The actual reported levels of hardship are of course dependent on the thresholds used.</w:t>
      </w:r>
      <w:r w:rsidR="005E3E65">
        <w:rPr>
          <w:rFonts w:ascii="Arial" w:hAnsi="Arial" w:cs="Arial"/>
          <w:sz w:val="20"/>
          <w:szCs w:val="20"/>
        </w:rPr>
        <w:t xml:space="preserve"> </w:t>
      </w:r>
    </w:p>
    <w:p w:rsidR="00D112DC" w:rsidRDefault="00D112DC" w:rsidP="00961E00">
      <w:pPr>
        <w:pStyle w:val="ListBullet"/>
        <w:numPr>
          <w:ilvl w:val="0"/>
          <w:numId w:val="0"/>
        </w:numPr>
        <w:jc w:val="both"/>
        <w:rPr>
          <w:rFonts w:ascii="Arial" w:hAnsi="Arial" w:cs="Arial"/>
          <w:sz w:val="20"/>
          <w:szCs w:val="20"/>
        </w:rPr>
      </w:pPr>
    </w:p>
    <w:p w:rsidR="005E3E65" w:rsidRDefault="005E3E65" w:rsidP="00961E00">
      <w:pPr>
        <w:pStyle w:val="ListBullet"/>
        <w:numPr>
          <w:ilvl w:val="0"/>
          <w:numId w:val="0"/>
        </w:numPr>
        <w:jc w:val="both"/>
        <w:rPr>
          <w:rFonts w:ascii="Arial" w:hAnsi="Arial" w:cs="Arial"/>
          <w:sz w:val="20"/>
          <w:szCs w:val="20"/>
        </w:rPr>
      </w:pPr>
      <w:r>
        <w:rPr>
          <w:rFonts w:ascii="Arial" w:hAnsi="Arial" w:cs="Arial"/>
          <w:sz w:val="20"/>
          <w:szCs w:val="20"/>
        </w:rPr>
        <w:t xml:space="preserve">For example, using a lower </w:t>
      </w:r>
      <w:r w:rsidR="00BD5F74">
        <w:rPr>
          <w:rFonts w:ascii="Arial" w:hAnsi="Arial" w:cs="Arial"/>
          <w:sz w:val="20"/>
          <w:szCs w:val="20"/>
        </w:rPr>
        <w:t xml:space="preserve">ELSI </w:t>
      </w:r>
      <w:r>
        <w:rPr>
          <w:rFonts w:ascii="Arial" w:hAnsi="Arial" w:cs="Arial"/>
          <w:sz w:val="20"/>
          <w:szCs w:val="20"/>
        </w:rPr>
        <w:t xml:space="preserve">threshold (more stringent), the hardship rate for children increased from 13% to 18% </w:t>
      </w:r>
      <w:r w:rsidR="00A84BE1">
        <w:rPr>
          <w:rFonts w:ascii="Arial" w:hAnsi="Arial" w:cs="Arial"/>
          <w:sz w:val="20"/>
          <w:szCs w:val="20"/>
        </w:rPr>
        <w:t xml:space="preserve">from </w:t>
      </w:r>
      <w:r>
        <w:rPr>
          <w:rFonts w:ascii="Arial" w:hAnsi="Arial" w:cs="Arial"/>
          <w:sz w:val="20"/>
          <w:szCs w:val="20"/>
        </w:rPr>
        <w:t>HES 2007 to 2011</w:t>
      </w:r>
      <w:r w:rsidR="00D112DC">
        <w:rPr>
          <w:rFonts w:ascii="Arial" w:hAnsi="Arial" w:cs="Arial"/>
          <w:sz w:val="20"/>
          <w:szCs w:val="20"/>
        </w:rPr>
        <w:t>, while on a higher threshold (less stringent) the increase was from 18% in 2007 to 24% in 2011.</w:t>
      </w:r>
      <w:r>
        <w:rPr>
          <w:rFonts w:ascii="Arial" w:hAnsi="Arial" w:cs="Arial"/>
          <w:sz w:val="20"/>
          <w:szCs w:val="20"/>
        </w:rPr>
        <w:t xml:space="preserve">  </w:t>
      </w:r>
    </w:p>
    <w:p w:rsidR="005E3E65" w:rsidRDefault="005E3E65" w:rsidP="00961E00">
      <w:pPr>
        <w:pStyle w:val="ListBullet"/>
        <w:numPr>
          <w:ilvl w:val="0"/>
          <w:numId w:val="0"/>
        </w:numPr>
        <w:jc w:val="both"/>
        <w:rPr>
          <w:rFonts w:ascii="Arial" w:hAnsi="Arial" w:cs="Arial"/>
          <w:sz w:val="20"/>
          <w:szCs w:val="20"/>
        </w:rPr>
      </w:pPr>
    </w:p>
    <w:p w:rsidR="00B97BEC" w:rsidRDefault="00B97BEC" w:rsidP="00961E00">
      <w:pPr>
        <w:pStyle w:val="ListBullet"/>
        <w:numPr>
          <w:ilvl w:val="0"/>
          <w:numId w:val="0"/>
        </w:numPr>
        <w:jc w:val="both"/>
        <w:rPr>
          <w:rFonts w:ascii="Arial" w:hAnsi="Arial" w:cs="Arial"/>
          <w:b/>
          <w:sz w:val="20"/>
          <w:szCs w:val="20"/>
        </w:rPr>
      </w:pPr>
    </w:p>
    <w:p w:rsidR="005E3E65" w:rsidRDefault="00A84BE1" w:rsidP="00961E00">
      <w:pPr>
        <w:pStyle w:val="ListBullet"/>
        <w:numPr>
          <w:ilvl w:val="0"/>
          <w:numId w:val="0"/>
        </w:numPr>
        <w:jc w:val="both"/>
        <w:rPr>
          <w:rFonts w:ascii="Arial" w:hAnsi="Arial" w:cs="Arial"/>
          <w:sz w:val="20"/>
          <w:szCs w:val="20"/>
        </w:rPr>
      </w:pPr>
      <w:r w:rsidRPr="007A5522">
        <w:rPr>
          <w:rFonts w:ascii="Arial" w:hAnsi="Arial" w:cs="Arial"/>
          <w:b/>
          <w:sz w:val="20"/>
          <w:szCs w:val="20"/>
        </w:rPr>
        <w:t>Figure K.</w:t>
      </w:r>
      <w:r w:rsidR="00B97BEC">
        <w:rPr>
          <w:rFonts w:ascii="Arial" w:hAnsi="Arial" w:cs="Arial"/>
          <w:b/>
          <w:sz w:val="20"/>
          <w:szCs w:val="20"/>
        </w:rPr>
        <w:t>4</w:t>
      </w:r>
      <w:r>
        <w:rPr>
          <w:rFonts w:ascii="Arial" w:hAnsi="Arial" w:cs="Arial"/>
          <w:sz w:val="20"/>
          <w:szCs w:val="20"/>
        </w:rPr>
        <w:t xml:space="preserve"> shows that u</w:t>
      </w:r>
      <w:r w:rsidR="005E3E65">
        <w:rPr>
          <w:rFonts w:ascii="Arial" w:hAnsi="Arial" w:cs="Arial"/>
          <w:sz w:val="20"/>
          <w:szCs w:val="20"/>
        </w:rPr>
        <w:t xml:space="preserve">sing </w:t>
      </w:r>
      <w:r w:rsidR="00BD5F74">
        <w:rPr>
          <w:rFonts w:ascii="Arial" w:hAnsi="Arial" w:cs="Arial"/>
          <w:sz w:val="20"/>
          <w:szCs w:val="20"/>
        </w:rPr>
        <w:t>the quite differently configured FRILS measure,</w:t>
      </w:r>
      <w:r w:rsidR="005E3E65">
        <w:rPr>
          <w:rFonts w:ascii="Arial" w:hAnsi="Arial" w:cs="Arial"/>
          <w:sz w:val="20"/>
          <w:szCs w:val="20"/>
        </w:rPr>
        <w:t xml:space="preserve"> the hardship rate</w:t>
      </w:r>
      <w:r w:rsidR="00BD5F74">
        <w:rPr>
          <w:rFonts w:ascii="Arial" w:hAnsi="Arial" w:cs="Arial"/>
          <w:sz w:val="20"/>
          <w:szCs w:val="20"/>
        </w:rPr>
        <w:t xml:space="preserve"> for the population increased from 12% to 15%, and for children </w:t>
      </w:r>
      <w:r w:rsidR="005E3E65">
        <w:rPr>
          <w:rFonts w:ascii="Arial" w:hAnsi="Arial" w:cs="Arial"/>
          <w:sz w:val="20"/>
          <w:szCs w:val="20"/>
        </w:rPr>
        <w:t>from 16</w:t>
      </w:r>
      <w:r w:rsidR="00BD5F74">
        <w:rPr>
          <w:rFonts w:ascii="Arial" w:hAnsi="Arial" w:cs="Arial"/>
          <w:sz w:val="20"/>
          <w:szCs w:val="20"/>
        </w:rPr>
        <w:t>%</w:t>
      </w:r>
      <w:r w:rsidR="005E3E65">
        <w:rPr>
          <w:rFonts w:ascii="Arial" w:hAnsi="Arial" w:cs="Arial"/>
          <w:sz w:val="20"/>
          <w:szCs w:val="20"/>
        </w:rPr>
        <w:t xml:space="preserve"> to 22%</w:t>
      </w:r>
      <w:r w:rsidR="00BD5F74">
        <w:rPr>
          <w:rFonts w:ascii="Arial" w:hAnsi="Arial" w:cs="Arial"/>
          <w:sz w:val="20"/>
          <w:szCs w:val="20"/>
        </w:rPr>
        <w:t>.</w:t>
      </w:r>
      <w:r w:rsidR="006B258A">
        <w:rPr>
          <w:rFonts w:ascii="Arial" w:hAnsi="Arial" w:cs="Arial"/>
          <w:sz w:val="20"/>
          <w:szCs w:val="20"/>
        </w:rPr>
        <w:t xml:space="preserve">  </w:t>
      </w:r>
      <w:r w:rsidR="00803639">
        <w:rPr>
          <w:rFonts w:ascii="Arial" w:hAnsi="Arial" w:cs="Arial"/>
          <w:sz w:val="20"/>
          <w:szCs w:val="20"/>
        </w:rPr>
        <w:t>As in Figure K.2 (ELSI), h</w:t>
      </w:r>
      <w:r w:rsidR="006B258A">
        <w:rPr>
          <w:rFonts w:ascii="Arial" w:hAnsi="Arial" w:cs="Arial"/>
          <w:sz w:val="20"/>
          <w:szCs w:val="20"/>
        </w:rPr>
        <w:t xml:space="preserve">ardship increased for older working-age people living on their own, while for working-age couples and older New Zealanders, hardship rates remained low and </w:t>
      </w:r>
      <w:r w:rsidR="00803639">
        <w:rPr>
          <w:rFonts w:ascii="Arial" w:hAnsi="Arial" w:cs="Arial"/>
          <w:sz w:val="20"/>
          <w:szCs w:val="20"/>
        </w:rPr>
        <w:t xml:space="preserve">reasonably </w:t>
      </w:r>
      <w:r w:rsidR="006B258A">
        <w:rPr>
          <w:rFonts w:ascii="Arial" w:hAnsi="Arial" w:cs="Arial"/>
          <w:sz w:val="20"/>
          <w:szCs w:val="20"/>
        </w:rPr>
        <w:t>steady.</w:t>
      </w:r>
    </w:p>
    <w:p w:rsidR="00961E00" w:rsidRDefault="00961E00" w:rsidP="00961E00">
      <w:pPr>
        <w:pStyle w:val="ListBullet"/>
        <w:numPr>
          <w:ilvl w:val="0"/>
          <w:numId w:val="0"/>
        </w:numPr>
        <w:jc w:val="both"/>
        <w:rPr>
          <w:rFonts w:ascii="Arial" w:hAnsi="Arial" w:cs="Arial"/>
          <w:sz w:val="20"/>
          <w:szCs w:val="20"/>
        </w:rPr>
      </w:pPr>
    </w:p>
    <w:p w:rsidR="00B23E4E" w:rsidRPr="009436C5" w:rsidRDefault="00D112DC" w:rsidP="00B23E4E">
      <w:pPr>
        <w:ind w:right="-25"/>
        <w:jc w:val="center"/>
        <w:rPr>
          <w:rFonts w:cs="Arial"/>
          <w:b/>
          <w:sz w:val="18"/>
        </w:rPr>
      </w:pPr>
      <w:r>
        <w:rPr>
          <w:rFonts w:cs="Arial"/>
          <w:b/>
          <w:sz w:val="18"/>
        </w:rPr>
        <w:br w:type="page"/>
      </w:r>
      <w:r w:rsidR="00B23E4E" w:rsidRPr="009436C5">
        <w:rPr>
          <w:rFonts w:cs="Arial"/>
          <w:b/>
          <w:sz w:val="18"/>
        </w:rPr>
        <w:lastRenderedPageBreak/>
        <w:t xml:space="preserve">Figure </w:t>
      </w:r>
      <w:r w:rsidR="00B23E4E">
        <w:rPr>
          <w:rFonts w:cs="Arial"/>
          <w:b/>
          <w:sz w:val="18"/>
        </w:rPr>
        <w:t>K</w:t>
      </w:r>
      <w:r w:rsidR="00B23E4E" w:rsidRPr="009436C5">
        <w:rPr>
          <w:rFonts w:cs="Arial"/>
          <w:b/>
          <w:sz w:val="18"/>
        </w:rPr>
        <w:t>.</w:t>
      </w:r>
      <w:r w:rsidR="009E6F8C">
        <w:rPr>
          <w:rFonts w:cs="Arial"/>
          <w:b/>
          <w:sz w:val="18"/>
        </w:rPr>
        <w:t>4</w:t>
      </w:r>
    </w:p>
    <w:p w:rsidR="00B23E4E" w:rsidRPr="009436C5" w:rsidRDefault="00B23E4E" w:rsidP="00B23E4E">
      <w:pPr>
        <w:ind w:right="-25"/>
        <w:jc w:val="center"/>
        <w:rPr>
          <w:rFonts w:cs="Arial"/>
          <w:b/>
          <w:sz w:val="18"/>
        </w:rPr>
      </w:pPr>
      <w:r>
        <w:rPr>
          <w:rFonts w:cs="Arial"/>
          <w:b/>
          <w:sz w:val="18"/>
        </w:rPr>
        <w:t>Rising material hardship for children and older one-person households, 2007 to 2011</w:t>
      </w:r>
      <w:r w:rsidR="00D112DC">
        <w:rPr>
          <w:rFonts w:cs="Arial"/>
          <w:b/>
          <w:sz w:val="18"/>
        </w:rPr>
        <w:t xml:space="preserve"> (FRILS)</w:t>
      </w:r>
    </w:p>
    <w:p w:rsidR="00A84BE1" w:rsidRPr="007A38BA" w:rsidRDefault="00EC0BE0" w:rsidP="007A38BA">
      <w:pPr>
        <w:pStyle w:val="ListBullet"/>
        <w:numPr>
          <w:ilvl w:val="0"/>
          <w:numId w:val="0"/>
        </w:numPr>
        <w:ind w:left="539"/>
        <w:jc w:val="center"/>
        <w:rPr>
          <w:rFonts w:ascii="Arial" w:hAnsi="Arial" w:cs="Arial"/>
          <w:sz w:val="20"/>
          <w:szCs w:val="20"/>
        </w:rPr>
      </w:pPr>
      <w:r>
        <w:rPr>
          <w:noProof/>
          <w:lang w:val="en-US"/>
        </w:rPr>
        <w:drawing>
          <wp:inline distT="0" distB="0" distL="0" distR="0">
            <wp:extent cx="2962275"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srcRect/>
                    <a:stretch>
                      <a:fillRect/>
                    </a:stretch>
                  </pic:blipFill>
                  <pic:spPr bwMode="auto">
                    <a:xfrm>
                      <a:off x="0" y="0"/>
                      <a:ext cx="2962275" cy="1828800"/>
                    </a:xfrm>
                    <a:prstGeom prst="rect">
                      <a:avLst/>
                    </a:prstGeom>
                    <a:noFill/>
                    <a:ln w="9525">
                      <a:noFill/>
                      <a:miter lim="800000"/>
                      <a:headEnd/>
                      <a:tailEnd/>
                    </a:ln>
                  </pic:spPr>
                </pic:pic>
              </a:graphicData>
            </a:graphic>
          </wp:inline>
        </w:drawing>
      </w:r>
    </w:p>
    <w:p w:rsidR="00D112DC" w:rsidRDefault="00D112DC" w:rsidP="009C6F8E">
      <w:pPr>
        <w:jc w:val="both"/>
        <w:rPr>
          <w:rFonts w:cs="Arial"/>
          <w:b/>
          <w:color w:val="000000"/>
          <w:sz w:val="20"/>
        </w:rPr>
      </w:pPr>
    </w:p>
    <w:p w:rsidR="00D112DC" w:rsidRDefault="00D112DC" w:rsidP="009C6F8E">
      <w:pPr>
        <w:jc w:val="both"/>
        <w:rPr>
          <w:rFonts w:cs="Arial"/>
          <w:b/>
          <w:color w:val="000000"/>
          <w:sz w:val="20"/>
        </w:rPr>
      </w:pPr>
    </w:p>
    <w:p w:rsidR="00347AF6" w:rsidRDefault="00347AF6" w:rsidP="009C6F8E">
      <w:pPr>
        <w:jc w:val="both"/>
        <w:rPr>
          <w:rFonts w:cs="Arial"/>
          <w:b/>
          <w:color w:val="000000"/>
          <w:sz w:val="20"/>
        </w:rPr>
      </w:pPr>
      <w:r>
        <w:rPr>
          <w:rFonts w:cs="Arial"/>
          <w:b/>
          <w:color w:val="000000"/>
          <w:sz w:val="20"/>
        </w:rPr>
        <w:t>Using NMIs and household income together to identify t</w:t>
      </w:r>
      <w:r w:rsidR="005A0126">
        <w:rPr>
          <w:rFonts w:cs="Arial"/>
          <w:b/>
          <w:color w:val="000000"/>
          <w:sz w:val="20"/>
        </w:rPr>
        <w:t xml:space="preserve">he proportion of those who live in households whose incomes are below the AHC 60% of median poverty line </w:t>
      </w:r>
      <w:r w:rsidR="005A0126" w:rsidRPr="009F3584">
        <w:rPr>
          <w:rFonts w:cs="Arial"/>
          <w:b/>
          <w:color w:val="000000"/>
          <w:sz w:val="20"/>
          <w:u w:val="single"/>
        </w:rPr>
        <w:t>and</w:t>
      </w:r>
      <w:r w:rsidR="005A0126">
        <w:rPr>
          <w:rFonts w:cs="Arial"/>
          <w:b/>
          <w:color w:val="000000"/>
          <w:sz w:val="20"/>
        </w:rPr>
        <w:t xml:space="preserve"> who are also experiencing material deprivation</w:t>
      </w:r>
      <w:r>
        <w:rPr>
          <w:rFonts w:cs="Arial"/>
          <w:b/>
          <w:color w:val="000000"/>
          <w:sz w:val="20"/>
        </w:rPr>
        <w:t>.</w:t>
      </w:r>
    </w:p>
    <w:p w:rsidR="00347AF6" w:rsidRDefault="00347AF6" w:rsidP="009C6F8E">
      <w:pPr>
        <w:jc w:val="both"/>
        <w:rPr>
          <w:rFonts w:cs="Arial"/>
          <w:b/>
          <w:color w:val="000000"/>
          <w:sz w:val="20"/>
        </w:rPr>
      </w:pPr>
    </w:p>
    <w:p w:rsidR="00347AF6" w:rsidRDefault="00347AF6" w:rsidP="00347AF6">
      <w:pPr>
        <w:jc w:val="both"/>
        <w:rPr>
          <w:rFonts w:cs="Arial"/>
          <w:sz w:val="20"/>
        </w:rPr>
      </w:pPr>
      <w:r>
        <w:rPr>
          <w:rFonts w:cs="Arial"/>
          <w:sz w:val="20"/>
        </w:rPr>
        <w:t xml:space="preserve">As discussed earlier in this section, one of the features of the relationship between income poverty and material hardship as measured using NMIs is that although living in a household with an income above the poverty line reduces the risk of </w:t>
      </w:r>
      <w:r w:rsidR="00CB2C1B">
        <w:rPr>
          <w:rFonts w:cs="Arial"/>
          <w:sz w:val="20"/>
        </w:rPr>
        <w:t xml:space="preserve">material </w:t>
      </w:r>
      <w:r>
        <w:rPr>
          <w:rFonts w:cs="Arial"/>
          <w:sz w:val="20"/>
        </w:rPr>
        <w:t>hardship, it does not eliminate the risk. Some of the non-poor still experience material hardship</w:t>
      </w:r>
      <w:r w:rsidR="00CB2C1B">
        <w:rPr>
          <w:rFonts w:cs="Arial"/>
          <w:sz w:val="20"/>
        </w:rPr>
        <w:t xml:space="preserve"> (and some of the poor do not).</w:t>
      </w:r>
    </w:p>
    <w:p w:rsidR="00347AF6" w:rsidRDefault="00347AF6" w:rsidP="00347AF6">
      <w:pPr>
        <w:jc w:val="both"/>
        <w:rPr>
          <w:rFonts w:cs="Arial"/>
          <w:sz w:val="20"/>
        </w:rPr>
      </w:pPr>
    </w:p>
    <w:p w:rsidR="00347AF6" w:rsidRDefault="00347AF6" w:rsidP="00347AF6">
      <w:pPr>
        <w:jc w:val="both"/>
        <w:rPr>
          <w:rFonts w:cs="Arial"/>
          <w:sz w:val="20"/>
        </w:rPr>
      </w:pPr>
      <w:r>
        <w:rPr>
          <w:rFonts w:cs="Arial"/>
          <w:sz w:val="20"/>
        </w:rPr>
        <w:t xml:space="preserve">For those in hardship but with incomes reasonably above the poverty line there are grounds for expecting living standards to improve over time provided their incomes do not decline and that there are no ongoing special demands on the budget. However for those in hardship who also have low incomes, there is very little chance of improvement of living standards until incomes rise and stay up.  </w:t>
      </w:r>
    </w:p>
    <w:p w:rsidR="005A0126" w:rsidRPr="00634F5A" w:rsidRDefault="005A0126" w:rsidP="00347AF6">
      <w:pPr>
        <w:jc w:val="both"/>
        <w:rPr>
          <w:rFonts w:cs="Arial"/>
          <w:sz w:val="20"/>
        </w:rPr>
      </w:pPr>
    </w:p>
    <w:p w:rsidR="005A0126" w:rsidRDefault="005A0126" w:rsidP="00347AF6">
      <w:pPr>
        <w:jc w:val="both"/>
        <w:rPr>
          <w:rFonts w:cs="Arial"/>
          <w:sz w:val="20"/>
        </w:rPr>
      </w:pPr>
      <w:r w:rsidRPr="00D357E7">
        <w:rPr>
          <w:rFonts w:cs="Arial"/>
          <w:b/>
          <w:sz w:val="20"/>
        </w:rPr>
        <w:t xml:space="preserve">Figure </w:t>
      </w:r>
      <w:r w:rsidR="009E6F8C">
        <w:rPr>
          <w:rFonts w:cs="Arial"/>
          <w:b/>
          <w:sz w:val="20"/>
        </w:rPr>
        <w:t>K.5</w:t>
      </w:r>
      <w:r>
        <w:rPr>
          <w:rFonts w:cs="Arial"/>
          <w:sz w:val="20"/>
        </w:rPr>
        <w:t xml:space="preserve"> shows the trend in the size of the overlap group from 2007 to 2011 for the population as a whole and for children (up from </w:t>
      </w:r>
      <w:r w:rsidR="00A92341">
        <w:rPr>
          <w:rFonts w:cs="Arial"/>
          <w:sz w:val="20"/>
        </w:rPr>
        <w:t>7</w:t>
      </w:r>
      <w:r>
        <w:rPr>
          <w:rFonts w:cs="Arial"/>
          <w:sz w:val="20"/>
        </w:rPr>
        <w:t>% to 1</w:t>
      </w:r>
      <w:r w:rsidR="00A92341">
        <w:rPr>
          <w:rFonts w:cs="Arial"/>
          <w:sz w:val="20"/>
        </w:rPr>
        <w:t>1</w:t>
      </w:r>
      <w:r>
        <w:rPr>
          <w:rFonts w:cs="Arial"/>
          <w:sz w:val="20"/>
        </w:rPr>
        <w:t xml:space="preserve">%).  </w:t>
      </w:r>
    </w:p>
    <w:p w:rsidR="005A0126" w:rsidRDefault="005A0126" w:rsidP="00347AF6">
      <w:pPr>
        <w:spacing w:before="120"/>
        <w:jc w:val="both"/>
        <w:rPr>
          <w:rFonts w:cs="Arial"/>
          <w:sz w:val="20"/>
        </w:rPr>
      </w:pPr>
      <w:r>
        <w:rPr>
          <w:rFonts w:cs="Arial"/>
          <w:sz w:val="20"/>
        </w:rPr>
        <w:t>In times of economic growth where the rising standard of living is to some degree shared across the population, the trend can be expected to be unambiguously downwards.  The upward trend reflects above all the impact of the shock of the GFC and the economic downturn.</w:t>
      </w:r>
    </w:p>
    <w:p w:rsidR="005A0126" w:rsidRDefault="005A0126" w:rsidP="005A0126">
      <w:pPr>
        <w:ind w:right="-25"/>
        <w:jc w:val="center"/>
        <w:rPr>
          <w:rFonts w:cs="Arial"/>
          <w:b/>
          <w:sz w:val="18"/>
        </w:rPr>
      </w:pPr>
    </w:p>
    <w:p w:rsidR="005A0126" w:rsidRPr="009436C5" w:rsidRDefault="005A0126" w:rsidP="005A0126">
      <w:pPr>
        <w:ind w:right="-25"/>
        <w:jc w:val="center"/>
        <w:rPr>
          <w:rFonts w:cs="Arial"/>
          <w:b/>
          <w:sz w:val="18"/>
        </w:rPr>
      </w:pPr>
      <w:r w:rsidRPr="009436C5">
        <w:rPr>
          <w:rFonts w:cs="Arial"/>
          <w:b/>
          <w:sz w:val="18"/>
        </w:rPr>
        <w:t xml:space="preserve">Figure </w:t>
      </w:r>
      <w:r w:rsidR="002C2C4B">
        <w:rPr>
          <w:rFonts w:cs="Arial"/>
          <w:b/>
          <w:sz w:val="18"/>
        </w:rPr>
        <w:t>K</w:t>
      </w:r>
      <w:r w:rsidRPr="009436C5">
        <w:rPr>
          <w:rFonts w:cs="Arial"/>
          <w:b/>
          <w:sz w:val="18"/>
        </w:rPr>
        <w:t>.</w:t>
      </w:r>
      <w:r w:rsidR="009E6F8C">
        <w:rPr>
          <w:rFonts w:cs="Arial"/>
          <w:b/>
          <w:sz w:val="18"/>
        </w:rPr>
        <w:t>5</w:t>
      </w:r>
    </w:p>
    <w:p w:rsidR="005A0126" w:rsidRPr="009436C5" w:rsidRDefault="005A0126" w:rsidP="005A0126">
      <w:pPr>
        <w:ind w:right="-25"/>
        <w:jc w:val="center"/>
        <w:rPr>
          <w:rFonts w:cs="Arial"/>
          <w:b/>
          <w:sz w:val="18"/>
        </w:rPr>
      </w:pPr>
      <w:r>
        <w:rPr>
          <w:rFonts w:cs="Arial"/>
          <w:b/>
          <w:sz w:val="18"/>
        </w:rPr>
        <w:t xml:space="preserve">Trends in the proportion of those who are both income poor and </w:t>
      </w:r>
      <w:r w:rsidR="00A92341">
        <w:rPr>
          <w:rFonts w:cs="Arial"/>
          <w:b/>
          <w:sz w:val="18"/>
        </w:rPr>
        <w:t>in hardship</w:t>
      </w:r>
      <w:r>
        <w:rPr>
          <w:rFonts w:cs="Arial"/>
          <w:b/>
          <w:sz w:val="18"/>
        </w:rPr>
        <w:t>,  2007 to 2011</w:t>
      </w:r>
    </w:p>
    <w:p w:rsidR="005A0126" w:rsidRPr="00A92341" w:rsidRDefault="00EC0BE0" w:rsidP="005A0126">
      <w:pPr>
        <w:spacing w:before="120"/>
        <w:jc w:val="center"/>
        <w:rPr>
          <w:rFonts w:cs="Arial"/>
          <w:sz w:val="20"/>
        </w:rPr>
      </w:pPr>
      <w:r>
        <w:rPr>
          <w:noProof/>
          <w:lang w:val="en-US"/>
        </w:rPr>
        <w:drawing>
          <wp:inline distT="0" distB="0" distL="0" distR="0">
            <wp:extent cx="3143250" cy="19335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srcRect/>
                    <a:stretch>
                      <a:fillRect/>
                    </a:stretch>
                  </pic:blipFill>
                  <pic:spPr bwMode="auto">
                    <a:xfrm>
                      <a:off x="0" y="0"/>
                      <a:ext cx="3143250" cy="1933575"/>
                    </a:xfrm>
                    <a:prstGeom prst="rect">
                      <a:avLst/>
                    </a:prstGeom>
                    <a:noFill/>
                    <a:ln w="9525">
                      <a:noFill/>
                      <a:miter lim="800000"/>
                      <a:headEnd/>
                      <a:tailEnd/>
                    </a:ln>
                  </pic:spPr>
                </pic:pic>
              </a:graphicData>
            </a:graphic>
          </wp:inline>
        </w:drawing>
      </w:r>
    </w:p>
    <w:p w:rsidR="00D024D6" w:rsidRDefault="00D024D6" w:rsidP="00B45597">
      <w:pPr>
        <w:jc w:val="center"/>
        <w:rPr>
          <w:rFonts w:cs="Arial"/>
          <w:b/>
          <w:sz w:val="20"/>
        </w:rPr>
      </w:pPr>
    </w:p>
    <w:p w:rsidR="00D0103F" w:rsidRDefault="00C30ED9" w:rsidP="00EE3232">
      <w:pPr>
        <w:spacing w:after="60"/>
        <w:jc w:val="both"/>
        <w:rPr>
          <w:rFonts w:cs="Arial"/>
          <w:sz w:val="20"/>
        </w:rPr>
      </w:pPr>
      <w:r w:rsidRPr="00C30ED9">
        <w:rPr>
          <w:rFonts w:cs="Arial"/>
          <w:sz w:val="20"/>
        </w:rPr>
        <w:t xml:space="preserve">As with the hardship trends </w:t>
      </w:r>
      <w:r w:rsidR="00A92341">
        <w:rPr>
          <w:rFonts w:cs="Arial"/>
          <w:sz w:val="20"/>
        </w:rPr>
        <w:t>noted above</w:t>
      </w:r>
      <w:r w:rsidRPr="00C30ED9">
        <w:rPr>
          <w:rFonts w:cs="Arial"/>
          <w:sz w:val="20"/>
        </w:rPr>
        <w:t xml:space="preserve">, </w:t>
      </w:r>
      <w:r w:rsidR="00A92341">
        <w:rPr>
          <w:rFonts w:cs="Arial"/>
          <w:sz w:val="20"/>
        </w:rPr>
        <w:t>the trend finding here</w:t>
      </w:r>
      <w:r w:rsidRPr="00C30ED9">
        <w:rPr>
          <w:rFonts w:cs="Arial"/>
          <w:sz w:val="20"/>
        </w:rPr>
        <w:t xml:space="preserve"> is robust</w:t>
      </w:r>
      <w:r w:rsidR="00866531">
        <w:rPr>
          <w:rFonts w:cs="Arial"/>
          <w:sz w:val="20"/>
        </w:rPr>
        <w:t xml:space="preserve"> to the choice of both the index used and the threshold applied.</w:t>
      </w:r>
      <w:r w:rsidR="00F40D28">
        <w:rPr>
          <w:rFonts w:cs="Arial"/>
          <w:sz w:val="20"/>
        </w:rPr>
        <w:t xml:space="preserve">  For example, using the more stringent ELSI threshold described </w:t>
      </w:r>
      <w:r w:rsidR="00CB2C1B">
        <w:rPr>
          <w:rFonts w:cs="Arial"/>
          <w:sz w:val="20"/>
        </w:rPr>
        <w:t>on the previous page</w:t>
      </w:r>
      <w:r w:rsidR="00F40D28">
        <w:rPr>
          <w:rFonts w:cs="Arial"/>
          <w:sz w:val="20"/>
        </w:rPr>
        <w:t>, the overlap group f</w:t>
      </w:r>
      <w:r w:rsidR="00CB2C1B">
        <w:rPr>
          <w:rFonts w:cs="Arial"/>
          <w:sz w:val="20"/>
        </w:rPr>
        <w:t>or</w:t>
      </w:r>
      <w:r w:rsidR="00F40D28">
        <w:rPr>
          <w:rFonts w:cs="Arial"/>
          <w:sz w:val="20"/>
        </w:rPr>
        <w:t xml:space="preserve"> children was 6% in the 2007 HES and </w:t>
      </w:r>
      <w:r w:rsidR="00A92341">
        <w:rPr>
          <w:rFonts w:cs="Arial"/>
          <w:sz w:val="20"/>
        </w:rPr>
        <w:t>10</w:t>
      </w:r>
      <w:r w:rsidR="00F40D28">
        <w:rPr>
          <w:rFonts w:cs="Arial"/>
          <w:sz w:val="20"/>
        </w:rPr>
        <w:t>% in 2011 HES.</w:t>
      </w:r>
    </w:p>
    <w:p w:rsidR="00866531" w:rsidRDefault="00D0103F" w:rsidP="00EE3232">
      <w:pPr>
        <w:spacing w:after="60"/>
        <w:jc w:val="both"/>
        <w:rPr>
          <w:rFonts w:cs="Arial"/>
          <w:sz w:val="20"/>
        </w:rPr>
      </w:pPr>
      <w:r>
        <w:rPr>
          <w:rFonts w:cs="Arial"/>
          <w:sz w:val="20"/>
        </w:rPr>
        <w:br w:type="page"/>
      </w:r>
    </w:p>
    <w:p w:rsidR="00614C04" w:rsidRPr="00C30ED9" w:rsidRDefault="005F130A" w:rsidP="00EE3232">
      <w:pPr>
        <w:spacing w:after="60"/>
        <w:jc w:val="both"/>
        <w:rPr>
          <w:sz w:val="20"/>
        </w:rPr>
        <w:sectPr w:rsidR="00614C04" w:rsidRPr="00C30ED9" w:rsidSect="005A3E8C">
          <w:headerReference w:type="default" r:id="rId125"/>
          <w:pgSz w:w="11909" w:h="16834" w:code="9"/>
          <w:pgMar w:top="1440" w:right="1584" w:bottom="1440" w:left="1584" w:header="706" w:footer="706" w:gutter="0"/>
          <w:cols w:space="720"/>
        </w:sectPr>
      </w:pPr>
      <w:r w:rsidRPr="00C30ED9">
        <w:rPr>
          <w:sz w:val="20"/>
        </w:rPr>
        <w:t xml:space="preserve"> </w:t>
      </w:r>
    </w:p>
    <w:p w:rsidR="00614C04" w:rsidRDefault="00614C04" w:rsidP="00614C04">
      <w:pPr>
        <w:jc w:val="center"/>
        <w:rPr>
          <w:rFonts w:cs="Arial"/>
          <w:b/>
          <w:sz w:val="28"/>
          <w:szCs w:val="28"/>
        </w:rPr>
      </w:pPr>
      <w:r>
        <w:rPr>
          <w:rFonts w:cs="Arial"/>
          <w:b/>
          <w:sz w:val="28"/>
          <w:szCs w:val="28"/>
        </w:rPr>
        <w:lastRenderedPageBreak/>
        <w:t>Section L</w:t>
      </w:r>
    </w:p>
    <w:p w:rsidR="00614C04" w:rsidRPr="00F82214" w:rsidRDefault="00614C04" w:rsidP="00614C04">
      <w:pPr>
        <w:jc w:val="center"/>
        <w:rPr>
          <w:rFonts w:cs="Arial"/>
          <w:b/>
          <w:sz w:val="28"/>
          <w:szCs w:val="28"/>
        </w:rPr>
      </w:pPr>
      <w:r w:rsidRPr="00F82214">
        <w:rPr>
          <w:rFonts w:cs="Arial"/>
          <w:b/>
          <w:sz w:val="28"/>
          <w:szCs w:val="28"/>
        </w:rPr>
        <w:t>Income</w:t>
      </w:r>
      <w:r>
        <w:rPr>
          <w:rFonts w:cs="Arial"/>
          <w:b/>
          <w:sz w:val="28"/>
          <w:szCs w:val="28"/>
        </w:rPr>
        <w:t xml:space="preserve"> mobility and low-income persis</w:t>
      </w:r>
      <w:r w:rsidRPr="00F82214">
        <w:rPr>
          <w:rFonts w:cs="Arial"/>
          <w:b/>
          <w:sz w:val="28"/>
          <w:szCs w:val="28"/>
        </w:rPr>
        <w:t>tence</w:t>
      </w:r>
    </w:p>
    <w:p w:rsidR="00614C04" w:rsidRPr="00F82214" w:rsidRDefault="00614C04" w:rsidP="00614C04">
      <w:pPr>
        <w:rPr>
          <w:rFonts w:cs="Arial"/>
          <w:sz w:val="20"/>
        </w:rPr>
      </w:pPr>
    </w:p>
    <w:p w:rsidR="00614C04" w:rsidRDefault="00614C04" w:rsidP="00614C04">
      <w:pPr>
        <w:rPr>
          <w:rFonts w:cs="Arial"/>
          <w:sz w:val="20"/>
        </w:rPr>
      </w:pPr>
    </w:p>
    <w:p w:rsidR="00614C04" w:rsidRDefault="00614C04" w:rsidP="004006F7">
      <w:pPr>
        <w:jc w:val="both"/>
        <w:rPr>
          <w:rFonts w:cs="Arial"/>
          <w:sz w:val="20"/>
        </w:rPr>
      </w:pPr>
      <w:r w:rsidRPr="00F82214">
        <w:rPr>
          <w:rFonts w:cs="Arial"/>
          <w:sz w:val="20"/>
        </w:rPr>
        <w:t xml:space="preserve">The income information in </w:t>
      </w:r>
      <w:r>
        <w:rPr>
          <w:rFonts w:cs="Arial"/>
          <w:sz w:val="20"/>
        </w:rPr>
        <w:t>the earlier sections of</w:t>
      </w:r>
      <w:r w:rsidRPr="00F82214">
        <w:rPr>
          <w:rFonts w:cs="Arial"/>
          <w:sz w:val="20"/>
        </w:rPr>
        <w:t xml:space="preserve"> the report is based on </w:t>
      </w:r>
      <w:r>
        <w:rPr>
          <w:rFonts w:cs="Arial"/>
          <w:sz w:val="20"/>
        </w:rPr>
        <w:t xml:space="preserve">data from </w:t>
      </w:r>
      <w:r w:rsidRPr="00F82214">
        <w:rPr>
          <w:rFonts w:cs="Arial"/>
          <w:sz w:val="20"/>
        </w:rPr>
        <w:t>repeat cross-sectional survey</w:t>
      </w:r>
      <w:r>
        <w:rPr>
          <w:rFonts w:cs="Arial"/>
          <w:sz w:val="20"/>
        </w:rPr>
        <w:t>s from the Household Economic Survey (HES) series</w:t>
      </w:r>
      <w:r w:rsidRPr="00F82214">
        <w:rPr>
          <w:rFonts w:cs="Arial"/>
          <w:sz w:val="20"/>
        </w:rPr>
        <w:t xml:space="preserve">.  </w:t>
      </w:r>
      <w:r>
        <w:rPr>
          <w:rFonts w:cs="Arial"/>
          <w:sz w:val="20"/>
        </w:rPr>
        <w:t>For</w:t>
      </w:r>
      <w:r w:rsidRPr="00F82214">
        <w:rPr>
          <w:rFonts w:cs="Arial"/>
          <w:sz w:val="20"/>
        </w:rPr>
        <w:t xml:space="preserve"> each survey</w:t>
      </w:r>
      <w:r>
        <w:rPr>
          <w:rFonts w:cs="Arial"/>
          <w:sz w:val="20"/>
        </w:rPr>
        <w:t xml:space="preserve"> a different sample of households is selected and different individuals are interviewed each </w:t>
      </w:r>
      <w:r w:rsidR="00F709F8">
        <w:rPr>
          <w:rFonts w:cs="Arial"/>
          <w:sz w:val="20"/>
        </w:rPr>
        <w:t>time</w:t>
      </w:r>
      <w:r>
        <w:rPr>
          <w:rFonts w:cs="Arial"/>
          <w:sz w:val="20"/>
        </w:rPr>
        <w:t>.</w:t>
      </w:r>
    </w:p>
    <w:p w:rsidR="00614C04" w:rsidRDefault="00614C04" w:rsidP="004006F7">
      <w:pPr>
        <w:jc w:val="both"/>
        <w:rPr>
          <w:rFonts w:cs="Arial"/>
          <w:sz w:val="20"/>
        </w:rPr>
      </w:pPr>
    </w:p>
    <w:p w:rsidR="00614C04" w:rsidRDefault="00614C04" w:rsidP="004006F7">
      <w:pPr>
        <w:jc w:val="both"/>
        <w:rPr>
          <w:rFonts w:cs="Arial"/>
          <w:sz w:val="20"/>
        </w:rPr>
      </w:pPr>
      <w:r>
        <w:rPr>
          <w:rFonts w:cs="Arial"/>
          <w:sz w:val="20"/>
        </w:rPr>
        <w:t xml:space="preserve">For this section, the income information is based on seven waves of longitudinal data from Statistics New Zealand’s Survey of Family, Income and Employment (SoFIE) which began in October 2002.  Here the same individuals are followed from one wave of the survey to the next.  Longitudinal data give a quite different perspective on trends over time and make possible a richer analysis that </w:t>
      </w:r>
      <w:r w:rsidR="00F709F8">
        <w:rPr>
          <w:rFonts w:cs="Arial"/>
          <w:sz w:val="20"/>
        </w:rPr>
        <w:t>can address</w:t>
      </w:r>
      <w:r>
        <w:rPr>
          <w:rFonts w:cs="Arial"/>
          <w:sz w:val="20"/>
        </w:rPr>
        <w:t xml:space="preserve"> a new set of questions around income mobility and the persistence of low-income.  For example:</w:t>
      </w:r>
    </w:p>
    <w:p w:rsidR="00614C04" w:rsidRDefault="00614C04" w:rsidP="004006F7">
      <w:pPr>
        <w:jc w:val="both"/>
        <w:rPr>
          <w:rFonts w:cs="Arial"/>
          <w:sz w:val="20"/>
        </w:rPr>
      </w:pPr>
    </w:p>
    <w:p w:rsidR="00614C04" w:rsidRDefault="00614C04" w:rsidP="00C16D86">
      <w:pPr>
        <w:numPr>
          <w:ilvl w:val="0"/>
          <w:numId w:val="124"/>
        </w:numPr>
        <w:jc w:val="both"/>
        <w:rPr>
          <w:rFonts w:cs="Arial"/>
          <w:sz w:val="20"/>
        </w:rPr>
      </w:pPr>
      <w:r>
        <w:rPr>
          <w:rFonts w:cs="Arial"/>
          <w:sz w:val="20"/>
        </w:rPr>
        <w:t>If 20% of New Zealand children are identified as poor in a given year, what proportion of these stay poor over several years</w:t>
      </w:r>
      <w:r w:rsidR="00FB10CB">
        <w:rPr>
          <w:rFonts w:cs="Arial"/>
          <w:sz w:val="20"/>
        </w:rPr>
        <w:t xml:space="preserve"> or even longer</w:t>
      </w:r>
      <w:r>
        <w:rPr>
          <w:rFonts w:cs="Arial"/>
          <w:sz w:val="20"/>
        </w:rPr>
        <w:t>, and for how many is the low income experience ‘just’ a temporary one?</w:t>
      </w:r>
    </w:p>
    <w:p w:rsidR="00614C04" w:rsidRDefault="00614C04" w:rsidP="004006F7">
      <w:pPr>
        <w:jc w:val="both"/>
        <w:rPr>
          <w:rFonts w:cs="Arial"/>
          <w:sz w:val="20"/>
        </w:rPr>
      </w:pPr>
    </w:p>
    <w:p w:rsidR="00614C04" w:rsidRDefault="00614C04" w:rsidP="00C16D86">
      <w:pPr>
        <w:numPr>
          <w:ilvl w:val="0"/>
          <w:numId w:val="124"/>
        </w:numPr>
        <w:jc w:val="both"/>
        <w:rPr>
          <w:rFonts w:cs="Arial"/>
          <w:sz w:val="20"/>
        </w:rPr>
      </w:pPr>
      <w:r>
        <w:rPr>
          <w:rFonts w:cs="Arial"/>
          <w:sz w:val="20"/>
        </w:rPr>
        <w:t xml:space="preserve">How much does the household income of individuals change over time?  Do most people remain in much the same relative position over 5-10 years, or do most move quite a lot?  </w:t>
      </w:r>
    </w:p>
    <w:p w:rsidR="00614C04" w:rsidRDefault="00614C04" w:rsidP="004006F7">
      <w:pPr>
        <w:ind w:left="360"/>
        <w:jc w:val="both"/>
        <w:rPr>
          <w:rFonts w:cs="Arial"/>
          <w:sz w:val="20"/>
        </w:rPr>
      </w:pPr>
    </w:p>
    <w:p w:rsidR="00614C04" w:rsidRDefault="00614C04" w:rsidP="00C16D86">
      <w:pPr>
        <w:numPr>
          <w:ilvl w:val="0"/>
          <w:numId w:val="124"/>
        </w:numPr>
        <w:jc w:val="both"/>
        <w:rPr>
          <w:rFonts w:cs="Arial"/>
          <w:sz w:val="20"/>
        </w:rPr>
      </w:pPr>
      <w:r>
        <w:rPr>
          <w:rFonts w:cs="Arial"/>
          <w:sz w:val="20"/>
        </w:rPr>
        <w:t xml:space="preserve">How does income mobility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compare with mobility in other countries?</w:t>
      </w:r>
    </w:p>
    <w:p w:rsidR="00614C04" w:rsidRDefault="00614C04" w:rsidP="004006F7">
      <w:pPr>
        <w:ind w:left="360"/>
        <w:jc w:val="both"/>
        <w:rPr>
          <w:rFonts w:cs="Arial"/>
          <w:sz w:val="20"/>
        </w:rPr>
      </w:pPr>
    </w:p>
    <w:p w:rsidR="00614C04" w:rsidRDefault="00614C04" w:rsidP="00C16D86">
      <w:pPr>
        <w:numPr>
          <w:ilvl w:val="0"/>
          <w:numId w:val="124"/>
        </w:numPr>
        <w:jc w:val="both"/>
        <w:rPr>
          <w:rFonts w:cs="Arial"/>
          <w:sz w:val="20"/>
        </w:rPr>
      </w:pPr>
      <w:r>
        <w:rPr>
          <w:rFonts w:cs="Arial"/>
          <w:sz w:val="20"/>
        </w:rPr>
        <w:t>Higher income inequality is sometimes seen as more tolerable if there is reasonably high income mobility.  How much does income mobility reduce single-year income inequality when inequality is measured for incomes averaged over increasing numbers of years?</w:t>
      </w:r>
    </w:p>
    <w:p w:rsidR="00614C04" w:rsidRDefault="00614C04" w:rsidP="004006F7">
      <w:pPr>
        <w:jc w:val="both"/>
        <w:rPr>
          <w:rFonts w:cs="Arial"/>
          <w:sz w:val="20"/>
        </w:rPr>
      </w:pPr>
    </w:p>
    <w:p w:rsidR="00614C04" w:rsidRDefault="00614C04" w:rsidP="004006F7">
      <w:pPr>
        <w:jc w:val="both"/>
        <w:rPr>
          <w:rFonts w:cs="Arial"/>
          <w:sz w:val="20"/>
        </w:rPr>
      </w:pPr>
    </w:p>
    <w:p w:rsidR="00614C04" w:rsidRPr="000F10CF" w:rsidRDefault="00614C04" w:rsidP="004006F7">
      <w:pPr>
        <w:jc w:val="both"/>
        <w:rPr>
          <w:rFonts w:cs="Arial"/>
          <w:b/>
          <w:szCs w:val="22"/>
        </w:rPr>
      </w:pPr>
      <w:r w:rsidRPr="000F10CF">
        <w:rPr>
          <w:rFonts w:cs="Arial"/>
          <w:b/>
          <w:szCs w:val="22"/>
        </w:rPr>
        <w:t>Source of</w:t>
      </w:r>
      <w:r w:rsidR="006122E4">
        <w:rPr>
          <w:rFonts w:cs="Arial"/>
          <w:b/>
          <w:szCs w:val="22"/>
        </w:rPr>
        <w:t xml:space="preserve"> the</w:t>
      </w:r>
      <w:r w:rsidRPr="000F10CF">
        <w:rPr>
          <w:rFonts w:cs="Arial"/>
          <w:b/>
          <w:szCs w:val="22"/>
        </w:rPr>
        <w:t xml:space="preserve"> SoFIE analysis </w:t>
      </w:r>
      <w:r w:rsidR="006122E4">
        <w:rPr>
          <w:rFonts w:cs="Arial"/>
          <w:b/>
          <w:szCs w:val="22"/>
        </w:rPr>
        <w:t>used in</w:t>
      </w:r>
      <w:r w:rsidRPr="000F10CF">
        <w:rPr>
          <w:rFonts w:cs="Arial"/>
          <w:b/>
          <w:szCs w:val="22"/>
        </w:rPr>
        <w:t xml:space="preserve"> this section</w:t>
      </w:r>
    </w:p>
    <w:p w:rsidR="00614C04" w:rsidRDefault="00614C04" w:rsidP="004006F7">
      <w:pPr>
        <w:jc w:val="both"/>
        <w:rPr>
          <w:rFonts w:cs="Arial"/>
          <w:sz w:val="20"/>
        </w:rPr>
      </w:pPr>
    </w:p>
    <w:p w:rsidR="00614C04" w:rsidRDefault="00883E0F" w:rsidP="004006F7">
      <w:pPr>
        <w:jc w:val="both"/>
        <w:rPr>
          <w:rFonts w:cs="Arial"/>
          <w:sz w:val="20"/>
        </w:rPr>
      </w:pPr>
      <w:r>
        <w:rPr>
          <w:rFonts w:cs="Arial"/>
          <w:sz w:val="20"/>
        </w:rPr>
        <w:t>The</w:t>
      </w:r>
      <w:r w:rsidR="00614C04">
        <w:rPr>
          <w:rFonts w:cs="Arial"/>
          <w:sz w:val="20"/>
        </w:rPr>
        <w:t xml:space="preserve"> SoFIE figures used in this section are based </w:t>
      </w:r>
      <w:r w:rsidR="004E2884">
        <w:rPr>
          <w:rFonts w:cs="Arial"/>
          <w:sz w:val="20"/>
        </w:rPr>
        <w:t xml:space="preserve">in the main </w:t>
      </w:r>
      <w:r w:rsidR="00614C04">
        <w:rPr>
          <w:rFonts w:cs="Arial"/>
          <w:sz w:val="20"/>
        </w:rPr>
        <w:t xml:space="preserve">on the analysis recently published in Carter and Imlach Gunasekara (2012).  </w:t>
      </w:r>
      <w:r w:rsidR="00502B7F">
        <w:rPr>
          <w:rFonts w:cs="Arial"/>
          <w:sz w:val="20"/>
        </w:rPr>
        <w:t xml:space="preserve">[This source document is referred to as UO from here on.] </w:t>
      </w:r>
      <w:r w:rsidR="004E2884">
        <w:rPr>
          <w:rFonts w:cs="Arial"/>
          <w:sz w:val="20"/>
        </w:rPr>
        <w:t xml:space="preserve"> This is the first time that findings of this sort have been available for </w:t>
      </w:r>
      <w:smartTag w:uri="urn:schemas-microsoft-com:office:smarttags" w:element="place">
        <w:smartTag w:uri="urn:schemas-microsoft-com:office:smarttags" w:element="country-region">
          <w:r w:rsidR="004E2884">
            <w:rPr>
              <w:rFonts w:cs="Arial"/>
              <w:sz w:val="20"/>
            </w:rPr>
            <w:t>New Zealand</w:t>
          </w:r>
        </w:smartTag>
      </w:smartTag>
      <w:r w:rsidR="004E2884">
        <w:rPr>
          <w:rFonts w:cs="Arial"/>
          <w:sz w:val="20"/>
        </w:rPr>
        <w:t xml:space="preserve">. </w:t>
      </w:r>
      <w:r w:rsidR="00502B7F">
        <w:rPr>
          <w:rFonts w:cs="Arial"/>
          <w:sz w:val="20"/>
        </w:rPr>
        <w:t xml:space="preserve"> </w:t>
      </w:r>
      <w:r>
        <w:rPr>
          <w:rFonts w:cs="Arial"/>
          <w:sz w:val="20"/>
        </w:rPr>
        <w:t xml:space="preserve">A few tables and findings </w:t>
      </w:r>
      <w:r w:rsidR="00F709F8">
        <w:rPr>
          <w:rFonts w:cs="Arial"/>
          <w:sz w:val="20"/>
        </w:rPr>
        <w:t xml:space="preserve">in this section </w:t>
      </w:r>
      <w:r>
        <w:rPr>
          <w:rFonts w:cs="Arial"/>
          <w:sz w:val="20"/>
        </w:rPr>
        <w:t xml:space="preserve">are based on unpublished SoFIE analysis kindly provided by the UO authors. </w:t>
      </w:r>
      <w:r w:rsidR="00614C04">
        <w:rPr>
          <w:rFonts w:cs="Arial"/>
          <w:sz w:val="20"/>
        </w:rPr>
        <w:t xml:space="preserve">The international comparisons and some secondary analysis are from Perry (2012, forthcoming). </w:t>
      </w:r>
    </w:p>
    <w:p w:rsidR="00614C04" w:rsidRPr="006122E4" w:rsidRDefault="00614C04" w:rsidP="004006F7">
      <w:pPr>
        <w:jc w:val="both"/>
        <w:rPr>
          <w:rFonts w:cs="Arial"/>
          <w:b/>
          <w:sz w:val="20"/>
        </w:rPr>
      </w:pPr>
    </w:p>
    <w:p w:rsidR="00614C04" w:rsidRPr="006122E4" w:rsidRDefault="00614C04" w:rsidP="004006F7">
      <w:pPr>
        <w:jc w:val="both"/>
        <w:rPr>
          <w:rFonts w:cs="Arial"/>
          <w:b/>
          <w:sz w:val="20"/>
        </w:rPr>
      </w:pPr>
    </w:p>
    <w:p w:rsidR="00614C04" w:rsidRPr="00C22B2B" w:rsidRDefault="00C16D86" w:rsidP="004006F7">
      <w:pPr>
        <w:jc w:val="both"/>
        <w:rPr>
          <w:rFonts w:cs="Arial"/>
          <w:b/>
          <w:szCs w:val="22"/>
        </w:rPr>
      </w:pPr>
      <w:r>
        <w:rPr>
          <w:rFonts w:cs="Arial"/>
          <w:b/>
          <w:szCs w:val="22"/>
        </w:rPr>
        <w:t>This section includes:</w:t>
      </w:r>
    </w:p>
    <w:p w:rsidR="001E2F42" w:rsidRDefault="001E2F42" w:rsidP="001E2F42">
      <w:pPr>
        <w:ind w:left="360"/>
        <w:jc w:val="both"/>
        <w:rPr>
          <w:rFonts w:cs="Arial"/>
          <w:sz w:val="20"/>
        </w:rPr>
      </w:pPr>
    </w:p>
    <w:p w:rsidR="00614C04" w:rsidRDefault="0071673D" w:rsidP="004006F7">
      <w:pPr>
        <w:numPr>
          <w:ilvl w:val="0"/>
          <w:numId w:val="103"/>
        </w:numPr>
        <w:jc w:val="both"/>
        <w:rPr>
          <w:rFonts w:cs="Arial"/>
          <w:sz w:val="20"/>
        </w:rPr>
      </w:pPr>
      <w:r>
        <w:rPr>
          <w:rFonts w:cs="Arial"/>
          <w:sz w:val="20"/>
        </w:rPr>
        <w:t>A</w:t>
      </w:r>
      <w:r w:rsidR="00C16D86">
        <w:rPr>
          <w:rFonts w:cs="Arial"/>
          <w:sz w:val="20"/>
        </w:rPr>
        <w:t xml:space="preserve"> brief description of the SoFIE data and some of its limitations to be aware of when interpreting the findings</w:t>
      </w:r>
      <w:r>
        <w:rPr>
          <w:rFonts w:cs="Arial"/>
          <w:sz w:val="20"/>
        </w:rPr>
        <w:t>.</w:t>
      </w:r>
    </w:p>
    <w:p w:rsidR="001E2F42" w:rsidRDefault="001E2F42" w:rsidP="001E2F42">
      <w:pPr>
        <w:ind w:left="360"/>
        <w:jc w:val="both"/>
        <w:rPr>
          <w:rFonts w:cs="Arial"/>
          <w:sz w:val="20"/>
        </w:rPr>
      </w:pPr>
    </w:p>
    <w:p w:rsidR="00614C04" w:rsidRDefault="0071673D" w:rsidP="004006F7">
      <w:pPr>
        <w:numPr>
          <w:ilvl w:val="0"/>
          <w:numId w:val="103"/>
        </w:numPr>
        <w:jc w:val="both"/>
        <w:rPr>
          <w:rFonts w:cs="Arial"/>
          <w:sz w:val="20"/>
        </w:rPr>
      </w:pPr>
      <w:r>
        <w:rPr>
          <w:rFonts w:cs="Arial"/>
          <w:sz w:val="20"/>
        </w:rPr>
        <w:t>A</w:t>
      </w:r>
      <w:r w:rsidR="00C16D86">
        <w:rPr>
          <w:rFonts w:cs="Arial"/>
          <w:sz w:val="20"/>
        </w:rPr>
        <w:t xml:space="preserve">n outline of the different ways in which </w:t>
      </w:r>
      <w:r w:rsidR="00614C04">
        <w:rPr>
          <w:rFonts w:cs="Arial"/>
          <w:sz w:val="20"/>
        </w:rPr>
        <w:t>income mobility</w:t>
      </w:r>
      <w:r w:rsidR="00C16D86">
        <w:rPr>
          <w:rFonts w:cs="Arial"/>
          <w:sz w:val="20"/>
        </w:rPr>
        <w:t xml:space="preserve"> is conceptualised and measured</w:t>
      </w:r>
      <w:r>
        <w:rPr>
          <w:rFonts w:cs="Arial"/>
          <w:sz w:val="20"/>
        </w:rPr>
        <w:t>.</w:t>
      </w:r>
    </w:p>
    <w:p w:rsidR="001E2F42" w:rsidRDefault="001E2F42" w:rsidP="001E2F42">
      <w:pPr>
        <w:ind w:left="360"/>
        <w:jc w:val="both"/>
        <w:rPr>
          <w:rFonts w:cs="Arial"/>
          <w:sz w:val="20"/>
        </w:rPr>
      </w:pPr>
    </w:p>
    <w:p w:rsidR="00614C04" w:rsidRDefault="0071673D" w:rsidP="004006F7">
      <w:pPr>
        <w:numPr>
          <w:ilvl w:val="0"/>
          <w:numId w:val="103"/>
        </w:numPr>
        <w:jc w:val="both"/>
        <w:rPr>
          <w:rFonts w:cs="Arial"/>
          <w:sz w:val="20"/>
        </w:rPr>
      </w:pPr>
      <w:r>
        <w:rPr>
          <w:rFonts w:cs="Arial"/>
          <w:sz w:val="20"/>
        </w:rPr>
        <w:t>F</w:t>
      </w:r>
      <w:r w:rsidR="00614C04">
        <w:rPr>
          <w:rFonts w:cs="Arial"/>
          <w:sz w:val="20"/>
        </w:rPr>
        <w:t>indings on income mobility with international comparisons</w:t>
      </w:r>
      <w:r>
        <w:rPr>
          <w:rFonts w:cs="Arial"/>
          <w:sz w:val="20"/>
        </w:rPr>
        <w:t>.</w:t>
      </w:r>
    </w:p>
    <w:p w:rsidR="001E2F42" w:rsidRDefault="001E2F42" w:rsidP="001E2F42">
      <w:pPr>
        <w:ind w:left="360"/>
        <w:jc w:val="both"/>
        <w:rPr>
          <w:rFonts w:cs="Arial"/>
          <w:sz w:val="20"/>
        </w:rPr>
      </w:pPr>
    </w:p>
    <w:p w:rsidR="001E2F42" w:rsidRDefault="0071673D" w:rsidP="001E2F42">
      <w:pPr>
        <w:numPr>
          <w:ilvl w:val="0"/>
          <w:numId w:val="103"/>
        </w:numPr>
        <w:jc w:val="both"/>
        <w:rPr>
          <w:rFonts w:cs="Arial"/>
          <w:sz w:val="20"/>
        </w:rPr>
      </w:pPr>
      <w:r>
        <w:rPr>
          <w:rFonts w:cs="Arial"/>
          <w:sz w:val="20"/>
        </w:rPr>
        <w:t>An</w:t>
      </w:r>
      <w:r w:rsidR="001E2F42">
        <w:rPr>
          <w:rFonts w:cs="Arial"/>
          <w:sz w:val="20"/>
        </w:rPr>
        <w:t xml:space="preserve"> outline of the different ways in which low-income persistence / poverty dynamics is conceptualised and measured</w:t>
      </w:r>
      <w:r>
        <w:rPr>
          <w:rFonts w:cs="Arial"/>
          <w:sz w:val="20"/>
        </w:rPr>
        <w:t>.</w:t>
      </w:r>
    </w:p>
    <w:p w:rsidR="001E2F42" w:rsidRDefault="001E2F42" w:rsidP="001E2F42">
      <w:pPr>
        <w:ind w:left="360"/>
        <w:jc w:val="both"/>
        <w:rPr>
          <w:rFonts w:cs="Arial"/>
          <w:sz w:val="20"/>
        </w:rPr>
      </w:pPr>
    </w:p>
    <w:p w:rsidR="00614C04" w:rsidRDefault="0071673D" w:rsidP="004006F7">
      <w:pPr>
        <w:numPr>
          <w:ilvl w:val="0"/>
          <w:numId w:val="103"/>
        </w:numPr>
        <w:jc w:val="both"/>
        <w:rPr>
          <w:rFonts w:cs="Arial"/>
          <w:sz w:val="20"/>
        </w:rPr>
      </w:pPr>
      <w:r>
        <w:rPr>
          <w:rFonts w:cs="Arial"/>
          <w:sz w:val="20"/>
        </w:rPr>
        <w:t>S</w:t>
      </w:r>
      <w:r w:rsidR="001E2F42">
        <w:rPr>
          <w:rFonts w:cs="Arial"/>
          <w:sz w:val="20"/>
        </w:rPr>
        <w:t xml:space="preserve">ome findings on </w:t>
      </w:r>
      <w:r w:rsidR="00614C04">
        <w:rPr>
          <w:rFonts w:cs="Arial"/>
          <w:sz w:val="20"/>
        </w:rPr>
        <w:t>low-income persistence and the relationship between cross-section</w:t>
      </w:r>
      <w:r w:rsidR="00F709F8">
        <w:rPr>
          <w:rFonts w:cs="Arial"/>
          <w:sz w:val="20"/>
        </w:rPr>
        <w:t>al (current) poverty rates and</w:t>
      </w:r>
      <w:r w:rsidR="00614C04">
        <w:rPr>
          <w:rFonts w:cs="Arial"/>
          <w:sz w:val="20"/>
        </w:rPr>
        <w:t xml:space="preserve"> </w:t>
      </w:r>
      <w:r w:rsidR="001E2F42">
        <w:rPr>
          <w:rFonts w:cs="Arial"/>
          <w:sz w:val="20"/>
        </w:rPr>
        <w:t xml:space="preserve">poverty </w:t>
      </w:r>
      <w:r w:rsidR="00614C04">
        <w:rPr>
          <w:rFonts w:cs="Arial"/>
          <w:sz w:val="20"/>
        </w:rPr>
        <w:t>rates</w:t>
      </w:r>
      <w:r w:rsidR="00F709F8">
        <w:rPr>
          <w:rFonts w:cs="Arial"/>
          <w:sz w:val="20"/>
        </w:rPr>
        <w:t xml:space="preserve"> from a longitudinal perspective</w:t>
      </w:r>
      <w:r w:rsidR="00CF04E4">
        <w:rPr>
          <w:rFonts w:cs="Arial"/>
          <w:sz w:val="20"/>
        </w:rPr>
        <w:t>.</w:t>
      </w:r>
    </w:p>
    <w:p w:rsidR="001E2F42" w:rsidRDefault="001E2F42" w:rsidP="001E2F42">
      <w:pPr>
        <w:ind w:left="360"/>
        <w:jc w:val="both"/>
        <w:rPr>
          <w:rFonts w:cs="Arial"/>
          <w:sz w:val="20"/>
        </w:rPr>
      </w:pPr>
    </w:p>
    <w:p w:rsidR="00614C04" w:rsidRDefault="00614C04" w:rsidP="004006F7">
      <w:pPr>
        <w:jc w:val="both"/>
        <w:rPr>
          <w:rFonts w:cs="Arial"/>
          <w:sz w:val="20"/>
        </w:rPr>
      </w:pPr>
    </w:p>
    <w:p w:rsidR="00614C04" w:rsidRDefault="00614C04" w:rsidP="004006F7">
      <w:pPr>
        <w:jc w:val="both"/>
        <w:rPr>
          <w:rFonts w:cs="Arial"/>
          <w:sz w:val="20"/>
        </w:rPr>
      </w:pPr>
    </w:p>
    <w:p w:rsidR="00614C04" w:rsidRPr="00101BB1" w:rsidRDefault="0063776B" w:rsidP="004006F7">
      <w:pPr>
        <w:jc w:val="both"/>
        <w:rPr>
          <w:rFonts w:cs="Arial"/>
          <w:b/>
          <w:szCs w:val="22"/>
        </w:rPr>
      </w:pPr>
      <w:r>
        <w:rPr>
          <w:rFonts w:cs="Arial"/>
          <w:b/>
          <w:szCs w:val="22"/>
        </w:rPr>
        <w:br w:type="page"/>
      </w:r>
      <w:r w:rsidR="00614C04" w:rsidRPr="00101BB1">
        <w:rPr>
          <w:rFonts w:cs="Arial"/>
          <w:b/>
          <w:szCs w:val="22"/>
        </w:rPr>
        <w:lastRenderedPageBreak/>
        <w:t>The SoFIE data</w:t>
      </w:r>
    </w:p>
    <w:p w:rsidR="00614C04" w:rsidRDefault="00614C04" w:rsidP="004006F7">
      <w:pPr>
        <w:jc w:val="both"/>
        <w:rPr>
          <w:rFonts w:cs="Arial"/>
          <w:sz w:val="20"/>
        </w:rPr>
      </w:pPr>
    </w:p>
    <w:p w:rsidR="00614C04" w:rsidRDefault="006122E4" w:rsidP="004006F7">
      <w:pPr>
        <w:jc w:val="both"/>
        <w:rPr>
          <w:rFonts w:cs="Arial"/>
          <w:sz w:val="20"/>
        </w:rPr>
      </w:pPr>
      <w:r>
        <w:rPr>
          <w:rFonts w:cs="Arial"/>
          <w:sz w:val="20"/>
        </w:rPr>
        <w:t>The initial SoFIE sample</w:t>
      </w:r>
      <w:r w:rsidR="00614C04">
        <w:rPr>
          <w:rFonts w:cs="Arial"/>
          <w:sz w:val="20"/>
        </w:rPr>
        <w:t xml:space="preserve"> in wave </w:t>
      </w:r>
      <w:r w:rsidR="00F709F8">
        <w:rPr>
          <w:rFonts w:cs="Arial"/>
          <w:sz w:val="20"/>
        </w:rPr>
        <w:t>one</w:t>
      </w:r>
      <w:r w:rsidR="00614C04">
        <w:rPr>
          <w:rFonts w:cs="Arial"/>
          <w:sz w:val="20"/>
        </w:rPr>
        <w:t xml:space="preserve"> (2002-03) comprised around 11,500 households and almost 30,000 respondents (</w:t>
      </w:r>
      <w:r w:rsidR="00883E0F">
        <w:rPr>
          <w:rFonts w:cs="Arial"/>
          <w:sz w:val="20"/>
        </w:rPr>
        <w:t>22,000 aged 15+</w:t>
      </w:r>
      <w:r w:rsidR="00614C04">
        <w:rPr>
          <w:rFonts w:cs="Arial"/>
          <w:sz w:val="20"/>
        </w:rPr>
        <w:t xml:space="preserve">).  By wave </w:t>
      </w:r>
      <w:r w:rsidR="00F709F8">
        <w:rPr>
          <w:rFonts w:cs="Arial"/>
          <w:sz w:val="20"/>
        </w:rPr>
        <w:t>seven</w:t>
      </w:r>
      <w:r w:rsidR="00614C04">
        <w:rPr>
          <w:rFonts w:cs="Arial"/>
          <w:sz w:val="20"/>
        </w:rPr>
        <w:t xml:space="preserve"> (2008-09), just under 1</w:t>
      </w:r>
      <w:r w:rsidR="00883E0F">
        <w:rPr>
          <w:rFonts w:cs="Arial"/>
          <w:sz w:val="20"/>
        </w:rPr>
        <w:t>4</w:t>
      </w:r>
      <w:r w:rsidR="00614C04">
        <w:rPr>
          <w:rFonts w:cs="Arial"/>
          <w:sz w:val="20"/>
        </w:rPr>
        <w:t xml:space="preserve">,000 adults (over 15 years) were left, 66% of those in wave </w:t>
      </w:r>
      <w:r w:rsidR="00F709F8">
        <w:rPr>
          <w:rFonts w:cs="Arial"/>
          <w:sz w:val="20"/>
        </w:rPr>
        <w:t>one</w:t>
      </w:r>
      <w:r w:rsidR="00614C04">
        <w:rPr>
          <w:rFonts w:cs="Arial"/>
          <w:sz w:val="20"/>
        </w:rPr>
        <w:t>.  Th</w:t>
      </w:r>
      <w:r w:rsidR="00883E0F">
        <w:rPr>
          <w:rFonts w:cs="Arial"/>
          <w:sz w:val="20"/>
        </w:rPr>
        <w:t>e overall</w:t>
      </w:r>
      <w:r w:rsidR="00614C04">
        <w:rPr>
          <w:rFonts w:cs="Arial"/>
          <w:sz w:val="20"/>
        </w:rPr>
        <w:t xml:space="preserve"> attrition rate</w:t>
      </w:r>
      <w:r w:rsidR="00883E0F">
        <w:rPr>
          <w:rFonts w:cs="Arial"/>
          <w:sz w:val="20"/>
        </w:rPr>
        <w:t xml:space="preserve"> (63%</w:t>
      </w:r>
      <w:r w:rsidR="00F709F8">
        <w:rPr>
          <w:rFonts w:cs="Arial"/>
          <w:sz w:val="20"/>
        </w:rPr>
        <w:t xml:space="preserve"> remaining after seven waves</w:t>
      </w:r>
      <w:r w:rsidR="00883E0F">
        <w:rPr>
          <w:rFonts w:cs="Arial"/>
          <w:sz w:val="20"/>
        </w:rPr>
        <w:t>)</w:t>
      </w:r>
      <w:r w:rsidR="00614C04">
        <w:rPr>
          <w:rFonts w:cs="Arial"/>
          <w:sz w:val="20"/>
        </w:rPr>
        <w:t xml:space="preserve"> is comparable to other similar international longitudinal surveys such as </w:t>
      </w:r>
      <w:smartTag w:uri="urn:schemas-microsoft-com:office:smarttags" w:element="country-region">
        <w:r w:rsidR="00614C04">
          <w:rPr>
            <w:rFonts w:cs="Arial"/>
            <w:sz w:val="20"/>
          </w:rPr>
          <w:t>Australia</w:t>
        </w:r>
      </w:smartTag>
      <w:r w:rsidR="00614C04">
        <w:rPr>
          <w:rFonts w:cs="Arial"/>
          <w:sz w:val="20"/>
        </w:rPr>
        <w:t xml:space="preserve">’s HILDA (69%) and the </w:t>
      </w:r>
      <w:smartTag w:uri="urn:schemas-microsoft-com:office:smarttags" w:element="country-region">
        <w:smartTag w:uri="urn:schemas-microsoft-com:office:smarttags" w:element="place">
          <w:r w:rsidR="00614C04">
            <w:rPr>
              <w:rFonts w:cs="Arial"/>
              <w:sz w:val="20"/>
            </w:rPr>
            <w:t>UK</w:t>
          </w:r>
        </w:smartTag>
      </w:smartTag>
      <w:r w:rsidR="00614C04">
        <w:rPr>
          <w:rFonts w:cs="Arial"/>
          <w:sz w:val="20"/>
        </w:rPr>
        <w:t>’s BHPS (67%).</w:t>
      </w:r>
    </w:p>
    <w:p w:rsidR="00614C04" w:rsidRDefault="00614C04" w:rsidP="004006F7">
      <w:pPr>
        <w:jc w:val="both"/>
        <w:rPr>
          <w:rFonts w:cs="Arial"/>
          <w:sz w:val="20"/>
        </w:rPr>
      </w:pPr>
    </w:p>
    <w:p w:rsidR="00614C04" w:rsidRDefault="00614C04" w:rsidP="004006F7">
      <w:pPr>
        <w:jc w:val="both"/>
        <w:rPr>
          <w:rFonts w:cs="Arial"/>
          <w:sz w:val="20"/>
        </w:rPr>
      </w:pPr>
      <w:r>
        <w:rPr>
          <w:rFonts w:cs="Arial"/>
          <w:sz w:val="20"/>
        </w:rPr>
        <w:t xml:space="preserve">The analyses in </w:t>
      </w:r>
      <w:r w:rsidR="004E2884">
        <w:rPr>
          <w:rFonts w:cs="Arial"/>
          <w:sz w:val="20"/>
        </w:rPr>
        <w:t>UO</w:t>
      </w:r>
      <w:r>
        <w:rPr>
          <w:rFonts w:cs="Arial"/>
          <w:sz w:val="20"/>
        </w:rPr>
        <w:t xml:space="preserve"> use a ‘balanced panel’ made up of SoFIE participants who were eligible at wave 1 and who responded in all seven waves, giving a usable sample of just under 19,000.</w:t>
      </w:r>
    </w:p>
    <w:p w:rsidR="00614C04" w:rsidRDefault="00614C04" w:rsidP="00614C04">
      <w:pPr>
        <w:rPr>
          <w:rFonts w:cs="Arial"/>
          <w:sz w:val="20"/>
        </w:rPr>
      </w:pPr>
    </w:p>
    <w:p w:rsidR="00614C04" w:rsidRDefault="00614C04" w:rsidP="006122E4">
      <w:pPr>
        <w:jc w:val="both"/>
        <w:rPr>
          <w:rFonts w:cs="Arial"/>
          <w:sz w:val="20"/>
        </w:rPr>
      </w:pPr>
      <w:r>
        <w:rPr>
          <w:rFonts w:cs="Arial"/>
          <w:sz w:val="20"/>
        </w:rPr>
        <w:t xml:space="preserve">Three features of the SoFIE data have implications for the interpretation of the findings reported in </w:t>
      </w:r>
      <w:r w:rsidR="004E2884">
        <w:rPr>
          <w:rFonts w:cs="Arial"/>
          <w:sz w:val="20"/>
        </w:rPr>
        <w:t>UO</w:t>
      </w:r>
      <w:r>
        <w:rPr>
          <w:rFonts w:cs="Arial"/>
          <w:sz w:val="20"/>
        </w:rPr>
        <w:t xml:space="preserve"> and in this section:</w:t>
      </w:r>
    </w:p>
    <w:p w:rsidR="00614C04" w:rsidRDefault="00614C04" w:rsidP="006A7CC3">
      <w:pPr>
        <w:numPr>
          <w:ilvl w:val="0"/>
          <w:numId w:val="102"/>
        </w:numPr>
        <w:spacing w:before="120"/>
        <w:ind w:left="714" w:hanging="357"/>
        <w:jc w:val="both"/>
        <w:rPr>
          <w:rFonts w:cs="Arial"/>
          <w:sz w:val="20"/>
        </w:rPr>
      </w:pPr>
      <w:r w:rsidRPr="004F7A7F">
        <w:rPr>
          <w:rFonts w:cs="Arial"/>
          <w:sz w:val="20"/>
          <w:u w:val="single"/>
        </w:rPr>
        <w:t>Unweighted sample numbers are used for all the analysis</w:t>
      </w:r>
      <w:r>
        <w:rPr>
          <w:rFonts w:cs="Arial"/>
          <w:sz w:val="20"/>
        </w:rPr>
        <w:t>.  The attrition noted above was greater among Maori, those with low income and sole parents.</w:t>
      </w:r>
      <w:r>
        <w:rPr>
          <w:rStyle w:val="FootnoteReference"/>
          <w:rFonts w:cs="Arial"/>
          <w:sz w:val="20"/>
        </w:rPr>
        <w:footnoteReference w:id="100"/>
      </w:r>
      <w:r>
        <w:rPr>
          <w:rFonts w:cs="Arial"/>
          <w:sz w:val="20"/>
        </w:rPr>
        <w:t xml:space="preserve">  Th</w:t>
      </w:r>
      <w:r w:rsidR="00F709F8">
        <w:rPr>
          <w:rFonts w:cs="Arial"/>
          <w:sz w:val="20"/>
        </w:rPr>
        <w:t xml:space="preserve">is can lead to attrition bias. </w:t>
      </w:r>
      <w:r>
        <w:rPr>
          <w:rFonts w:cs="Arial"/>
          <w:sz w:val="20"/>
        </w:rPr>
        <w:t xml:space="preserve">To partially address the potential bias issues arising from attrition, longitudinal surveys generally use longitudinal weights to adjust the sample back to the original sample composition.  Unfortunately, no suitable longitudinal weights were available for the analysis reported in </w:t>
      </w:r>
      <w:r w:rsidR="004E2884">
        <w:rPr>
          <w:rFonts w:cs="Arial"/>
          <w:sz w:val="20"/>
        </w:rPr>
        <w:t>UO.</w:t>
      </w:r>
      <w:r>
        <w:rPr>
          <w:rFonts w:cs="Arial"/>
          <w:sz w:val="20"/>
        </w:rPr>
        <w:t xml:space="preserve">  This means, for example, that median and mean incomes will be over-estimated and the estimated proportion with low incomes will be under-estimated more and more in later waves</w:t>
      </w:r>
    </w:p>
    <w:p w:rsidR="00614C04" w:rsidRDefault="00614C04" w:rsidP="006A7CC3">
      <w:pPr>
        <w:numPr>
          <w:ilvl w:val="0"/>
          <w:numId w:val="102"/>
        </w:numPr>
        <w:spacing w:before="120"/>
        <w:ind w:left="714" w:hanging="357"/>
        <w:jc w:val="both"/>
        <w:rPr>
          <w:rFonts w:cs="Arial"/>
          <w:sz w:val="20"/>
        </w:rPr>
      </w:pPr>
      <w:r w:rsidRPr="004F7A7F">
        <w:rPr>
          <w:rFonts w:cs="Arial"/>
          <w:sz w:val="20"/>
          <w:u w:val="single"/>
        </w:rPr>
        <w:t>The income measure used is gross equivalised household income</w:t>
      </w:r>
      <w:r>
        <w:rPr>
          <w:rFonts w:cs="Arial"/>
          <w:sz w:val="20"/>
        </w:rPr>
        <w:t xml:space="preserve"> – that is, household income from all sources before the deduction of income tax but including all reported transfers and Working for Families tax credits, adjusted for household size and composition.  For the analysis of </w:t>
      </w:r>
      <w:r w:rsidR="00F709F8">
        <w:rPr>
          <w:rFonts w:cs="Arial"/>
          <w:sz w:val="20"/>
        </w:rPr>
        <w:t xml:space="preserve">the distribution of </w:t>
      </w:r>
      <w:r>
        <w:rPr>
          <w:rFonts w:cs="Arial"/>
          <w:sz w:val="20"/>
        </w:rPr>
        <w:t xml:space="preserve">income </w:t>
      </w:r>
      <w:r w:rsidR="00F709F8">
        <w:rPr>
          <w:rFonts w:cs="Arial"/>
          <w:sz w:val="20"/>
        </w:rPr>
        <w:t>and especially for low-</w:t>
      </w:r>
      <w:r>
        <w:rPr>
          <w:rFonts w:cs="Arial"/>
          <w:sz w:val="20"/>
        </w:rPr>
        <w:t>income (poverty) analysis</w:t>
      </w:r>
      <w:r w:rsidR="00F709F8">
        <w:rPr>
          <w:rFonts w:cs="Arial"/>
          <w:sz w:val="20"/>
        </w:rPr>
        <w:t>,</w:t>
      </w:r>
      <w:r>
        <w:rPr>
          <w:rFonts w:cs="Arial"/>
          <w:sz w:val="20"/>
        </w:rPr>
        <w:t xml:space="preserve"> disposable equivalised household income is the standard income measure used – that is</w:t>
      </w:r>
      <w:r w:rsidR="006122E4">
        <w:rPr>
          <w:rFonts w:cs="Arial"/>
          <w:sz w:val="20"/>
        </w:rPr>
        <w:t>,</w:t>
      </w:r>
      <w:r>
        <w:rPr>
          <w:rFonts w:cs="Arial"/>
          <w:sz w:val="20"/>
        </w:rPr>
        <w:t xml:space="preserve"> household income from all sources less income tax, adjusted for household size and composition.  Households are ranked a little differently when using gross and disposable incomes as the total household tax deduction depends on the way the household income is distributed across adult household members.  Income tax is higher, for example, for a multi-adult single earner household than for a multi-adult multi-earner household with the same gross income.  It also means that the usual 50% and 60% of median low-income or poverty thresholds give different proportions as ‘poor’ than when using disposable (after tax) household income.</w:t>
      </w:r>
      <w:r w:rsidR="006A7CC3">
        <w:rPr>
          <w:rFonts w:cs="Arial"/>
          <w:sz w:val="20"/>
        </w:rPr>
        <w:t xml:space="preserve">  The 50% measure gives a population low-income rate of around 15% on average over the seven waves, and the 60% measure gives an average of 24%, compared with 12% and 18% using disposable household income.</w:t>
      </w:r>
      <w:r>
        <w:rPr>
          <w:rFonts w:cs="Arial"/>
          <w:sz w:val="20"/>
        </w:rPr>
        <w:t xml:space="preserve">   </w:t>
      </w:r>
    </w:p>
    <w:p w:rsidR="00614C04" w:rsidRDefault="00614C04" w:rsidP="006A7CC3">
      <w:pPr>
        <w:numPr>
          <w:ilvl w:val="0"/>
          <w:numId w:val="102"/>
        </w:numPr>
        <w:spacing w:before="120"/>
        <w:ind w:left="714" w:hanging="357"/>
        <w:jc w:val="both"/>
        <w:rPr>
          <w:rFonts w:cs="Arial"/>
          <w:sz w:val="20"/>
        </w:rPr>
      </w:pPr>
      <w:r>
        <w:rPr>
          <w:rFonts w:cs="Arial"/>
          <w:sz w:val="20"/>
          <w:u w:val="single"/>
        </w:rPr>
        <w:t>In common with all income surveys there is measurement error</w:t>
      </w:r>
      <w:r w:rsidRPr="003A4591">
        <w:rPr>
          <w:rFonts w:cs="Arial"/>
          <w:sz w:val="20"/>
        </w:rPr>
        <w:t>.</w:t>
      </w:r>
      <w:r>
        <w:rPr>
          <w:rFonts w:cs="Arial"/>
          <w:sz w:val="20"/>
        </w:rPr>
        <w:t xml:space="preserve">  This is especially</w:t>
      </w:r>
      <w:r w:rsidR="00C16D86">
        <w:rPr>
          <w:rFonts w:cs="Arial"/>
          <w:sz w:val="20"/>
        </w:rPr>
        <w:t xml:space="preserve"> the case for the bottom income decile</w:t>
      </w:r>
      <w:r>
        <w:rPr>
          <w:rFonts w:cs="Arial"/>
          <w:sz w:val="20"/>
        </w:rPr>
        <w:t xml:space="preserve"> (see Appendix </w:t>
      </w:r>
      <w:r w:rsidR="00F709F8">
        <w:rPr>
          <w:rFonts w:cs="Arial"/>
          <w:sz w:val="20"/>
        </w:rPr>
        <w:t>8</w:t>
      </w:r>
      <w:r>
        <w:rPr>
          <w:rFonts w:cs="Arial"/>
          <w:sz w:val="20"/>
        </w:rPr>
        <w:t xml:space="preserve"> for information on this for the HES).</w:t>
      </w:r>
    </w:p>
    <w:p w:rsidR="00614C04" w:rsidRDefault="00614C04" w:rsidP="0071673D">
      <w:pPr>
        <w:jc w:val="both"/>
        <w:rPr>
          <w:rFonts w:cs="Arial"/>
          <w:sz w:val="20"/>
        </w:rPr>
      </w:pPr>
    </w:p>
    <w:p w:rsidR="00614C04" w:rsidRDefault="00C16D86" w:rsidP="0071673D">
      <w:pPr>
        <w:jc w:val="both"/>
        <w:rPr>
          <w:rFonts w:cs="Arial"/>
          <w:sz w:val="20"/>
        </w:rPr>
      </w:pPr>
      <w:r>
        <w:rPr>
          <w:rFonts w:cs="Arial"/>
          <w:sz w:val="20"/>
        </w:rPr>
        <w:t xml:space="preserve">These features have three main implications for </w:t>
      </w:r>
      <w:r w:rsidR="0071673D">
        <w:rPr>
          <w:rFonts w:cs="Arial"/>
          <w:sz w:val="20"/>
        </w:rPr>
        <w:t xml:space="preserve">interpreting and using </w:t>
      </w:r>
      <w:r>
        <w:rPr>
          <w:rFonts w:cs="Arial"/>
          <w:sz w:val="20"/>
        </w:rPr>
        <w:t>the findings reported in this section:</w:t>
      </w:r>
    </w:p>
    <w:p w:rsidR="006A7CC3" w:rsidRDefault="00F709F8" w:rsidP="006A7CC3">
      <w:pPr>
        <w:numPr>
          <w:ilvl w:val="0"/>
          <w:numId w:val="102"/>
        </w:numPr>
        <w:spacing w:before="120"/>
        <w:ind w:left="714" w:hanging="357"/>
        <w:jc w:val="both"/>
        <w:rPr>
          <w:rFonts w:cs="Arial"/>
          <w:sz w:val="20"/>
        </w:rPr>
      </w:pPr>
      <w:r>
        <w:rPr>
          <w:rFonts w:cs="Arial"/>
          <w:sz w:val="20"/>
        </w:rPr>
        <w:t xml:space="preserve">The figures here and in the source do not support highly detailed conclusions, </w:t>
      </w:r>
      <w:r w:rsidR="006A7CC3">
        <w:rPr>
          <w:rFonts w:cs="Arial"/>
          <w:sz w:val="20"/>
        </w:rPr>
        <w:t>for example</w:t>
      </w:r>
      <w:r>
        <w:rPr>
          <w:rFonts w:cs="Arial"/>
          <w:sz w:val="20"/>
        </w:rPr>
        <w:t xml:space="preserve"> for population groups or for small changes from wave to wave.   </w:t>
      </w:r>
      <w:r w:rsidR="0071673D">
        <w:rPr>
          <w:rFonts w:cs="Arial"/>
          <w:sz w:val="20"/>
        </w:rPr>
        <w:t>The findings reported in this section are kept at a high enough level to ensure that the</w:t>
      </w:r>
      <w:r w:rsidR="00614C04">
        <w:rPr>
          <w:rFonts w:cs="Arial"/>
          <w:sz w:val="20"/>
        </w:rPr>
        <w:t xml:space="preserve"> figures </w:t>
      </w:r>
      <w:r w:rsidR="0071673D">
        <w:rPr>
          <w:rFonts w:cs="Arial"/>
          <w:sz w:val="20"/>
        </w:rPr>
        <w:t>are robust enough to support them.</w:t>
      </w:r>
      <w:r w:rsidR="00614C04">
        <w:rPr>
          <w:rFonts w:cs="Arial"/>
          <w:sz w:val="20"/>
        </w:rPr>
        <w:t xml:space="preserve"> </w:t>
      </w:r>
    </w:p>
    <w:p w:rsidR="0071673D" w:rsidRDefault="006A7CC3" w:rsidP="006A7CC3">
      <w:pPr>
        <w:numPr>
          <w:ilvl w:val="0"/>
          <w:numId w:val="102"/>
        </w:numPr>
        <w:spacing w:before="120"/>
        <w:ind w:left="714" w:hanging="357"/>
        <w:jc w:val="both"/>
        <w:rPr>
          <w:rFonts w:cs="Arial"/>
          <w:sz w:val="20"/>
        </w:rPr>
      </w:pPr>
      <w:r>
        <w:rPr>
          <w:rFonts w:cs="Arial"/>
          <w:sz w:val="20"/>
        </w:rPr>
        <w:t>It is preferable to look at the poverty persistence</w:t>
      </w:r>
      <w:r w:rsidR="0071673D">
        <w:rPr>
          <w:rFonts w:cs="Arial"/>
          <w:sz w:val="20"/>
        </w:rPr>
        <w:t xml:space="preserve"> findings </w:t>
      </w:r>
      <w:r>
        <w:rPr>
          <w:rFonts w:cs="Arial"/>
          <w:sz w:val="20"/>
        </w:rPr>
        <w:t xml:space="preserve">using the 50% </w:t>
      </w:r>
      <w:r w:rsidR="0071673D">
        <w:rPr>
          <w:rFonts w:cs="Arial"/>
          <w:sz w:val="20"/>
        </w:rPr>
        <w:t>of median figures for gross household income</w:t>
      </w:r>
      <w:r>
        <w:rPr>
          <w:rFonts w:cs="Arial"/>
          <w:sz w:val="20"/>
        </w:rPr>
        <w:t xml:space="preserve"> as these are closer to the more usual poverty figures reported than are the ones using the 60% of median gross household income (which in effect look at the lower quartile). </w:t>
      </w:r>
    </w:p>
    <w:p w:rsidR="00614C04" w:rsidRDefault="0071673D" w:rsidP="006A7CC3">
      <w:pPr>
        <w:numPr>
          <w:ilvl w:val="0"/>
          <w:numId w:val="102"/>
        </w:numPr>
        <w:spacing w:before="120"/>
        <w:ind w:left="714" w:hanging="357"/>
        <w:jc w:val="both"/>
        <w:rPr>
          <w:rFonts w:cs="Arial"/>
          <w:sz w:val="20"/>
        </w:rPr>
      </w:pPr>
      <w:r>
        <w:rPr>
          <w:rFonts w:cs="Arial"/>
          <w:sz w:val="20"/>
        </w:rPr>
        <w:t>T</w:t>
      </w:r>
      <w:r w:rsidR="00614C04">
        <w:rPr>
          <w:rFonts w:cs="Arial"/>
          <w:sz w:val="20"/>
        </w:rPr>
        <w:t>ransitions from decile one will have more noise</w:t>
      </w:r>
      <w:r>
        <w:rPr>
          <w:rFonts w:cs="Arial"/>
          <w:sz w:val="20"/>
        </w:rPr>
        <w:t xml:space="preserve"> associated with them</w:t>
      </w:r>
      <w:r w:rsidR="00614C04">
        <w:rPr>
          <w:rFonts w:cs="Arial"/>
          <w:sz w:val="20"/>
        </w:rPr>
        <w:t xml:space="preserve"> than</w:t>
      </w:r>
      <w:r>
        <w:rPr>
          <w:rFonts w:cs="Arial"/>
          <w:sz w:val="20"/>
        </w:rPr>
        <w:t xml:space="preserve"> transitions from other parts of the distribution.  This section does not use any of these decile one transitions</w:t>
      </w:r>
      <w:r w:rsidR="00F709F8">
        <w:rPr>
          <w:rFonts w:cs="Arial"/>
          <w:sz w:val="20"/>
        </w:rPr>
        <w:t xml:space="preserve"> per se</w:t>
      </w:r>
      <w:r>
        <w:rPr>
          <w:rFonts w:cs="Arial"/>
          <w:sz w:val="20"/>
        </w:rPr>
        <w:t xml:space="preserve"> in reaching any conclusions on income mobility</w:t>
      </w:r>
      <w:r w:rsidR="00502B7F">
        <w:rPr>
          <w:rFonts w:cs="Arial"/>
          <w:sz w:val="20"/>
        </w:rPr>
        <w:t xml:space="preserve"> or</w:t>
      </w:r>
      <w:r>
        <w:rPr>
          <w:rFonts w:cs="Arial"/>
          <w:sz w:val="20"/>
        </w:rPr>
        <w:t xml:space="preserve"> movement out of income poverty.  The bottom quintile is the smallest low-income group used for that purpose. </w:t>
      </w:r>
    </w:p>
    <w:p w:rsidR="00614C04" w:rsidRPr="00E65768" w:rsidRDefault="00502B7F" w:rsidP="00614C04">
      <w:pPr>
        <w:rPr>
          <w:rFonts w:cs="Arial"/>
          <w:b/>
        </w:rPr>
      </w:pPr>
      <w:r>
        <w:rPr>
          <w:rFonts w:cs="Arial"/>
          <w:b/>
        </w:rPr>
        <w:br w:type="page"/>
      </w:r>
      <w:r w:rsidR="00614C04" w:rsidRPr="00E65768">
        <w:rPr>
          <w:rFonts w:cs="Arial"/>
          <w:b/>
        </w:rPr>
        <w:lastRenderedPageBreak/>
        <w:t>What is meant by income mobility and how is it measured?</w:t>
      </w:r>
    </w:p>
    <w:p w:rsidR="00614C04" w:rsidRDefault="00614C04" w:rsidP="00614C04">
      <w:pPr>
        <w:rPr>
          <w:rFonts w:cs="Arial"/>
          <w:sz w:val="20"/>
        </w:rPr>
      </w:pPr>
    </w:p>
    <w:p w:rsidR="00614C04" w:rsidRDefault="00614C04" w:rsidP="00FD08AE">
      <w:pPr>
        <w:jc w:val="both"/>
        <w:rPr>
          <w:rFonts w:cs="Arial"/>
          <w:sz w:val="20"/>
        </w:rPr>
      </w:pPr>
      <w:r>
        <w:rPr>
          <w:rFonts w:cs="Arial"/>
          <w:sz w:val="20"/>
        </w:rPr>
        <w:t xml:space="preserve">The income mobility that is the focus of this section is about the changes in the equivalised (gross) household income of individuals over several years.  </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 xml:space="preserve">In broad terms, these changes can come about through changes in either the level of income of the individual or of some other adult household member, or through changes in the composition of the household itself (eg older children moving out, new children being added, changes in partnering arrangements, and so on). </w:t>
      </w:r>
      <w:r w:rsidR="00705A07">
        <w:rPr>
          <w:rFonts w:cs="Arial"/>
          <w:sz w:val="20"/>
        </w:rPr>
        <w:t xml:space="preserve"> The impacts of the latter changes are captured through the equivalisation of the household incomes. (See Section A for information about equivalisation.)</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 xml:space="preserve">The number of years </w:t>
      </w:r>
      <w:r w:rsidR="00705A07">
        <w:rPr>
          <w:rFonts w:cs="Arial"/>
          <w:sz w:val="20"/>
        </w:rPr>
        <w:t xml:space="preserve">(waves) </w:t>
      </w:r>
      <w:r>
        <w:rPr>
          <w:rFonts w:cs="Arial"/>
          <w:sz w:val="20"/>
        </w:rPr>
        <w:t xml:space="preserve">over which changes in income are observed varies from study to study.  Intra-generational studies range from shorter-term (say, 2 to 10 years) to longer-term ones which cover a greater part of a person’s life-course (say, 15 to 30 years).  Others look at inter-generational changes and associations where the focus is on the relationship between the income of parents and that of their children.  The SoFIE study falls into the shorter-term intra-generational group with eight waves from 2002-03 to 2009-10.  </w:t>
      </w:r>
      <w:r w:rsidR="00705A07">
        <w:rPr>
          <w:rFonts w:cs="Arial"/>
          <w:sz w:val="20"/>
        </w:rPr>
        <w:t>UO</w:t>
      </w:r>
      <w:r>
        <w:rPr>
          <w:rFonts w:cs="Arial"/>
          <w:sz w:val="20"/>
        </w:rPr>
        <w:t xml:space="preserve"> use</w:t>
      </w:r>
      <w:r w:rsidR="00705A07">
        <w:rPr>
          <w:rFonts w:cs="Arial"/>
          <w:sz w:val="20"/>
        </w:rPr>
        <w:t>s</w:t>
      </w:r>
      <w:r>
        <w:rPr>
          <w:rFonts w:cs="Arial"/>
          <w:sz w:val="20"/>
        </w:rPr>
        <w:t xml:space="preserve"> data from the first seven waves, 2002-03 to 2008-09.</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There are several ways to conceptualise and measure income mobility.</w:t>
      </w:r>
      <w:r>
        <w:rPr>
          <w:rStyle w:val="FootnoteReference"/>
          <w:rFonts w:cs="Arial"/>
          <w:sz w:val="20"/>
        </w:rPr>
        <w:footnoteReference w:id="101"/>
      </w:r>
      <w:r w:rsidR="00705A07">
        <w:rPr>
          <w:rFonts w:cs="Arial"/>
          <w:sz w:val="20"/>
        </w:rPr>
        <w:t xml:space="preserve"> </w:t>
      </w:r>
      <w:r>
        <w:rPr>
          <w:rFonts w:cs="Arial"/>
          <w:sz w:val="20"/>
        </w:rPr>
        <w:t>The three most straightforward to describe and implement are:</w:t>
      </w:r>
    </w:p>
    <w:p w:rsidR="00614C04" w:rsidRDefault="00614C04" w:rsidP="00FD08AE">
      <w:pPr>
        <w:numPr>
          <w:ilvl w:val="0"/>
          <w:numId w:val="104"/>
        </w:numPr>
        <w:spacing w:before="120"/>
        <w:jc w:val="both"/>
        <w:rPr>
          <w:rFonts w:cs="Arial"/>
          <w:sz w:val="20"/>
        </w:rPr>
      </w:pPr>
      <w:r>
        <w:rPr>
          <w:rFonts w:cs="Arial"/>
          <w:sz w:val="20"/>
        </w:rPr>
        <w:t xml:space="preserve">income mobility as change in relative position </w:t>
      </w:r>
    </w:p>
    <w:p w:rsidR="00614C04" w:rsidRDefault="00614C04" w:rsidP="00FD08AE">
      <w:pPr>
        <w:numPr>
          <w:ilvl w:val="0"/>
          <w:numId w:val="104"/>
        </w:numPr>
        <w:spacing w:before="120"/>
        <w:jc w:val="both"/>
        <w:rPr>
          <w:rFonts w:cs="Arial"/>
          <w:sz w:val="20"/>
        </w:rPr>
      </w:pPr>
      <w:r>
        <w:rPr>
          <w:rFonts w:cs="Arial"/>
          <w:sz w:val="20"/>
        </w:rPr>
        <w:t>income mobility as absolute change in income – that is, change in income in real terms</w:t>
      </w:r>
    </w:p>
    <w:p w:rsidR="00614C04" w:rsidRDefault="00614C04" w:rsidP="00FD08AE">
      <w:pPr>
        <w:numPr>
          <w:ilvl w:val="0"/>
          <w:numId w:val="104"/>
        </w:numPr>
        <w:spacing w:before="120"/>
        <w:jc w:val="both"/>
        <w:rPr>
          <w:rFonts w:cs="Arial"/>
          <w:sz w:val="20"/>
        </w:rPr>
      </w:pPr>
      <w:r>
        <w:rPr>
          <w:rFonts w:cs="Arial"/>
          <w:sz w:val="20"/>
        </w:rPr>
        <w:t xml:space="preserve">income mobility as measured by the reduction in income inequality as longer income windows are used. </w:t>
      </w:r>
    </w:p>
    <w:p w:rsidR="00614C04" w:rsidRDefault="00614C04" w:rsidP="00FD08AE">
      <w:pPr>
        <w:jc w:val="both"/>
        <w:rPr>
          <w:rFonts w:cs="Arial"/>
          <w:sz w:val="20"/>
        </w:rPr>
      </w:pPr>
    </w:p>
    <w:p w:rsidR="00614C04" w:rsidRPr="00F05CD4" w:rsidRDefault="00614C04" w:rsidP="00FD08AE">
      <w:pPr>
        <w:jc w:val="both"/>
        <w:rPr>
          <w:rFonts w:cs="Arial"/>
          <w:sz w:val="20"/>
        </w:rPr>
      </w:pPr>
      <w:r>
        <w:rPr>
          <w:rFonts w:cs="Arial"/>
          <w:sz w:val="20"/>
        </w:rPr>
        <w:t>The two sub-sections that follow focus on the first two approaches, relative positional change and absolute change.</w:t>
      </w:r>
      <w:r w:rsidRPr="00F05CD4">
        <w:rPr>
          <w:rFonts w:cs="Arial"/>
          <w:sz w:val="20"/>
        </w:rPr>
        <w:t xml:space="preserve"> </w:t>
      </w:r>
      <w:r w:rsidR="00F01844">
        <w:rPr>
          <w:rFonts w:cs="Arial"/>
          <w:sz w:val="20"/>
        </w:rPr>
        <w:t>Inequality</w:t>
      </w:r>
      <w:r>
        <w:rPr>
          <w:rFonts w:cs="Arial"/>
          <w:sz w:val="20"/>
        </w:rPr>
        <w:t xml:space="preserve"> analysis using SoFIE data has not yet been carried out.</w:t>
      </w:r>
      <w:r w:rsidR="00F01844">
        <w:rPr>
          <w:rFonts w:cs="Arial"/>
          <w:sz w:val="20"/>
        </w:rPr>
        <w:t xml:space="preserve">  Some international findings </w:t>
      </w:r>
      <w:r w:rsidR="00705A07">
        <w:rPr>
          <w:rFonts w:cs="Arial"/>
          <w:sz w:val="20"/>
        </w:rPr>
        <w:t xml:space="preserve">on the inequality reduction aspect </w:t>
      </w:r>
      <w:r w:rsidR="00F01844">
        <w:rPr>
          <w:rFonts w:cs="Arial"/>
          <w:sz w:val="20"/>
        </w:rPr>
        <w:t xml:space="preserve">are </w:t>
      </w:r>
      <w:r w:rsidR="00705A07">
        <w:rPr>
          <w:rFonts w:cs="Arial"/>
          <w:sz w:val="20"/>
        </w:rPr>
        <w:t>planned for</w:t>
      </w:r>
      <w:r w:rsidR="00F01844">
        <w:rPr>
          <w:rFonts w:cs="Arial"/>
          <w:sz w:val="20"/>
        </w:rPr>
        <w:t xml:space="preserve"> Perry (2012, forthcoming).</w:t>
      </w:r>
    </w:p>
    <w:p w:rsidR="00614C04" w:rsidRDefault="00614C04" w:rsidP="00FD08AE">
      <w:pPr>
        <w:jc w:val="both"/>
        <w:rPr>
          <w:rFonts w:cs="Arial"/>
          <w:sz w:val="20"/>
        </w:rPr>
      </w:pPr>
    </w:p>
    <w:p w:rsidR="00614C04" w:rsidRPr="00D20B83" w:rsidRDefault="00614C04" w:rsidP="00FD08AE">
      <w:pPr>
        <w:jc w:val="both"/>
        <w:rPr>
          <w:rFonts w:cs="Arial"/>
          <w:b/>
          <w:sz w:val="20"/>
        </w:rPr>
      </w:pPr>
      <w:r w:rsidRPr="00D20B83">
        <w:rPr>
          <w:rFonts w:cs="Arial"/>
          <w:b/>
          <w:sz w:val="20"/>
        </w:rPr>
        <w:t>Income mobility as change in relative position</w:t>
      </w:r>
    </w:p>
    <w:p w:rsidR="00614C04" w:rsidRDefault="00614C04" w:rsidP="00FD08AE">
      <w:pPr>
        <w:jc w:val="both"/>
        <w:rPr>
          <w:rFonts w:cs="Arial"/>
          <w:sz w:val="20"/>
        </w:rPr>
      </w:pPr>
    </w:p>
    <w:p w:rsidR="00614C04" w:rsidRDefault="00614C04" w:rsidP="00FD08AE">
      <w:pPr>
        <w:jc w:val="both"/>
        <w:rPr>
          <w:rFonts w:cs="Arial"/>
          <w:sz w:val="20"/>
        </w:rPr>
      </w:pPr>
      <w:r w:rsidRPr="00866276">
        <w:rPr>
          <w:rFonts w:cs="Arial"/>
          <w:sz w:val="20"/>
        </w:rPr>
        <w:t xml:space="preserve">To describe </w:t>
      </w:r>
      <w:r w:rsidRPr="00D20B83">
        <w:rPr>
          <w:rFonts w:cs="Arial"/>
          <w:sz w:val="20"/>
        </w:rPr>
        <w:t>changes in relative position</w:t>
      </w:r>
      <w:r>
        <w:rPr>
          <w:rFonts w:cs="Arial"/>
          <w:sz w:val="20"/>
        </w:rPr>
        <w:t xml:space="preserve"> individual survey participants are first ranked by their household income, then they are grouped into quantiles (eg quintiles, deciles or even smaller categories). Transitions between quantiles from one wave to the next or to later waves can then be derived.  </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When looking at the whole population, not everyone can be upwardly mobile on the relative position definition.  In the aggregate, income mobility on this approach is close to a zero-sum analysis: for every person who moves up at least one moves down, and so on.</w:t>
      </w:r>
      <w:r>
        <w:rPr>
          <w:rStyle w:val="FootnoteReference"/>
          <w:rFonts w:cs="Arial"/>
          <w:sz w:val="20"/>
        </w:rPr>
        <w:footnoteReference w:id="102"/>
      </w:r>
      <w:r>
        <w:rPr>
          <w:rFonts w:cs="Arial"/>
          <w:sz w:val="20"/>
        </w:rPr>
        <w:t xml:space="preserve">  For a population group, however, the analysis is not necessarily zero sum provided the quantiles used are those of the population as a whole, as they are in this section.  </w:t>
      </w:r>
      <w:r w:rsidR="00705A07">
        <w:rPr>
          <w:rFonts w:cs="Arial"/>
          <w:sz w:val="20"/>
        </w:rPr>
        <w:t>A further factor to take into account is that t</w:t>
      </w:r>
      <w:r>
        <w:rPr>
          <w:rFonts w:cs="Arial"/>
          <w:sz w:val="20"/>
        </w:rPr>
        <w:t>he relative sizes of population groups may change over the course of a longitudinal study.</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 xml:space="preserve">Some of those who are reported as changing quantiles will have moved from just under (over) a quantile boundary to just over (under) it – these are the boundary hoppers.  The actual change in income from one wave to the next for these people may be quite small.  In fact, some who remain within the quantile will have had a greater change in income than the boundary hoppers, but this larger change is not reflected in the quantile change statistic on the relative position approach.   </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lastRenderedPageBreak/>
        <w:t xml:space="preserve">Within the change-in-relative-position approach, one way to provide estimates of positional (im)mobility, taking into account the boundary hopper possibilities and measurement error, is to report on positional change as transition from, say, a given quintile in one wave to a position in a later wave which is either in the same quintile or in the decile either side, where this is possible.  Another way of addressing the issue is to examine changes in real incomes per se rather than positional changes relative to the rest.  </w:t>
      </w:r>
    </w:p>
    <w:p w:rsidR="00614C04" w:rsidRDefault="00614C04" w:rsidP="00FD08AE">
      <w:pPr>
        <w:jc w:val="both"/>
        <w:rPr>
          <w:rFonts w:cs="Arial"/>
          <w:sz w:val="20"/>
        </w:rPr>
      </w:pPr>
    </w:p>
    <w:p w:rsidR="00614C04" w:rsidRPr="00D20B83" w:rsidRDefault="00614C04" w:rsidP="00FD08AE">
      <w:pPr>
        <w:jc w:val="both"/>
        <w:rPr>
          <w:rFonts w:cs="Arial"/>
          <w:b/>
          <w:sz w:val="20"/>
        </w:rPr>
      </w:pPr>
      <w:r w:rsidRPr="00D20B83">
        <w:rPr>
          <w:rFonts w:cs="Arial"/>
          <w:b/>
          <w:sz w:val="20"/>
        </w:rPr>
        <w:t>Income mobility as change in real income</w:t>
      </w:r>
    </w:p>
    <w:p w:rsidR="00614C04" w:rsidRDefault="00614C04" w:rsidP="00FD08AE">
      <w:pPr>
        <w:jc w:val="both"/>
        <w:rPr>
          <w:rFonts w:cs="Arial"/>
          <w:sz w:val="20"/>
          <w:u w:val="single"/>
        </w:rPr>
      </w:pPr>
    </w:p>
    <w:p w:rsidR="00614C04" w:rsidRDefault="00614C04" w:rsidP="00FD08AE">
      <w:pPr>
        <w:jc w:val="both"/>
        <w:rPr>
          <w:rFonts w:cs="Arial"/>
          <w:sz w:val="20"/>
        </w:rPr>
      </w:pPr>
      <w:r w:rsidRPr="00D20B83">
        <w:rPr>
          <w:rFonts w:cs="Arial"/>
          <w:sz w:val="20"/>
        </w:rPr>
        <w:t>Change in real income</w:t>
      </w:r>
      <w:r>
        <w:rPr>
          <w:rFonts w:cs="Arial"/>
          <w:sz w:val="20"/>
        </w:rPr>
        <w:t xml:space="preserve"> over several waves is a very useful indicator of income mobility, reflecting some aspects of change that the relative approach misses.   For example, in contrast to the positional change approach, an increase in income for everyone counts as upward mobility even if all relative positions are unchanged.  In the relative approach, this scenario would be reported as zero mobility.  It is not a zero sum analysis and it is not susceptible to the boundary hopper issue that can arise in the relative position approach. </w:t>
      </w:r>
    </w:p>
    <w:p w:rsidR="00614C04" w:rsidRDefault="00614C04" w:rsidP="00FD08AE">
      <w:pPr>
        <w:jc w:val="both"/>
        <w:rPr>
          <w:rFonts w:cs="Arial"/>
          <w:b/>
          <w:color w:val="0000FF"/>
          <w:sz w:val="20"/>
        </w:rPr>
      </w:pPr>
    </w:p>
    <w:p w:rsidR="00614C04" w:rsidRPr="00D20B83" w:rsidRDefault="00614C04" w:rsidP="00FD08AE">
      <w:pPr>
        <w:jc w:val="both"/>
        <w:rPr>
          <w:rFonts w:cs="Arial"/>
          <w:b/>
          <w:sz w:val="20"/>
        </w:rPr>
      </w:pPr>
      <w:r w:rsidRPr="00D20B83">
        <w:rPr>
          <w:rFonts w:cs="Arial"/>
          <w:b/>
          <w:sz w:val="20"/>
        </w:rPr>
        <w:t>Benchmarks for high, medium and low relative mobility?</w:t>
      </w:r>
    </w:p>
    <w:p w:rsidR="00614C04" w:rsidRDefault="00614C04" w:rsidP="00FD08AE">
      <w:pPr>
        <w:jc w:val="both"/>
        <w:rPr>
          <w:rFonts w:cs="Arial"/>
          <w:sz w:val="20"/>
        </w:rPr>
      </w:pPr>
    </w:p>
    <w:p w:rsidR="00614C04" w:rsidRDefault="00614C04" w:rsidP="00FD08AE">
      <w:pPr>
        <w:jc w:val="both"/>
        <w:rPr>
          <w:rFonts w:cs="Arial"/>
          <w:sz w:val="20"/>
        </w:rPr>
      </w:pPr>
      <w:r w:rsidRPr="0082177F">
        <w:rPr>
          <w:rFonts w:cs="Arial"/>
          <w:sz w:val="20"/>
        </w:rPr>
        <w:t xml:space="preserve">There is no single statistic </w:t>
      </w:r>
      <w:r>
        <w:rPr>
          <w:rFonts w:cs="Arial"/>
          <w:sz w:val="20"/>
        </w:rPr>
        <w:t>that can satisfactorily</w:t>
      </w:r>
      <w:r w:rsidRPr="0082177F">
        <w:rPr>
          <w:rFonts w:cs="Arial"/>
          <w:sz w:val="20"/>
        </w:rPr>
        <w:t xml:space="preserve"> summarise </w:t>
      </w:r>
      <w:r>
        <w:rPr>
          <w:rFonts w:cs="Arial"/>
          <w:sz w:val="20"/>
        </w:rPr>
        <w:t xml:space="preserve">the degree of relative </w:t>
      </w:r>
      <w:r w:rsidRPr="0082177F">
        <w:rPr>
          <w:rFonts w:cs="Arial"/>
          <w:sz w:val="20"/>
        </w:rPr>
        <w:t>income mobility nor any simple set of statistics that can cover the range of questions that different users may wish to put to the data.</w:t>
      </w:r>
      <w:r>
        <w:rPr>
          <w:rFonts w:cs="Arial"/>
          <w:sz w:val="20"/>
        </w:rPr>
        <w:t xml:space="preserve">  </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 xml:space="preserve">Nor is there any commonly accepted benchmark of what is ‘high’ mobility and what is ‘low’ mobility.  </w:t>
      </w:r>
    </w:p>
    <w:p w:rsidR="00614C04" w:rsidRDefault="00614C04" w:rsidP="00FD08AE">
      <w:pPr>
        <w:jc w:val="both"/>
        <w:rPr>
          <w:rFonts w:cs="Arial"/>
          <w:sz w:val="20"/>
        </w:rPr>
      </w:pPr>
    </w:p>
    <w:p w:rsidR="00614C04" w:rsidRDefault="00614C04" w:rsidP="00FD08AE">
      <w:pPr>
        <w:jc w:val="both"/>
        <w:rPr>
          <w:rFonts w:cs="Arial"/>
          <w:sz w:val="20"/>
        </w:rPr>
      </w:pPr>
      <w:r>
        <w:rPr>
          <w:rFonts w:cs="Arial"/>
          <w:sz w:val="20"/>
        </w:rPr>
        <w:t xml:space="preserve">Countries that have long-running longitudinal studies are able to compare mobility in recent years with mobility a decade or more ago in their own population.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is not in that position.  The best that we can do for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on this matter is to: </w:t>
      </w:r>
    </w:p>
    <w:p w:rsidR="00614C04" w:rsidRDefault="00614C04" w:rsidP="00FD08AE">
      <w:pPr>
        <w:numPr>
          <w:ilvl w:val="0"/>
          <w:numId w:val="105"/>
        </w:numPr>
        <w:spacing w:before="120"/>
        <w:jc w:val="both"/>
        <w:rPr>
          <w:rFonts w:cs="Arial"/>
          <w:sz w:val="20"/>
        </w:rPr>
      </w:pPr>
      <w:r>
        <w:rPr>
          <w:rFonts w:cs="Arial"/>
          <w:sz w:val="20"/>
        </w:rPr>
        <w:t>compare ourselves with other countries, using quintile or decile transitions over time periods of similar length</w:t>
      </w:r>
    </w:p>
    <w:p w:rsidR="00614C04" w:rsidRDefault="00614C04" w:rsidP="00FD08AE">
      <w:pPr>
        <w:numPr>
          <w:ilvl w:val="0"/>
          <w:numId w:val="105"/>
        </w:numPr>
        <w:spacing w:before="120"/>
        <w:jc w:val="both"/>
        <w:rPr>
          <w:rFonts w:cs="Arial"/>
          <w:sz w:val="20"/>
        </w:rPr>
      </w:pPr>
      <w:r>
        <w:rPr>
          <w:rFonts w:cs="Arial"/>
          <w:sz w:val="20"/>
        </w:rPr>
        <w:t xml:space="preserve">compare the relative movement of various sub-populations within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to identify those more mobile and those less so</w:t>
      </w:r>
    </w:p>
    <w:p w:rsidR="00614C04" w:rsidRPr="0082177F" w:rsidRDefault="00614C04" w:rsidP="00FD08AE">
      <w:pPr>
        <w:numPr>
          <w:ilvl w:val="0"/>
          <w:numId w:val="105"/>
        </w:numPr>
        <w:spacing w:before="120"/>
        <w:jc w:val="both"/>
        <w:rPr>
          <w:rFonts w:cs="Arial"/>
          <w:sz w:val="20"/>
        </w:rPr>
      </w:pPr>
      <w:r>
        <w:rPr>
          <w:rFonts w:cs="Arial"/>
          <w:sz w:val="20"/>
        </w:rPr>
        <w:t>decompose mobility into ‘immobility’, and ‘short-range’ and ‘longer-range’ upward and downward mobility.</w:t>
      </w:r>
    </w:p>
    <w:p w:rsidR="00614C04" w:rsidRDefault="00614C04" w:rsidP="00614C04">
      <w:pPr>
        <w:rPr>
          <w:rFonts w:cs="Arial"/>
          <w:sz w:val="20"/>
        </w:rPr>
      </w:pPr>
    </w:p>
    <w:p w:rsidR="00614C04" w:rsidRDefault="00614C04" w:rsidP="00614C04">
      <w:pPr>
        <w:rPr>
          <w:rFonts w:cs="Arial"/>
          <w:sz w:val="20"/>
        </w:rPr>
      </w:pPr>
    </w:p>
    <w:p w:rsidR="002C21AB" w:rsidRDefault="002C21AB" w:rsidP="00614C04">
      <w:pPr>
        <w:rPr>
          <w:rFonts w:cs="Arial"/>
          <w:b/>
          <w:szCs w:val="22"/>
        </w:rPr>
      </w:pPr>
      <w:r>
        <w:rPr>
          <w:rFonts w:cs="Arial"/>
          <w:b/>
          <w:szCs w:val="22"/>
        </w:rPr>
        <w:br w:type="page"/>
      </w:r>
      <w:r w:rsidRPr="002C21AB">
        <w:rPr>
          <w:rFonts w:cs="Arial"/>
          <w:b/>
          <w:szCs w:val="22"/>
        </w:rPr>
        <w:lastRenderedPageBreak/>
        <w:t>Selected findings on income mobility</w:t>
      </w:r>
    </w:p>
    <w:p w:rsidR="002C21AB" w:rsidRPr="002C21AB" w:rsidRDefault="002C21AB" w:rsidP="00614C04">
      <w:pPr>
        <w:rPr>
          <w:rFonts w:cs="Arial"/>
          <w:sz w:val="20"/>
        </w:rPr>
      </w:pPr>
    </w:p>
    <w:p w:rsidR="00904257" w:rsidRDefault="005E534F" w:rsidP="00614C04">
      <w:pPr>
        <w:rPr>
          <w:rFonts w:cs="Arial"/>
          <w:sz w:val="20"/>
        </w:rPr>
      </w:pPr>
      <w:r>
        <w:rPr>
          <w:rFonts w:cs="Arial"/>
          <w:sz w:val="20"/>
        </w:rPr>
        <w:t>(It is planned to provide further findings on income mobility in either an update in early 2013 or in the next report planned for mid 2013.)</w:t>
      </w:r>
    </w:p>
    <w:p w:rsidR="005E534F" w:rsidRDefault="005E534F" w:rsidP="00614C04">
      <w:pPr>
        <w:rPr>
          <w:rFonts w:cs="Arial"/>
          <w:sz w:val="20"/>
        </w:rPr>
      </w:pPr>
    </w:p>
    <w:p w:rsidR="005E534F" w:rsidRPr="005E534F" w:rsidRDefault="005E534F" w:rsidP="005E534F">
      <w:pPr>
        <w:rPr>
          <w:rFonts w:cs="Arial"/>
          <w:sz w:val="20"/>
          <w:u w:val="single"/>
        </w:rPr>
      </w:pPr>
      <w:r w:rsidRPr="005E534F">
        <w:rPr>
          <w:rFonts w:cs="Arial"/>
          <w:sz w:val="20"/>
          <w:u w:val="single"/>
        </w:rPr>
        <w:t>Wave-on-wave mobility</w:t>
      </w:r>
      <w:r w:rsidR="00347908">
        <w:rPr>
          <w:rFonts w:cs="Arial"/>
          <w:sz w:val="20"/>
          <w:u w:val="single"/>
        </w:rPr>
        <w:t xml:space="preserve"> (changes in relative position)</w:t>
      </w:r>
      <w:r w:rsidRPr="005E534F">
        <w:rPr>
          <w:rFonts w:cs="Arial"/>
          <w:sz w:val="20"/>
          <w:u w:val="single"/>
        </w:rPr>
        <w:t>, with international comparisons</w:t>
      </w:r>
    </w:p>
    <w:p w:rsidR="005E534F" w:rsidRDefault="005E534F" w:rsidP="00B50F94">
      <w:pPr>
        <w:jc w:val="both"/>
        <w:rPr>
          <w:rFonts w:cs="Arial"/>
          <w:sz w:val="20"/>
        </w:rPr>
      </w:pPr>
    </w:p>
    <w:p w:rsidR="005E534F" w:rsidRDefault="005E534F" w:rsidP="00B50F94">
      <w:pPr>
        <w:jc w:val="both"/>
        <w:rPr>
          <w:rFonts w:cs="Arial"/>
          <w:sz w:val="20"/>
        </w:rPr>
      </w:pPr>
      <w:r>
        <w:rPr>
          <w:rFonts w:cs="Arial"/>
          <w:sz w:val="20"/>
        </w:rPr>
        <w:t>The focus of the analysis in this section is on the changes over the full seven-wave window that the</w:t>
      </w:r>
      <w:r w:rsidR="00705A07">
        <w:rPr>
          <w:rFonts w:cs="Arial"/>
          <w:sz w:val="20"/>
        </w:rPr>
        <w:t xml:space="preserve"> UO</w:t>
      </w:r>
      <w:r>
        <w:rPr>
          <w:rFonts w:cs="Arial"/>
          <w:sz w:val="20"/>
        </w:rPr>
        <w:t xml:space="preserve"> SoFIE data covers, with some shorter windows used at times to facilitate international comparisons.   These multi-year net changes reflect the cumulative effect of repeated short-run changes from one wave to the next.  </w:t>
      </w:r>
    </w:p>
    <w:p w:rsidR="005E534F" w:rsidRDefault="005E534F" w:rsidP="005E534F">
      <w:pPr>
        <w:rPr>
          <w:rFonts w:cs="Arial"/>
          <w:sz w:val="20"/>
        </w:rPr>
      </w:pPr>
    </w:p>
    <w:p w:rsidR="005E534F" w:rsidRDefault="005E534F" w:rsidP="005E534F">
      <w:pPr>
        <w:rPr>
          <w:rFonts w:cs="Arial"/>
          <w:sz w:val="20"/>
        </w:rPr>
      </w:pPr>
      <w:r w:rsidRPr="00C637FA">
        <w:rPr>
          <w:rFonts w:cs="Arial"/>
          <w:b/>
          <w:sz w:val="20"/>
        </w:rPr>
        <w:t xml:space="preserve">Table </w:t>
      </w:r>
      <w:r>
        <w:rPr>
          <w:rFonts w:cs="Arial"/>
          <w:b/>
          <w:sz w:val="20"/>
        </w:rPr>
        <w:t>L.</w:t>
      </w:r>
      <w:r w:rsidR="00B50F94">
        <w:rPr>
          <w:rFonts w:cs="Arial"/>
          <w:b/>
          <w:sz w:val="20"/>
        </w:rPr>
        <w:t>1</w:t>
      </w:r>
      <w:r>
        <w:rPr>
          <w:rFonts w:cs="Arial"/>
          <w:b/>
          <w:sz w:val="20"/>
        </w:rPr>
        <w:t xml:space="preserve"> </w:t>
      </w:r>
      <w:r>
        <w:rPr>
          <w:rFonts w:cs="Arial"/>
          <w:sz w:val="20"/>
        </w:rPr>
        <w:t>shows the average movement from one wave to the next for the six wave pairs w1/w2, w2/w3, and so on.</w:t>
      </w:r>
      <w:r>
        <w:rPr>
          <w:rStyle w:val="FootnoteReference"/>
          <w:rFonts w:cs="Arial"/>
          <w:sz w:val="20"/>
        </w:rPr>
        <w:footnoteReference w:id="103"/>
      </w:r>
      <w:r>
        <w:rPr>
          <w:rFonts w:cs="Arial"/>
          <w:sz w:val="20"/>
        </w:rPr>
        <w:t xml:space="preserve"> </w:t>
      </w:r>
    </w:p>
    <w:p w:rsidR="005E534F" w:rsidRDefault="005E534F" w:rsidP="005E534F">
      <w:pPr>
        <w:rPr>
          <w:rFonts w:cs="Arial"/>
          <w:sz w:val="20"/>
        </w:rPr>
      </w:pPr>
    </w:p>
    <w:p w:rsidR="005E534F" w:rsidRDefault="005E534F" w:rsidP="005E534F">
      <w:pPr>
        <w:jc w:val="both"/>
        <w:rPr>
          <w:rFonts w:cs="Arial"/>
          <w:sz w:val="20"/>
        </w:rPr>
      </w:pPr>
      <w:r>
        <w:rPr>
          <w:rFonts w:cs="Arial"/>
          <w:sz w:val="20"/>
        </w:rPr>
        <w:t xml:space="preserve">Individuals are ranked by their household’s income in one wave then grouped into quintiles.  For the next wave the same individuals are again ranked and allocated to quintiles according to their household’s new income at that time.  For each quintile in the first wave the percentage of individuals ending up in each of the quintiles in the next wave is calculated.  For example, two thirds (65%) of those in the lower quintile remain there on average from one wave to the next, 23% move up to the second quintile, and so on.  The cells on the diagonal (shaded) show the proportion remaining in the same quintile across the period.  </w:t>
      </w:r>
    </w:p>
    <w:p w:rsidR="005E534F" w:rsidRDefault="005E534F" w:rsidP="005E534F">
      <w:pPr>
        <w:rPr>
          <w:rFonts w:cs="Arial"/>
          <w:sz w:val="20"/>
        </w:rPr>
      </w:pPr>
    </w:p>
    <w:p w:rsidR="005E534F" w:rsidRPr="00A704B4" w:rsidRDefault="005E534F" w:rsidP="005E534F">
      <w:pPr>
        <w:jc w:val="center"/>
        <w:rPr>
          <w:rFonts w:cs="Arial"/>
          <w:b/>
          <w:sz w:val="18"/>
          <w:szCs w:val="18"/>
        </w:rPr>
      </w:pPr>
      <w:r w:rsidRPr="00A704B4">
        <w:rPr>
          <w:rFonts w:cs="Arial"/>
          <w:b/>
          <w:sz w:val="18"/>
          <w:szCs w:val="18"/>
        </w:rPr>
        <w:t xml:space="preserve">Table </w:t>
      </w:r>
      <w:r w:rsidR="00B50F94">
        <w:rPr>
          <w:rFonts w:cs="Arial"/>
          <w:b/>
          <w:sz w:val="18"/>
          <w:szCs w:val="18"/>
        </w:rPr>
        <w:t>L.1</w:t>
      </w:r>
    </w:p>
    <w:p w:rsidR="005E534F" w:rsidRPr="00A704B4" w:rsidRDefault="005E534F" w:rsidP="005E534F">
      <w:pPr>
        <w:jc w:val="center"/>
        <w:rPr>
          <w:rFonts w:cs="Arial"/>
          <w:b/>
          <w:sz w:val="18"/>
          <w:szCs w:val="18"/>
        </w:rPr>
      </w:pPr>
      <w:r w:rsidRPr="00A704B4">
        <w:rPr>
          <w:rFonts w:cs="Arial"/>
          <w:b/>
          <w:sz w:val="18"/>
          <w:szCs w:val="18"/>
        </w:rPr>
        <w:t>Income quintile transition probabilities (%) for one wave to the next:</w:t>
      </w:r>
    </w:p>
    <w:p w:rsidR="005E534F" w:rsidRPr="00A704B4" w:rsidRDefault="005E534F" w:rsidP="005E534F">
      <w:pPr>
        <w:spacing w:after="120"/>
        <w:jc w:val="center"/>
        <w:rPr>
          <w:rFonts w:cs="Arial"/>
          <w:b/>
          <w:sz w:val="18"/>
          <w:szCs w:val="18"/>
        </w:rPr>
      </w:pPr>
      <w:r w:rsidRPr="00A704B4">
        <w:rPr>
          <w:rFonts w:cs="Arial"/>
          <w:b/>
          <w:sz w:val="18"/>
          <w:szCs w:val="18"/>
        </w:rPr>
        <w:t>averages over all 6 wave pairs, 2002 to 2008, all respondents</w:t>
      </w:r>
    </w:p>
    <w:tbl>
      <w:tblPr>
        <w:tblStyle w:val="TableGrid"/>
        <w:tblW w:w="0" w:type="auto"/>
        <w:jc w:val="center"/>
        <w:tblLayout w:type="fixed"/>
        <w:tblLook w:val="01E0"/>
      </w:tblPr>
      <w:tblGrid>
        <w:gridCol w:w="803"/>
        <w:gridCol w:w="454"/>
        <w:gridCol w:w="539"/>
        <w:gridCol w:w="539"/>
        <w:gridCol w:w="540"/>
        <w:gridCol w:w="539"/>
        <w:gridCol w:w="540"/>
      </w:tblGrid>
      <w:tr w:rsidR="005E534F" w:rsidRPr="00525C68">
        <w:trPr>
          <w:jc w:val="center"/>
        </w:trPr>
        <w:tc>
          <w:tcPr>
            <w:tcW w:w="803" w:type="dxa"/>
          </w:tcPr>
          <w:p w:rsidR="005E534F" w:rsidRPr="00525C68" w:rsidRDefault="005E534F" w:rsidP="00DC10A9">
            <w:pPr>
              <w:spacing w:before="40" w:after="40"/>
              <w:rPr>
                <w:rFonts w:cs="Arial"/>
                <w:sz w:val="14"/>
                <w:szCs w:val="16"/>
              </w:rPr>
            </w:pPr>
          </w:p>
        </w:tc>
        <w:tc>
          <w:tcPr>
            <w:tcW w:w="454" w:type="dxa"/>
          </w:tcPr>
          <w:p w:rsidR="005E534F" w:rsidRPr="00525C68" w:rsidRDefault="005E534F" w:rsidP="00DC10A9">
            <w:pPr>
              <w:spacing w:before="40" w:after="40"/>
              <w:rPr>
                <w:rFonts w:cs="Arial"/>
                <w:sz w:val="14"/>
                <w:szCs w:val="16"/>
              </w:rPr>
            </w:pPr>
          </w:p>
        </w:tc>
        <w:tc>
          <w:tcPr>
            <w:tcW w:w="2697" w:type="dxa"/>
            <w:gridSpan w:val="5"/>
          </w:tcPr>
          <w:p w:rsidR="005E534F" w:rsidRPr="00525C68" w:rsidRDefault="005E534F" w:rsidP="00DC10A9">
            <w:pPr>
              <w:spacing w:before="40" w:after="40"/>
              <w:jc w:val="center"/>
              <w:rPr>
                <w:rFonts w:cs="Arial"/>
                <w:b/>
                <w:sz w:val="14"/>
                <w:szCs w:val="16"/>
              </w:rPr>
            </w:pPr>
            <w:r w:rsidRPr="00525C68">
              <w:rPr>
                <w:rFonts w:cs="Arial"/>
                <w:b/>
                <w:sz w:val="14"/>
                <w:szCs w:val="16"/>
              </w:rPr>
              <w:t>Quintile in wave (i+1)</w:t>
            </w:r>
          </w:p>
        </w:tc>
      </w:tr>
      <w:tr w:rsidR="005E534F" w:rsidRPr="00525C68">
        <w:trPr>
          <w:jc w:val="center"/>
        </w:trPr>
        <w:tc>
          <w:tcPr>
            <w:tcW w:w="803" w:type="dxa"/>
          </w:tcPr>
          <w:p w:rsidR="005E534F" w:rsidRPr="00525C68" w:rsidRDefault="005E534F" w:rsidP="00DC10A9">
            <w:pPr>
              <w:spacing w:before="40" w:after="40"/>
              <w:rPr>
                <w:rFonts w:cs="Arial"/>
                <w:sz w:val="14"/>
                <w:szCs w:val="16"/>
              </w:rPr>
            </w:pPr>
          </w:p>
        </w:tc>
        <w:tc>
          <w:tcPr>
            <w:tcW w:w="454" w:type="dxa"/>
            <w:vAlign w:val="center"/>
          </w:tcPr>
          <w:p w:rsidR="005E534F" w:rsidRPr="00525C68" w:rsidRDefault="005E534F" w:rsidP="00DC10A9">
            <w:pPr>
              <w:spacing w:before="40" w:after="40"/>
              <w:rPr>
                <w:rFonts w:cs="Arial"/>
                <w:sz w:val="14"/>
                <w:szCs w:val="16"/>
              </w:rPr>
            </w:pPr>
          </w:p>
        </w:tc>
        <w:tc>
          <w:tcPr>
            <w:tcW w:w="539" w:type="dxa"/>
            <w:tcBorders>
              <w:bottom w:val="single" w:sz="4" w:space="0" w:color="auto"/>
            </w:tcBorders>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1</w:t>
            </w:r>
          </w:p>
        </w:tc>
        <w:tc>
          <w:tcPr>
            <w:tcW w:w="539"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2</w:t>
            </w:r>
          </w:p>
        </w:tc>
        <w:tc>
          <w:tcPr>
            <w:tcW w:w="540"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3</w:t>
            </w:r>
          </w:p>
        </w:tc>
        <w:tc>
          <w:tcPr>
            <w:tcW w:w="539"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4</w:t>
            </w:r>
          </w:p>
        </w:tc>
        <w:tc>
          <w:tcPr>
            <w:tcW w:w="540"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5</w:t>
            </w:r>
          </w:p>
        </w:tc>
      </w:tr>
      <w:tr w:rsidR="005E534F" w:rsidRPr="00525C68">
        <w:trPr>
          <w:jc w:val="center"/>
        </w:trPr>
        <w:tc>
          <w:tcPr>
            <w:tcW w:w="803" w:type="dxa"/>
            <w:vMerge w:val="restart"/>
            <w:shd w:val="clear" w:color="auto" w:fill="auto"/>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Quintile in wave(i)</w:t>
            </w:r>
          </w:p>
        </w:tc>
        <w:tc>
          <w:tcPr>
            <w:tcW w:w="454"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1</w:t>
            </w:r>
          </w:p>
        </w:tc>
        <w:tc>
          <w:tcPr>
            <w:tcW w:w="539"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65</w:t>
            </w:r>
          </w:p>
        </w:tc>
        <w:tc>
          <w:tcPr>
            <w:tcW w:w="539"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7</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w:t>
            </w:r>
          </w:p>
        </w:tc>
      </w:tr>
      <w:tr w:rsidR="005E534F" w:rsidRPr="00525C68">
        <w:trPr>
          <w:jc w:val="center"/>
        </w:trPr>
        <w:tc>
          <w:tcPr>
            <w:tcW w:w="803" w:type="dxa"/>
            <w:vMerge/>
            <w:shd w:val="clear" w:color="auto" w:fill="auto"/>
          </w:tcPr>
          <w:p w:rsidR="005E534F" w:rsidRPr="00525C68" w:rsidRDefault="005E534F" w:rsidP="00DC10A9">
            <w:pPr>
              <w:spacing w:before="40" w:after="40"/>
              <w:rPr>
                <w:rFonts w:cs="Arial"/>
                <w:sz w:val="14"/>
                <w:szCs w:val="16"/>
              </w:rPr>
            </w:pPr>
          </w:p>
        </w:tc>
        <w:tc>
          <w:tcPr>
            <w:tcW w:w="454"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2</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20</w:t>
            </w:r>
          </w:p>
        </w:tc>
        <w:tc>
          <w:tcPr>
            <w:tcW w:w="539"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52</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20</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5</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w:t>
            </w:r>
          </w:p>
        </w:tc>
      </w:tr>
      <w:tr w:rsidR="005E534F" w:rsidRPr="00525C68">
        <w:trPr>
          <w:jc w:val="center"/>
        </w:trPr>
        <w:tc>
          <w:tcPr>
            <w:tcW w:w="803" w:type="dxa"/>
            <w:vMerge/>
            <w:shd w:val="clear" w:color="auto" w:fill="auto"/>
          </w:tcPr>
          <w:p w:rsidR="005E534F" w:rsidRPr="00525C68" w:rsidRDefault="005E534F" w:rsidP="00DC10A9">
            <w:pPr>
              <w:spacing w:before="40" w:after="40"/>
              <w:rPr>
                <w:rFonts w:cs="Arial"/>
                <w:sz w:val="14"/>
                <w:szCs w:val="16"/>
              </w:rPr>
            </w:pPr>
          </w:p>
        </w:tc>
        <w:tc>
          <w:tcPr>
            <w:tcW w:w="454"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3</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7</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17</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50</w:t>
            </w:r>
          </w:p>
        </w:tc>
        <w:tc>
          <w:tcPr>
            <w:tcW w:w="539"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21</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5</w:t>
            </w:r>
          </w:p>
        </w:tc>
      </w:tr>
      <w:tr w:rsidR="005E534F" w:rsidRPr="00525C68">
        <w:trPr>
          <w:jc w:val="center"/>
        </w:trPr>
        <w:tc>
          <w:tcPr>
            <w:tcW w:w="803" w:type="dxa"/>
            <w:vMerge/>
            <w:shd w:val="clear" w:color="auto" w:fill="auto"/>
          </w:tcPr>
          <w:p w:rsidR="005E534F" w:rsidRPr="00525C68" w:rsidRDefault="005E534F" w:rsidP="00DC10A9">
            <w:pPr>
              <w:spacing w:before="40" w:after="40"/>
              <w:rPr>
                <w:rFonts w:cs="Arial"/>
                <w:sz w:val="14"/>
                <w:szCs w:val="16"/>
              </w:rPr>
            </w:pPr>
          </w:p>
        </w:tc>
        <w:tc>
          <w:tcPr>
            <w:tcW w:w="454"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4</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4</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6</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18</w:t>
            </w:r>
          </w:p>
        </w:tc>
        <w:tc>
          <w:tcPr>
            <w:tcW w:w="539"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54</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19</w:t>
            </w:r>
          </w:p>
        </w:tc>
      </w:tr>
      <w:tr w:rsidR="005E534F" w:rsidRPr="00525C68">
        <w:trPr>
          <w:jc w:val="center"/>
        </w:trPr>
        <w:tc>
          <w:tcPr>
            <w:tcW w:w="803" w:type="dxa"/>
            <w:vMerge/>
            <w:shd w:val="clear" w:color="auto" w:fill="auto"/>
          </w:tcPr>
          <w:p w:rsidR="005E534F" w:rsidRPr="00525C68" w:rsidRDefault="005E534F" w:rsidP="00DC10A9">
            <w:pPr>
              <w:spacing w:before="40" w:after="40"/>
              <w:rPr>
                <w:rFonts w:cs="Arial"/>
                <w:sz w:val="14"/>
                <w:szCs w:val="16"/>
              </w:rPr>
            </w:pPr>
          </w:p>
        </w:tc>
        <w:tc>
          <w:tcPr>
            <w:tcW w:w="454"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5</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3</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6</w:t>
            </w:r>
          </w:p>
        </w:tc>
        <w:tc>
          <w:tcPr>
            <w:tcW w:w="539"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17</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72</w:t>
            </w:r>
          </w:p>
        </w:tc>
      </w:tr>
    </w:tbl>
    <w:p w:rsidR="005E534F" w:rsidRPr="00F2019E" w:rsidRDefault="005E534F" w:rsidP="005E534F">
      <w:pPr>
        <w:tabs>
          <w:tab w:val="left" w:pos="2340"/>
        </w:tabs>
        <w:spacing w:before="60"/>
        <w:rPr>
          <w:rFonts w:cs="Arial"/>
          <w:sz w:val="16"/>
          <w:szCs w:val="16"/>
        </w:rPr>
      </w:pPr>
      <w:r>
        <w:rPr>
          <w:rFonts w:cs="Arial"/>
          <w:sz w:val="20"/>
        </w:rPr>
        <w:tab/>
      </w:r>
      <w:r w:rsidRPr="00F2019E">
        <w:rPr>
          <w:rFonts w:cs="Arial"/>
          <w:sz w:val="16"/>
          <w:szCs w:val="16"/>
        </w:rPr>
        <w:t xml:space="preserve">Source:  Table 4 in </w:t>
      </w:r>
      <w:r>
        <w:rPr>
          <w:rFonts w:cs="Arial"/>
          <w:sz w:val="16"/>
          <w:szCs w:val="16"/>
        </w:rPr>
        <w:t>UO</w:t>
      </w:r>
    </w:p>
    <w:p w:rsidR="005E534F" w:rsidRDefault="005E534F" w:rsidP="005E534F">
      <w:pPr>
        <w:rPr>
          <w:rFonts w:cs="Arial"/>
          <w:sz w:val="20"/>
        </w:rPr>
      </w:pPr>
    </w:p>
    <w:p w:rsidR="005E534F" w:rsidRDefault="005E534F" w:rsidP="005E534F">
      <w:pPr>
        <w:rPr>
          <w:rFonts w:cs="Arial"/>
          <w:sz w:val="20"/>
        </w:rPr>
      </w:pPr>
    </w:p>
    <w:p w:rsidR="00B50F94" w:rsidRDefault="005E534F" w:rsidP="005E534F">
      <w:pPr>
        <w:jc w:val="both"/>
        <w:rPr>
          <w:rFonts w:cs="Arial"/>
          <w:sz w:val="20"/>
        </w:rPr>
      </w:pPr>
      <w:r>
        <w:rPr>
          <w:rFonts w:cs="Arial"/>
          <w:sz w:val="20"/>
        </w:rPr>
        <w:t>On average, 4</w:t>
      </w:r>
      <w:r w:rsidR="008146D2">
        <w:rPr>
          <w:rFonts w:cs="Arial"/>
          <w:sz w:val="20"/>
        </w:rPr>
        <w:t>1</w:t>
      </w:r>
      <w:r>
        <w:rPr>
          <w:rFonts w:cs="Arial"/>
          <w:sz w:val="20"/>
        </w:rPr>
        <w:t>% of the whole SoFIE sample moved to a new quintile between wave pairs – that is, 5</w:t>
      </w:r>
      <w:r w:rsidR="008146D2">
        <w:rPr>
          <w:rFonts w:cs="Arial"/>
          <w:sz w:val="20"/>
        </w:rPr>
        <w:t>9</w:t>
      </w:r>
      <w:r>
        <w:rPr>
          <w:rFonts w:cs="Arial"/>
          <w:sz w:val="20"/>
        </w:rPr>
        <w:t xml:space="preserve">% remained in the same quintile in the next wave. </w:t>
      </w:r>
    </w:p>
    <w:p w:rsidR="00B50F94" w:rsidRDefault="00B50F94" w:rsidP="005E534F">
      <w:pPr>
        <w:jc w:val="both"/>
        <w:rPr>
          <w:rFonts w:cs="Arial"/>
          <w:sz w:val="20"/>
        </w:rPr>
      </w:pPr>
    </w:p>
    <w:p w:rsidR="005E534F" w:rsidRDefault="005E534F" w:rsidP="005E534F">
      <w:pPr>
        <w:jc w:val="both"/>
        <w:rPr>
          <w:rFonts w:cs="Arial"/>
          <w:sz w:val="20"/>
        </w:rPr>
      </w:pPr>
      <w:r>
        <w:rPr>
          <w:rFonts w:cs="Arial"/>
          <w:sz w:val="20"/>
        </w:rPr>
        <w:t>A comparison is available fo</w:t>
      </w:r>
      <w:r w:rsidR="00B50F94">
        <w:rPr>
          <w:rFonts w:cs="Arial"/>
          <w:sz w:val="20"/>
        </w:rPr>
        <w:t xml:space="preserve">r selected European countries. </w:t>
      </w:r>
      <w:r>
        <w:rPr>
          <w:rFonts w:cs="Arial"/>
          <w:sz w:val="20"/>
        </w:rPr>
        <w:t>Nolan and Erikson (2007) use longitudinal data from the European Community Household Panel (ECHP) for most of the EU-15 countries</w:t>
      </w:r>
      <w:r>
        <w:rPr>
          <w:rStyle w:val="FootnoteReference"/>
          <w:rFonts w:cs="Arial"/>
          <w:sz w:val="20"/>
        </w:rPr>
        <w:footnoteReference w:id="104"/>
      </w:r>
      <w:r>
        <w:rPr>
          <w:rFonts w:cs="Arial"/>
          <w:sz w:val="20"/>
        </w:rPr>
        <w:t xml:space="preserve"> and report that on average 55% remained in the same quintile from </w:t>
      </w:r>
      <w:r>
        <w:rPr>
          <w:rFonts w:cs="Arial"/>
          <w:color w:val="000000"/>
          <w:sz w:val="20"/>
        </w:rPr>
        <w:t>wave 1 to wave 2.</w:t>
      </w:r>
      <w:r w:rsidRPr="005E534F">
        <w:rPr>
          <w:rFonts w:cs="Arial"/>
          <w:color w:val="000000"/>
          <w:sz w:val="20"/>
        </w:rPr>
        <w:t xml:space="preserve">  </w:t>
      </w:r>
      <w:r>
        <w:rPr>
          <w:rFonts w:cs="Arial"/>
          <w:sz w:val="20"/>
        </w:rPr>
        <w:t xml:space="preserve">At this very high level, at least, </w:t>
      </w:r>
      <w:smartTag w:uri="urn:schemas-microsoft-com:office:smarttags" w:element="place">
        <w:smartTag w:uri="urn:schemas-microsoft-com:office:smarttags" w:element="country-region">
          <w:r>
            <w:rPr>
              <w:rFonts w:cs="Arial"/>
              <w:sz w:val="20"/>
            </w:rPr>
            <w:t>New Zealand</w:t>
          </w:r>
        </w:smartTag>
      </w:smartTag>
      <w:r>
        <w:rPr>
          <w:rFonts w:cs="Arial"/>
          <w:sz w:val="20"/>
        </w:rPr>
        <w:t>’s mobility / immobility is similar to that in other more economical</w:t>
      </w:r>
      <w:r w:rsidR="00B50F94">
        <w:rPr>
          <w:rFonts w:cs="Arial"/>
          <w:sz w:val="20"/>
        </w:rPr>
        <w:t>ly developed countries (MEDCs).</w:t>
      </w:r>
    </w:p>
    <w:p w:rsidR="00B50F94" w:rsidRDefault="00B50F94" w:rsidP="005E534F">
      <w:pPr>
        <w:jc w:val="both"/>
        <w:rPr>
          <w:rFonts w:cs="Arial"/>
          <w:sz w:val="20"/>
        </w:rPr>
      </w:pPr>
    </w:p>
    <w:p w:rsidR="00B50F94" w:rsidRDefault="00B50F94" w:rsidP="005E534F">
      <w:pPr>
        <w:jc w:val="both"/>
        <w:rPr>
          <w:rFonts w:cs="Arial"/>
          <w:sz w:val="20"/>
        </w:rPr>
      </w:pPr>
      <w:r>
        <w:rPr>
          <w:rFonts w:cs="Arial"/>
          <w:sz w:val="20"/>
        </w:rPr>
        <w:t>This general finding is supported at several places in the rest of this section.</w:t>
      </w:r>
    </w:p>
    <w:p w:rsidR="005E534F" w:rsidRDefault="005E534F" w:rsidP="005E534F">
      <w:pPr>
        <w:rPr>
          <w:rFonts w:cs="Arial"/>
          <w:sz w:val="20"/>
        </w:rPr>
      </w:pPr>
    </w:p>
    <w:p w:rsidR="005E534F" w:rsidRDefault="005E534F" w:rsidP="005E534F">
      <w:pPr>
        <w:rPr>
          <w:rFonts w:cs="Arial"/>
          <w:sz w:val="20"/>
        </w:rPr>
      </w:pPr>
    </w:p>
    <w:p w:rsidR="005E534F" w:rsidRPr="005E534F" w:rsidRDefault="005E534F" w:rsidP="005E534F">
      <w:pPr>
        <w:rPr>
          <w:rFonts w:cs="Arial"/>
          <w:sz w:val="20"/>
          <w:u w:val="single"/>
        </w:rPr>
      </w:pPr>
      <w:r>
        <w:rPr>
          <w:rFonts w:cs="Arial"/>
          <w:b/>
          <w:sz w:val="20"/>
        </w:rPr>
        <w:br w:type="page"/>
      </w:r>
      <w:r w:rsidRPr="005E534F">
        <w:rPr>
          <w:rFonts w:cs="Arial"/>
          <w:sz w:val="20"/>
          <w:u w:val="single"/>
        </w:rPr>
        <w:lastRenderedPageBreak/>
        <w:t>Quintile transitions over the seven SoFIE waves, with international comparisons</w:t>
      </w:r>
    </w:p>
    <w:p w:rsidR="005E534F" w:rsidRDefault="005E534F" w:rsidP="005E534F">
      <w:pPr>
        <w:rPr>
          <w:rFonts w:cs="Arial"/>
          <w:b/>
          <w:sz w:val="20"/>
        </w:rPr>
      </w:pPr>
    </w:p>
    <w:p w:rsidR="005E534F" w:rsidRPr="00210076" w:rsidRDefault="005E534F" w:rsidP="005E534F">
      <w:pPr>
        <w:jc w:val="both"/>
        <w:rPr>
          <w:rFonts w:cs="Arial"/>
          <w:sz w:val="20"/>
        </w:rPr>
      </w:pPr>
      <w:r w:rsidRPr="00210076">
        <w:rPr>
          <w:rFonts w:cs="Arial"/>
          <w:sz w:val="20"/>
        </w:rPr>
        <w:t>The focus now moves to looking in more detail at the changes that occur over multi-</w:t>
      </w:r>
      <w:r w:rsidR="009630B5">
        <w:rPr>
          <w:rFonts w:cs="Arial"/>
          <w:sz w:val="20"/>
        </w:rPr>
        <w:t>wave</w:t>
      </w:r>
      <w:r w:rsidRPr="00210076">
        <w:rPr>
          <w:rFonts w:cs="Arial"/>
          <w:sz w:val="20"/>
        </w:rPr>
        <w:t xml:space="preserve"> windows, especially the full seven-</w:t>
      </w:r>
      <w:r w:rsidR="009630B5">
        <w:rPr>
          <w:rFonts w:cs="Arial"/>
          <w:sz w:val="20"/>
        </w:rPr>
        <w:t>wave</w:t>
      </w:r>
      <w:r w:rsidR="005A4064">
        <w:rPr>
          <w:rFonts w:cs="Arial"/>
          <w:sz w:val="20"/>
        </w:rPr>
        <w:t xml:space="preserve"> </w:t>
      </w:r>
      <w:r w:rsidRPr="00210076">
        <w:rPr>
          <w:rFonts w:cs="Arial"/>
          <w:sz w:val="20"/>
        </w:rPr>
        <w:t>window that the current release of SoFIE data allows.</w:t>
      </w:r>
    </w:p>
    <w:p w:rsidR="005E534F" w:rsidRDefault="005E534F" w:rsidP="005E534F">
      <w:pPr>
        <w:jc w:val="both"/>
        <w:rPr>
          <w:rFonts w:cs="Arial"/>
          <w:b/>
          <w:sz w:val="20"/>
        </w:rPr>
      </w:pPr>
    </w:p>
    <w:p w:rsidR="005E534F" w:rsidRDefault="005E534F" w:rsidP="005E534F">
      <w:pPr>
        <w:jc w:val="both"/>
        <w:rPr>
          <w:rFonts w:cs="Arial"/>
          <w:sz w:val="20"/>
        </w:rPr>
      </w:pPr>
      <w:r>
        <w:rPr>
          <w:rFonts w:cs="Arial"/>
          <w:b/>
          <w:sz w:val="20"/>
        </w:rPr>
        <w:t>Figure L.</w:t>
      </w:r>
      <w:r w:rsidR="00B50F94">
        <w:rPr>
          <w:rFonts w:cs="Arial"/>
          <w:b/>
          <w:sz w:val="20"/>
        </w:rPr>
        <w:t>1</w:t>
      </w:r>
      <w:r>
        <w:rPr>
          <w:rFonts w:cs="Arial"/>
          <w:sz w:val="20"/>
        </w:rPr>
        <w:t xml:space="preserve"> shows that as the income window increases mobility increases (and immobility decreases), as one would expect.   By w7, 60% have moved from their original quintile, 40% remain in the same one.  The upper quintile has the least mobility with just over half (54%) of those in Q5 in w1 being there again in w7.</w:t>
      </w:r>
    </w:p>
    <w:p w:rsidR="005E534F" w:rsidRDefault="005E534F" w:rsidP="005E534F">
      <w:pPr>
        <w:rPr>
          <w:rFonts w:cs="Arial"/>
          <w:b/>
          <w:color w:val="000000"/>
          <w:sz w:val="18"/>
          <w:szCs w:val="18"/>
        </w:rPr>
      </w:pPr>
    </w:p>
    <w:p w:rsidR="005E534F" w:rsidRPr="00114477" w:rsidRDefault="005E534F" w:rsidP="005E534F">
      <w:pPr>
        <w:jc w:val="center"/>
        <w:rPr>
          <w:rFonts w:cs="Arial"/>
          <w:b/>
          <w:color w:val="000000"/>
          <w:sz w:val="18"/>
          <w:szCs w:val="18"/>
        </w:rPr>
      </w:pPr>
      <w:r>
        <w:rPr>
          <w:rFonts w:cs="Arial"/>
          <w:b/>
          <w:color w:val="000000"/>
          <w:sz w:val="18"/>
          <w:szCs w:val="18"/>
        </w:rPr>
        <w:t>Figure L.</w:t>
      </w:r>
      <w:r w:rsidR="00B50F94">
        <w:rPr>
          <w:rFonts w:cs="Arial"/>
          <w:b/>
          <w:color w:val="000000"/>
          <w:sz w:val="18"/>
          <w:szCs w:val="18"/>
        </w:rPr>
        <w:t>1</w:t>
      </w:r>
    </w:p>
    <w:p w:rsidR="005E534F" w:rsidRPr="00A704B4" w:rsidRDefault="005E534F" w:rsidP="005E534F">
      <w:pPr>
        <w:jc w:val="center"/>
        <w:rPr>
          <w:rFonts w:cs="Arial"/>
          <w:b/>
          <w:sz w:val="18"/>
          <w:szCs w:val="18"/>
        </w:rPr>
      </w:pPr>
      <w:r>
        <w:rPr>
          <w:rFonts w:cs="Arial"/>
          <w:b/>
          <w:sz w:val="18"/>
          <w:szCs w:val="18"/>
        </w:rPr>
        <w:t>Proportion who move from their original quintile over the seven SoFIE waves:</w:t>
      </w:r>
    </w:p>
    <w:p w:rsidR="005E534F" w:rsidRPr="00A704B4" w:rsidRDefault="005E534F" w:rsidP="005E534F">
      <w:pPr>
        <w:jc w:val="center"/>
        <w:rPr>
          <w:rFonts w:cs="Arial"/>
          <w:b/>
          <w:sz w:val="18"/>
          <w:szCs w:val="18"/>
        </w:rPr>
      </w:pPr>
      <w:r w:rsidRPr="00A704B4">
        <w:rPr>
          <w:rFonts w:cs="Arial"/>
          <w:b/>
          <w:sz w:val="18"/>
          <w:szCs w:val="18"/>
        </w:rPr>
        <w:t xml:space="preserve">all </w:t>
      </w:r>
      <w:r>
        <w:rPr>
          <w:rFonts w:cs="Arial"/>
          <w:b/>
          <w:sz w:val="18"/>
          <w:szCs w:val="18"/>
        </w:rPr>
        <w:t>in sample</w:t>
      </w:r>
    </w:p>
    <w:p w:rsidR="005E534F" w:rsidRDefault="00EC0BE0" w:rsidP="005E534F">
      <w:pPr>
        <w:tabs>
          <w:tab w:val="left" w:pos="2340"/>
        </w:tabs>
        <w:spacing w:before="60"/>
        <w:jc w:val="center"/>
        <w:rPr>
          <w:rFonts w:cs="Arial"/>
          <w:sz w:val="20"/>
        </w:rPr>
      </w:pPr>
      <w:r>
        <w:rPr>
          <w:noProof/>
          <w:lang w:val="en-US"/>
        </w:rPr>
        <w:drawing>
          <wp:inline distT="0" distB="0" distL="0" distR="0">
            <wp:extent cx="3419475" cy="2114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srcRect/>
                    <a:stretch>
                      <a:fillRect/>
                    </a:stretch>
                  </pic:blipFill>
                  <pic:spPr bwMode="auto">
                    <a:xfrm>
                      <a:off x="0" y="0"/>
                      <a:ext cx="3419475" cy="2114550"/>
                    </a:xfrm>
                    <a:prstGeom prst="rect">
                      <a:avLst/>
                    </a:prstGeom>
                    <a:noFill/>
                    <a:ln w="9525">
                      <a:noFill/>
                      <a:miter lim="800000"/>
                      <a:headEnd/>
                      <a:tailEnd/>
                    </a:ln>
                  </pic:spPr>
                </pic:pic>
              </a:graphicData>
            </a:graphic>
          </wp:inline>
        </w:drawing>
      </w:r>
    </w:p>
    <w:p w:rsidR="005E534F" w:rsidRPr="00F2019E" w:rsidRDefault="005E534F" w:rsidP="005E534F">
      <w:pPr>
        <w:spacing w:before="60"/>
        <w:ind w:left="2592" w:right="1902" w:hanging="720"/>
        <w:rPr>
          <w:rFonts w:cs="Arial"/>
          <w:sz w:val="16"/>
          <w:szCs w:val="16"/>
        </w:rPr>
      </w:pPr>
      <w:r w:rsidRPr="00F2019E">
        <w:rPr>
          <w:rFonts w:cs="Arial"/>
          <w:sz w:val="16"/>
          <w:szCs w:val="16"/>
        </w:rPr>
        <w:t xml:space="preserve">Source:  </w:t>
      </w:r>
      <w:r>
        <w:rPr>
          <w:rFonts w:cs="Arial"/>
          <w:sz w:val="16"/>
          <w:szCs w:val="16"/>
        </w:rPr>
        <w:tab/>
        <w:t xml:space="preserve">Author’s calculations based on unpublished </w:t>
      </w:r>
      <w:r w:rsidR="009630B5">
        <w:rPr>
          <w:rFonts w:cs="Arial"/>
          <w:sz w:val="16"/>
          <w:szCs w:val="16"/>
        </w:rPr>
        <w:t>decile</w:t>
      </w:r>
      <w:r w:rsidR="004B5902">
        <w:rPr>
          <w:rFonts w:cs="Arial"/>
          <w:sz w:val="16"/>
          <w:szCs w:val="16"/>
        </w:rPr>
        <w:t xml:space="preserve"> </w:t>
      </w:r>
      <w:r>
        <w:rPr>
          <w:rFonts w:cs="Arial"/>
          <w:sz w:val="16"/>
          <w:szCs w:val="16"/>
        </w:rPr>
        <w:t>transition tables provided by</w:t>
      </w:r>
      <w:r w:rsidRPr="00F2019E">
        <w:rPr>
          <w:rFonts w:cs="Arial"/>
          <w:sz w:val="16"/>
          <w:szCs w:val="16"/>
        </w:rPr>
        <w:t xml:space="preserve"> </w:t>
      </w:r>
      <w:r>
        <w:rPr>
          <w:rFonts w:cs="Arial"/>
          <w:sz w:val="16"/>
          <w:szCs w:val="16"/>
        </w:rPr>
        <w:t>UO authors.</w:t>
      </w:r>
    </w:p>
    <w:p w:rsidR="005E534F" w:rsidRDefault="005E534F" w:rsidP="005E534F">
      <w:pPr>
        <w:rPr>
          <w:rFonts w:cs="Arial"/>
          <w:sz w:val="20"/>
        </w:rPr>
      </w:pPr>
    </w:p>
    <w:p w:rsidR="005E534F" w:rsidRPr="00B874A7" w:rsidRDefault="005E534F" w:rsidP="00164F8C">
      <w:pPr>
        <w:jc w:val="both"/>
        <w:rPr>
          <w:rFonts w:cs="Arial"/>
          <w:sz w:val="20"/>
        </w:rPr>
      </w:pPr>
      <w:r>
        <w:rPr>
          <w:rFonts w:cs="Arial"/>
          <w:sz w:val="20"/>
        </w:rPr>
        <w:t>Figure L.</w:t>
      </w:r>
      <w:r w:rsidR="00B50F94">
        <w:rPr>
          <w:rFonts w:cs="Arial"/>
          <w:sz w:val="20"/>
        </w:rPr>
        <w:t>1</w:t>
      </w:r>
      <w:r>
        <w:rPr>
          <w:rFonts w:cs="Arial"/>
          <w:sz w:val="20"/>
        </w:rPr>
        <w:t xml:space="preserve"> makes it look as if </w:t>
      </w:r>
      <w:r w:rsidR="00164F8C">
        <w:rPr>
          <w:rFonts w:cs="Arial"/>
          <w:sz w:val="20"/>
        </w:rPr>
        <w:t xml:space="preserve">there is </w:t>
      </w:r>
      <w:r>
        <w:rPr>
          <w:rFonts w:cs="Arial"/>
          <w:sz w:val="20"/>
        </w:rPr>
        <w:t xml:space="preserve">a very large amount of movement between w1 and w2, much more than for later transitions.  The reason for the difference is that </w:t>
      </w:r>
      <w:r w:rsidRPr="00B874A7">
        <w:rPr>
          <w:rFonts w:cs="Arial"/>
          <w:sz w:val="20"/>
        </w:rPr>
        <w:t xml:space="preserve">whatever wave is taken as w1, the w1 to w2 transition is different </w:t>
      </w:r>
      <w:r>
        <w:rPr>
          <w:rFonts w:cs="Arial"/>
          <w:sz w:val="20"/>
        </w:rPr>
        <w:t>from</w:t>
      </w:r>
      <w:r w:rsidRPr="00B874A7">
        <w:rPr>
          <w:rFonts w:cs="Arial"/>
          <w:sz w:val="20"/>
        </w:rPr>
        <w:t xml:space="preserve"> any other</w:t>
      </w:r>
      <w:r w:rsidR="00164F8C">
        <w:rPr>
          <w:rFonts w:cs="Arial"/>
          <w:sz w:val="20"/>
        </w:rPr>
        <w:t xml:space="preserve"> transition</w:t>
      </w:r>
      <w:r w:rsidRPr="00B874A7">
        <w:rPr>
          <w:rFonts w:cs="Arial"/>
          <w:sz w:val="20"/>
        </w:rPr>
        <w:t xml:space="preserve"> in </w:t>
      </w:r>
      <w:r>
        <w:rPr>
          <w:rFonts w:cs="Arial"/>
          <w:sz w:val="20"/>
        </w:rPr>
        <w:t>that in all the others it is</w:t>
      </w:r>
      <w:r w:rsidRPr="00B874A7">
        <w:rPr>
          <w:rFonts w:cs="Arial"/>
          <w:sz w:val="20"/>
        </w:rPr>
        <w:t xml:space="preserve"> possible </w:t>
      </w:r>
      <w:r>
        <w:rPr>
          <w:rFonts w:cs="Arial"/>
          <w:sz w:val="20"/>
        </w:rPr>
        <w:t xml:space="preserve">to return to the quintile or decile of origin </w:t>
      </w:r>
      <w:r w:rsidR="00164F8C">
        <w:rPr>
          <w:rFonts w:cs="Arial"/>
          <w:sz w:val="20"/>
        </w:rPr>
        <w:t>(</w:t>
      </w:r>
      <w:r>
        <w:rPr>
          <w:rFonts w:cs="Arial"/>
          <w:sz w:val="20"/>
        </w:rPr>
        <w:t>w1</w:t>
      </w:r>
      <w:r w:rsidR="00164F8C">
        <w:rPr>
          <w:rFonts w:cs="Arial"/>
          <w:sz w:val="20"/>
        </w:rPr>
        <w:t>)</w:t>
      </w:r>
      <w:r>
        <w:rPr>
          <w:rFonts w:cs="Arial"/>
          <w:sz w:val="20"/>
        </w:rPr>
        <w:t xml:space="preserve">, whereas this is not logically possible for the w1/w2 transition. </w:t>
      </w:r>
      <w:r w:rsidR="00164F8C">
        <w:rPr>
          <w:rFonts w:cs="Arial"/>
          <w:sz w:val="20"/>
        </w:rPr>
        <w:t xml:space="preserve"> For a w1/w2 transition, an individual either stays or moves – they cannot ‘return’ to w1.</w:t>
      </w:r>
    </w:p>
    <w:p w:rsidR="005E534F" w:rsidRDefault="005E534F" w:rsidP="00164F8C">
      <w:pPr>
        <w:jc w:val="both"/>
        <w:rPr>
          <w:rFonts w:cs="Arial"/>
          <w:b/>
          <w:sz w:val="20"/>
        </w:rPr>
      </w:pPr>
    </w:p>
    <w:p w:rsidR="005E534F" w:rsidRDefault="005E534F" w:rsidP="00164F8C">
      <w:pPr>
        <w:jc w:val="both"/>
        <w:rPr>
          <w:rFonts w:cs="Arial"/>
          <w:sz w:val="20"/>
        </w:rPr>
      </w:pPr>
      <w:r w:rsidRPr="000C5D3B">
        <w:rPr>
          <w:rFonts w:cs="Arial"/>
          <w:b/>
          <w:sz w:val="20"/>
        </w:rPr>
        <w:t xml:space="preserve">Table </w:t>
      </w:r>
      <w:r>
        <w:rPr>
          <w:rFonts w:cs="Arial"/>
          <w:b/>
          <w:sz w:val="20"/>
        </w:rPr>
        <w:t>L.</w:t>
      </w:r>
      <w:r w:rsidR="00B50F94">
        <w:rPr>
          <w:rFonts w:cs="Arial"/>
          <w:b/>
          <w:sz w:val="20"/>
        </w:rPr>
        <w:t>2</w:t>
      </w:r>
      <w:r>
        <w:rPr>
          <w:rFonts w:cs="Arial"/>
          <w:sz w:val="20"/>
        </w:rPr>
        <w:t xml:space="preserve"> shows </w:t>
      </w:r>
      <w:r w:rsidR="00B50F94">
        <w:rPr>
          <w:rFonts w:cs="Arial"/>
          <w:sz w:val="20"/>
        </w:rPr>
        <w:t>the</w:t>
      </w:r>
      <w:r>
        <w:rPr>
          <w:rFonts w:cs="Arial"/>
          <w:sz w:val="20"/>
        </w:rPr>
        <w:t xml:space="preserve"> w1 to w7</w:t>
      </w:r>
      <w:r w:rsidR="00B50F94">
        <w:rPr>
          <w:rFonts w:cs="Arial"/>
          <w:sz w:val="20"/>
        </w:rPr>
        <w:t xml:space="preserve"> transitions</w:t>
      </w:r>
      <w:r>
        <w:rPr>
          <w:rFonts w:cs="Arial"/>
          <w:sz w:val="20"/>
        </w:rPr>
        <w:t xml:space="preserve"> by initial location in the income distribution</w:t>
      </w:r>
      <w:r w:rsidR="00B50F94">
        <w:rPr>
          <w:rFonts w:cs="Arial"/>
          <w:sz w:val="20"/>
        </w:rPr>
        <w:t xml:space="preserve"> (and repeats some of the information shown in Figure L.1)</w:t>
      </w:r>
      <w:r w:rsidR="009630B5">
        <w:rPr>
          <w:rFonts w:cs="Arial"/>
          <w:sz w:val="20"/>
        </w:rPr>
        <w:t xml:space="preserve">. </w:t>
      </w:r>
      <w:r>
        <w:rPr>
          <w:rFonts w:cs="Arial"/>
          <w:sz w:val="20"/>
        </w:rPr>
        <w:t xml:space="preserve">For example, the first row in Table </w:t>
      </w:r>
      <w:r w:rsidR="009630B5">
        <w:rPr>
          <w:rFonts w:cs="Arial"/>
          <w:sz w:val="20"/>
        </w:rPr>
        <w:t>L.2</w:t>
      </w:r>
      <w:r>
        <w:rPr>
          <w:rFonts w:cs="Arial"/>
          <w:sz w:val="20"/>
        </w:rPr>
        <w:t xml:space="preserve"> shows that 45% of those in the lowest income quintile in </w:t>
      </w:r>
      <w:r w:rsidR="00164F8C">
        <w:rPr>
          <w:rFonts w:cs="Arial"/>
          <w:sz w:val="20"/>
        </w:rPr>
        <w:t>w1</w:t>
      </w:r>
      <w:r>
        <w:rPr>
          <w:rFonts w:cs="Arial"/>
          <w:sz w:val="20"/>
        </w:rPr>
        <w:t xml:space="preserve"> were still there in </w:t>
      </w:r>
      <w:r w:rsidR="00164F8C">
        <w:rPr>
          <w:rFonts w:cs="Arial"/>
          <w:sz w:val="20"/>
        </w:rPr>
        <w:t>w7</w:t>
      </w:r>
      <w:r>
        <w:rPr>
          <w:rFonts w:cs="Arial"/>
          <w:sz w:val="20"/>
        </w:rPr>
        <w:t xml:space="preserve">,  29% had moved up to the second quintile and so on.  The cells on the diagonal (shaded) show the proportion remaining in the same quintile across the period.  </w:t>
      </w:r>
    </w:p>
    <w:p w:rsidR="005E534F" w:rsidRPr="000C5D3B" w:rsidRDefault="005E534F" w:rsidP="005E534F">
      <w:pPr>
        <w:rPr>
          <w:rFonts w:cs="Arial"/>
          <w:sz w:val="20"/>
        </w:rPr>
      </w:pPr>
      <w:r>
        <w:rPr>
          <w:rFonts w:cs="Arial"/>
          <w:sz w:val="20"/>
        </w:rPr>
        <w:t xml:space="preserve"> </w:t>
      </w:r>
    </w:p>
    <w:p w:rsidR="005E534F" w:rsidRPr="008B0BFA" w:rsidRDefault="005E534F" w:rsidP="005E534F">
      <w:pPr>
        <w:jc w:val="center"/>
        <w:rPr>
          <w:rFonts w:cs="Arial"/>
          <w:b/>
          <w:sz w:val="18"/>
          <w:szCs w:val="18"/>
        </w:rPr>
      </w:pPr>
      <w:r w:rsidRPr="008B0BFA">
        <w:rPr>
          <w:rFonts w:cs="Arial"/>
          <w:b/>
          <w:sz w:val="18"/>
          <w:szCs w:val="18"/>
        </w:rPr>
        <w:t xml:space="preserve">Table </w:t>
      </w:r>
      <w:r>
        <w:rPr>
          <w:rFonts w:cs="Arial"/>
          <w:b/>
          <w:sz w:val="18"/>
          <w:szCs w:val="18"/>
        </w:rPr>
        <w:t>L.</w:t>
      </w:r>
      <w:r w:rsidR="00B50F94">
        <w:rPr>
          <w:rFonts w:cs="Arial"/>
          <w:b/>
          <w:sz w:val="18"/>
          <w:szCs w:val="18"/>
        </w:rPr>
        <w:t>2</w:t>
      </w:r>
    </w:p>
    <w:p w:rsidR="005E534F" w:rsidRPr="008B0BFA" w:rsidRDefault="005E534F" w:rsidP="005E534F">
      <w:pPr>
        <w:jc w:val="center"/>
        <w:rPr>
          <w:rFonts w:cs="Arial"/>
          <w:b/>
          <w:sz w:val="18"/>
          <w:szCs w:val="18"/>
        </w:rPr>
      </w:pPr>
      <w:r w:rsidRPr="008B0BFA">
        <w:rPr>
          <w:rFonts w:cs="Arial"/>
          <w:b/>
          <w:sz w:val="18"/>
          <w:szCs w:val="18"/>
        </w:rPr>
        <w:t>Income quintile transition probabilities (%) fr</w:t>
      </w:r>
      <w:r>
        <w:rPr>
          <w:rFonts w:cs="Arial"/>
          <w:b/>
          <w:sz w:val="18"/>
          <w:szCs w:val="18"/>
        </w:rPr>
        <w:t>om w1 to w</w:t>
      </w:r>
      <w:r w:rsidRPr="008B0BFA">
        <w:rPr>
          <w:rFonts w:cs="Arial"/>
          <w:b/>
          <w:sz w:val="18"/>
          <w:szCs w:val="18"/>
        </w:rPr>
        <w:t>7</w:t>
      </w:r>
      <w:r>
        <w:rPr>
          <w:rFonts w:cs="Arial"/>
          <w:b/>
          <w:sz w:val="18"/>
          <w:szCs w:val="18"/>
        </w:rPr>
        <w:t>, SoFIE</w:t>
      </w:r>
      <w:r w:rsidRPr="008B0BFA">
        <w:rPr>
          <w:rFonts w:cs="Arial"/>
          <w:b/>
          <w:sz w:val="18"/>
          <w:szCs w:val="18"/>
        </w:rPr>
        <w:t>:</w:t>
      </w:r>
    </w:p>
    <w:p w:rsidR="005E534F" w:rsidRPr="008B0BFA" w:rsidRDefault="005E534F" w:rsidP="005E534F">
      <w:pPr>
        <w:spacing w:after="120"/>
        <w:jc w:val="center"/>
        <w:rPr>
          <w:rFonts w:cs="Arial"/>
          <w:b/>
          <w:sz w:val="18"/>
          <w:szCs w:val="18"/>
        </w:rPr>
      </w:pPr>
      <w:r w:rsidRPr="008B0BFA">
        <w:rPr>
          <w:rFonts w:cs="Arial"/>
          <w:b/>
          <w:sz w:val="18"/>
          <w:szCs w:val="18"/>
        </w:rPr>
        <w:t xml:space="preserve">2002 to 2008, </w:t>
      </w:r>
      <w:r>
        <w:rPr>
          <w:rFonts w:cs="Arial"/>
          <w:b/>
          <w:sz w:val="18"/>
          <w:szCs w:val="18"/>
        </w:rPr>
        <w:t>full sample</w:t>
      </w:r>
    </w:p>
    <w:tbl>
      <w:tblPr>
        <w:tblStyle w:val="TableGrid"/>
        <w:tblW w:w="0" w:type="auto"/>
        <w:jc w:val="center"/>
        <w:tblInd w:w="-18" w:type="dxa"/>
        <w:tblLayout w:type="fixed"/>
        <w:tblLook w:val="01E0"/>
      </w:tblPr>
      <w:tblGrid>
        <w:gridCol w:w="777"/>
        <w:gridCol w:w="540"/>
        <w:gridCol w:w="540"/>
        <w:gridCol w:w="540"/>
        <w:gridCol w:w="540"/>
        <w:gridCol w:w="540"/>
        <w:gridCol w:w="540"/>
      </w:tblGrid>
      <w:tr w:rsidR="005E534F" w:rsidRPr="00525C68">
        <w:trPr>
          <w:jc w:val="center"/>
        </w:trPr>
        <w:tc>
          <w:tcPr>
            <w:tcW w:w="777" w:type="dxa"/>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rPr>
                <w:rFonts w:cs="Arial"/>
                <w:sz w:val="14"/>
                <w:szCs w:val="16"/>
              </w:rPr>
            </w:pPr>
          </w:p>
        </w:tc>
        <w:tc>
          <w:tcPr>
            <w:tcW w:w="2700" w:type="dxa"/>
            <w:gridSpan w:val="5"/>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Quintile in w7 (2008)</w:t>
            </w:r>
          </w:p>
        </w:tc>
      </w:tr>
      <w:tr w:rsidR="005E534F" w:rsidRPr="00525C68">
        <w:trPr>
          <w:jc w:val="center"/>
        </w:trPr>
        <w:tc>
          <w:tcPr>
            <w:tcW w:w="777" w:type="dxa"/>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rPr>
                <w:rFonts w:cs="Arial"/>
                <w:sz w:val="14"/>
                <w:szCs w:val="16"/>
              </w:rPr>
            </w:pP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1</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4</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5</w:t>
            </w:r>
          </w:p>
        </w:tc>
      </w:tr>
      <w:tr w:rsidR="005E534F" w:rsidRPr="00525C68">
        <w:trPr>
          <w:jc w:val="center"/>
        </w:trPr>
        <w:tc>
          <w:tcPr>
            <w:tcW w:w="777" w:type="dxa"/>
            <w:vMerge w:val="restart"/>
            <w:shd w:val="clear" w:color="auto" w:fill="auto"/>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Quintile in w1 (2002)</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45</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29</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14</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9</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4</w:t>
            </w:r>
          </w:p>
        </w:tc>
      </w:tr>
      <w:tr w:rsidR="005E534F" w:rsidRPr="00525C68">
        <w:trPr>
          <w:jc w:val="center"/>
        </w:trPr>
        <w:tc>
          <w:tcPr>
            <w:tcW w:w="777" w:type="dxa"/>
            <w:vMerge/>
            <w:shd w:val="clear" w:color="auto" w:fill="auto"/>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25</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35</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12</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5</w:t>
            </w:r>
          </w:p>
        </w:tc>
      </w:tr>
      <w:tr w:rsidR="005E534F" w:rsidRPr="00525C68">
        <w:trPr>
          <w:jc w:val="center"/>
        </w:trPr>
        <w:tc>
          <w:tcPr>
            <w:tcW w:w="777" w:type="dxa"/>
            <w:vMerge/>
            <w:shd w:val="clear" w:color="auto" w:fill="auto"/>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13</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18</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3</w:t>
            </w:r>
            <w:r>
              <w:rPr>
                <w:rFonts w:cs="Arial"/>
                <w:b/>
                <w:sz w:val="14"/>
                <w:szCs w:val="16"/>
              </w:rPr>
              <w:t>1</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26</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11</w:t>
            </w:r>
          </w:p>
        </w:tc>
      </w:tr>
      <w:tr w:rsidR="005E534F" w:rsidRPr="00525C68">
        <w:trPr>
          <w:jc w:val="center"/>
        </w:trPr>
        <w:tc>
          <w:tcPr>
            <w:tcW w:w="777" w:type="dxa"/>
            <w:vMerge/>
            <w:shd w:val="clear" w:color="auto" w:fill="auto"/>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4</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9</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11</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21</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34</w:t>
            </w:r>
          </w:p>
        </w:tc>
        <w:tc>
          <w:tcPr>
            <w:tcW w:w="540" w:type="dxa"/>
            <w:tcBorders>
              <w:bottom w:val="single" w:sz="4" w:space="0" w:color="auto"/>
            </w:tcBorders>
            <w:vAlign w:val="center"/>
          </w:tcPr>
          <w:p w:rsidR="005E534F" w:rsidRPr="00525C68" w:rsidRDefault="005E534F" w:rsidP="00DC10A9">
            <w:pPr>
              <w:spacing w:before="40" w:after="40"/>
              <w:jc w:val="center"/>
              <w:rPr>
                <w:rFonts w:cs="Arial"/>
                <w:sz w:val="14"/>
                <w:szCs w:val="16"/>
              </w:rPr>
            </w:pPr>
            <w:r w:rsidRPr="00525C68">
              <w:rPr>
                <w:rFonts w:cs="Arial"/>
                <w:sz w:val="14"/>
                <w:szCs w:val="16"/>
              </w:rPr>
              <w:t>25</w:t>
            </w:r>
          </w:p>
        </w:tc>
      </w:tr>
      <w:tr w:rsidR="005E534F" w:rsidRPr="00525C68">
        <w:trPr>
          <w:jc w:val="center"/>
        </w:trPr>
        <w:tc>
          <w:tcPr>
            <w:tcW w:w="777" w:type="dxa"/>
            <w:vMerge/>
            <w:shd w:val="clear" w:color="auto" w:fill="auto"/>
            <w:vAlign w:val="center"/>
          </w:tcPr>
          <w:p w:rsidR="005E534F" w:rsidRPr="00525C68" w:rsidRDefault="005E534F" w:rsidP="00DC10A9">
            <w:pPr>
              <w:spacing w:before="40" w:after="40"/>
              <w:rPr>
                <w:rFonts w:cs="Arial"/>
                <w:sz w:val="14"/>
                <w:szCs w:val="16"/>
              </w:rPr>
            </w:pP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5</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7</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7</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12</w:t>
            </w:r>
          </w:p>
        </w:tc>
        <w:tc>
          <w:tcPr>
            <w:tcW w:w="540" w:type="dxa"/>
            <w:vAlign w:val="center"/>
          </w:tcPr>
          <w:p w:rsidR="005E534F" w:rsidRPr="00525C68" w:rsidRDefault="005E534F" w:rsidP="00DC10A9">
            <w:pPr>
              <w:spacing w:before="40" w:after="40"/>
              <w:jc w:val="center"/>
              <w:rPr>
                <w:rFonts w:cs="Arial"/>
                <w:sz w:val="14"/>
                <w:szCs w:val="16"/>
              </w:rPr>
            </w:pPr>
            <w:r w:rsidRPr="00525C68">
              <w:rPr>
                <w:rFonts w:cs="Arial"/>
                <w:sz w:val="14"/>
                <w:szCs w:val="16"/>
              </w:rPr>
              <w:t>20</w:t>
            </w:r>
          </w:p>
        </w:tc>
        <w:tc>
          <w:tcPr>
            <w:tcW w:w="540" w:type="dxa"/>
            <w:shd w:val="clear" w:color="auto" w:fill="CCCCCC"/>
            <w:vAlign w:val="center"/>
          </w:tcPr>
          <w:p w:rsidR="005E534F" w:rsidRPr="00525C68" w:rsidRDefault="005E534F" w:rsidP="00DC10A9">
            <w:pPr>
              <w:spacing w:before="40" w:after="40"/>
              <w:jc w:val="center"/>
              <w:rPr>
                <w:rFonts w:cs="Arial"/>
                <w:b/>
                <w:sz w:val="14"/>
                <w:szCs w:val="16"/>
              </w:rPr>
            </w:pPr>
            <w:r w:rsidRPr="00525C68">
              <w:rPr>
                <w:rFonts w:cs="Arial"/>
                <w:b/>
                <w:sz w:val="14"/>
                <w:szCs w:val="16"/>
              </w:rPr>
              <w:t>54</w:t>
            </w:r>
          </w:p>
        </w:tc>
      </w:tr>
    </w:tbl>
    <w:p w:rsidR="005E534F" w:rsidRDefault="005E534F" w:rsidP="005E534F">
      <w:pPr>
        <w:spacing w:before="60"/>
        <w:ind w:left="1620" w:firstLine="720"/>
        <w:rPr>
          <w:rFonts w:cs="Arial"/>
          <w:sz w:val="20"/>
        </w:rPr>
      </w:pPr>
      <w:r>
        <w:rPr>
          <w:rFonts w:cs="Arial"/>
          <w:sz w:val="16"/>
          <w:szCs w:val="16"/>
        </w:rPr>
        <w:t>Source:  Table 5</w:t>
      </w:r>
      <w:r w:rsidRPr="00F2019E">
        <w:rPr>
          <w:rFonts w:cs="Arial"/>
          <w:sz w:val="16"/>
          <w:szCs w:val="16"/>
        </w:rPr>
        <w:t xml:space="preserve"> in </w:t>
      </w:r>
      <w:r>
        <w:rPr>
          <w:rFonts w:cs="Arial"/>
          <w:sz w:val="16"/>
          <w:szCs w:val="16"/>
        </w:rPr>
        <w:t>UO</w:t>
      </w:r>
    </w:p>
    <w:p w:rsidR="005E534F" w:rsidRDefault="005E534F" w:rsidP="005E534F">
      <w:pPr>
        <w:rPr>
          <w:rFonts w:cs="Arial"/>
          <w:sz w:val="20"/>
        </w:rPr>
      </w:pPr>
    </w:p>
    <w:p w:rsidR="005E534F" w:rsidRDefault="005E534F" w:rsidP="005E534F">
      <w:pPr>
        <w:rPr>
          <w:rFonts w:cs="Arial"/>
          <w:b/>
          <w:sz w:val="20"/>
        </w:rPr>
      </w:pPr>
    </w:p>
    <w:p w:rsidR="005E534F" w:rsidRDefault="005E534F" w:rsidP="005E534F">
      <w:pPr>
        <w:jc w:val="both"/>
        <w:rPr>
          <w:rFonts w:cs="Arial"/>
          <w:sz w:val="20"/>
        </w:rPr>
      </w:pPr>
      <w:r w:rsidRPr="00F657E2">
        <w:rPr>
          <w:rFonts w:cs="Arial"/>
          <w:b/>
          <w:sz w:val="20"/>
        </w:rPr>
        <w:t xml:space="preserve">Table </w:t>
      </w:r>
      <w:r>
        <w:rPr>
          <w:rFonts w:cs="Arial"/>
          <w:b/>
          <w:sz w:val="20"/>
        </w:rPr>
        <w:t>L.</w:t>
      </w:r>
      <w:r w:rsidR="00B50F94">
        <w:rPr>
          <w:rFonts w:cs="Arial"/>
          <w:b/>
          <w:sz w:val="20"/>
        </w:rPr>
        <w:t>3</w:t>
      </w:r>
      <w:r>
        <w:rPr>
          <w:rFonts w:cs="Arial"/>
          <w:b/>
          <w:sz w:val="20"/>
        </w:rPr>
        <w:t xml:space="preserve"> </w:t>
      </w:r>
      <w:r>
        <w:rPr>
          <w:rFonts w:cs="Arial"/>
          <w:sz w:val="20"/>
        </w:rPr>
        <w:t xml:space="preserve">shows the same types of transitions for </w:t>
      </w:r>
      <w:smartTag w:uri="urn:schemas-microsoft-com:office:smarttags" w:element="place">
        <w:smartTag w:uri="urn:schemas-microsoft-com:office:smarttags" w:element="country-region">
          <w:r>
            <w:rPr>
              <w:rFonts w:cs="Arial"/>
              <w:sz w:val="20"/>
            </w:rPr>
            <w:t>Australia</w:t>
          </w:r>
        </w:smartTag>
      </w:smartTag>
      <w:r>
        <w:rPr>
          <w:rFonts w:cs="Arial"/>
          <w:sz w:val="20"/>
        </w:rPr>
        <w:t xml:space="preserve"> based on their HILDA survey.  There are strong similarities between Tables </w:t>
      </w:r>
      <w:r w:rsidR="00B50F94">
        <w:rPr>
          <w:rFonts w:cs="Arial"/>
          <w:sz w:val="20"/>
        </w:rPr>
        <w:t>L.2</w:t>
      </w:r>
      <w:r>
        <w:rPr>
          <w:rFonts w:cs="Arial"/>
          <w:sz w:val="20"/>
        </w:rPr>
        <w:t xml:space="preserve"> and </w:t>
      </w:r>
      <w:r w:rsidR="00B50F94">
        <w:rPr>
          <w:rFonts w:cs="Arial"/>
          <w:sz w:val="20"/>
        </w:rPr>
        <w:t>L.3</w:t>
      </w:r>
      <w:r>
        <w:rPr>
          <w:rFonts w:cs="Arial"/>
          <w:sz w:val="20"/>
        </w:rPr>
        <w:t xml:space="preserve">.  The only difference of note is that </w:t>
      </w:r>
      <w:smartTag w:uri="urn:schemas-microsoft-com:office:smarttags" w:element="country-region">
        <w:r>
          <w:rPr>
            <w:rFonts w:cs="Arial"/>
            <w:sz w:val="20"/>
          </w:rPr>
          <w:t>New Zealand</w:t>
        </w:r>
      </w:smartTag>
      <w:r>
        <w:rPr>
          <w:rFonts w:cs="Arial"/>
          <w:sz w:val="20"/>
        </w:rPr>
        <w:t xml:space="preserve"> seems to have more mobility out of the lower quintile than </w:t>
      </w:r>
      <w:smartTag w:uri="urn:schemas-microsoft-com:office:smarttags" w:element="country-region">
        <w:smartTag w:uri="urn:schemas-microsoft-com:office:smarttags" w:element="place">
          <w:r>
            <w:rPr>
              <w:rFonts w:cs="Arial"/>
              <w:sz w:val="20"/>
            </w:rPr>
            <w:t>Australia</w:t>
          </w:r>
        </w:smartTag>
      </w:smartTag>
      <w:r>
        <w:rPr>
          <w:rFonts w:cs="Arial"/>
          <w:sz w:val="20"/>
        </w:rPr>
        <w:t xml:space="preserve"> does, </w:t>
      </w:r>
      <w:r w:rsidR="009630B5">
        <w:rPr>
          <w:rFonts w:cs="Arial"/>
          <w:sz w:val="20"/>
        </w:rPr>
        <w:t>5</w:t>
      </w:r>
      <w:r w:rsidR="008146D2">
        <w:rPr>
          <w:rFonts w:cs="Arial"/>
          <w:sz w:val="20"/>
        </w:rPr>
        <w:t>5</w:t>
      </w:r>
      <w:r>
        <w:rPr>
          <w:rFonts w:cs="Arial"/>
          <w:sz w:val="20"/>
        </w:rPr>
        <w:t>% compared with 4</w:t>
      </w:r>
      <w:r w:rsidR="008146D2">
        <w:rPr>
          <w:rFonts w:cs="Arial"/>
          <w:sz w:val="20"/>
        </w:rPr>
        <w:t>2</w:t>
      </w:r>
      <w:r>
        <w:rPr>
          <w:rFonts w:cs="Arial"/>
          <w:sz w:val="20"/>
        </w:rPr>
        <w:t xml:space="preserve">%.  It is not clear on the evidence available whether this difference is ‘real’ or simply a product of </w:t>
      </w:r>
      <w:r>
        <w:rPr>
          <w:rFonts w:cs="Arial"/>
          <w:sz w:val="20"/>
        </w:rPr>
        <w:lastRenderedPageBreak/>
        <w:t>different methodologies (</w:t>
      </w:r>
      <w:r w:rsidR="00164F8C">
        <w:rPr>
          <w:rFonts w:cs="Arial"/>
          <w:sz w:val="20"/>
        </w:rPr>
        <w:t xml:space="preserve">eg </w:t>
      </w:r>
      <w:r>
        <w:rPr>
          <w:rFonts w:cs="Arial"/>
          <w:sz w:val="20"/>
        </w:rPr>
        <w:t>gross rather than disposable income, and unweighted rather than weighted data).  What is clear is the remarkable similarity at all other points.</w:t>
      </w:r>
    </w:p>
    <w:p w:rsidR="005E534F" w:rsidRDefault="005E534F" w:rsidP="005E534F">
      <w:pPr>
        <w:rPr>
          <w:rFonts w:cs="Arial"/>
          <w:sz w:val="20"/>
        </w:rPr>
      </w:pPr>
    </w:p>
    <w:p w:rsidR="005E534F" w:rsidRPr="008B0BFA" w:rsidRDefault="005E534F" w:rsidP="005E534F">
      <w:pPr>
        <w:jc w:val="center"/>
        <w:rPr>
          <w:rFonts w:cs="Arial"/>
          <w:b/>
          <w:sz w:val="18"/>
          <w:szCs w:val="18"/>
        </w:rPr>
      </w:pPr>
      <w:r w:rsidRPr="008B0BFA">
        <w:rPr>
          <w:rFonts w:cs="Arial"/>
          <w:b/>
          <w:sz w:val="18"/>
          <w:szCs w:val="18"/>
        </w:rPr>
        <w:t xml:space="preserve">Table </w:t>
      </w:r>
      <w:r w:rsidR="00B50F94">
        <w:rPr>
          <w:rFonts w:cs="Arial"/>
          <w:b/>
          <w:sz w:val="18"/>
          <w:szCs w:val="18"/>
        </w:rPr>
        <w:t>L.3</w:t>
      </w:r>
    </w:p>
    <w:p w:rsidR="005E534F" w:rsidRPr="008B0BFA" w:rsidRDefault="005E534F" w:rsidP="005E534F">
      <w:pPr>
        <w:jc w:val="center"/>
        <w:rPr>
          <w:rFonts w:cs="Arial"/>
          <w:b/>
          <w:sz w:val="18"/>
          <w:szCs w:val="18"/>
        </w:rPr>
      </w:pPr>
      <w:r w:rsidRPr="008B0BFA">
        <w:rPr>
          <w:rFonts w:cs="Arial"/>
          <w:b/>
          <w:sz w:val="18"/>
          <w:szCs w:val="18"/>
        </w:rPr>
        <w:t xml:space="preserve">Income quintile transition probabilities (%) for </w:t>
      </w:r>
      <w:smartTag w:uri="urn:schemas-microsoft-com:office:smarttags" w:element="place">
        <w:smartTag w:uri="urn:schemas-microsoft-com:office:smarttags" w:element="country-region">
          <w:r w:rsidRPr="008B0BFA">
            <w:rPr>
              <w:rFonts w:cs="Arial"/>
              <w:b/>
              <w:sz w:val="18"/>
              <w:szCs w:val="18"/>
            </w:rPr>
            <w:t>Australia</w:t>
          </w:r>
        </w:smartTag>
      </w:smartTag>
      <w:r w:rsidRPr="008B0BFA">
        <w:rPr>
          <w:rFonts w:cs="Arial"/>
          <w:b/>
          <w:sz w:val="18"/>
          <w:szCs w:val="18"/>
        </w:rPr>
        <w:t xml:space="preserve">, using HILDA, </w:t>
      </w:r>
    </w:p>
    <w:p w:rsidR="005E534F" w:rsidRPr="008B0BFA" w:rsidRDefault="005E534F" w:rsidP="005E534F">
      <w:pPr>
        <w:spacing w:after="120"/>
        <w:jc w:val="center"/>
        <w:rPr>
          <w:rFonts w:cs="Arial"/>
          <w:b/>
          <w:sz w:val="18"/>
          <w:szCs w:val="18"/>
        </w:rPr>
      </w:pPr>
      <w:r w:rsidRPr="008B0BFA">
        <w:rPr>
          <w:rFonts w:cs="Arial"/>
          <w:b/>
          <w:sz w:val="18"/>
          <w:szCs w:val="18"/>
        </w:rPr>
        <w:t xml:space="preserve">2001 to 2008, </w:t>
      </w:r>
      <w:r>
        <w:rPr>
          <w:rFonts w:cs="Arial"/>
          <w:b/>
          <w:sz w:val="18"/>
          <w:szCs w:val="18"/>
        </w:rPr>
        <w:t>whole population</w:t>
      </w:r>
    </w:p>
    <w:tbl>
      <w:tblPr>
        <w:tblStyle w:val="TableGrid"/>
        <w:tblW w:w="0" w:type="auto"/>
        <w:jc w:val="center"/>
        <w:tblLayout w:type="fixed"/>
        <w:tblLook w:val="01E0"/>
      </w:tblPr>
      <w:tblGrid>
        <w:gridCol w:w="720"/>
        <w:gridCol w:w="663"/>
        <w:gridCol w:w="516"/>
        <w:gridCol w:w="511"/>
        <w:gridCol w:w="511"/>
        <w:gridCol w:w="511"/>
        <w:gridCol w:w="511"/>
      </w:tblGrid>
      <w:tr w:rsidR="005E534F" w:rsidRPr="00312DC7">
        <w:trPr>
          <w:jc w:val="center"/>
        </w:trPr>
        <w:tc>
          <w:tcPr>
            <w:tcW w:w="720" w:type="dxa"/>
          </w:tcPr>
          <w:p w:rsidR="005E534F" w:rsidRPr="00312DC7" w:rsidRDefault="005E534F" w:rsidP="00DC10A9">
            <w:pPr>
              <w:spacing w:before="40" w:after="40"/>
              <w:rPr>
                <w:rFonts w:cs="Arial"/>
                <w:sz w:val="14"/>
                <w:szCs w:val="16"/>
              </w:rPr>
            </w:pPr>
          </w:p>
        </w:tc>
        <w:tc>
          <w:tcPr>
            <w:tcW w:w="663" w:type="dxa"/>
          </w:tcPr>
          <w:p w:rsidR="005E534F" w:rsidRPr="00312DC7" w:rsidRDefault="005E534F" w:rsidP="00DC10A9">
            <w:pPr>
              <w:spacing w:before="40" w:after="40"/>
              <w:rPr>
                <w:rFonts w:cs="Arial"/>
                <w:sz w:val="14"/>
                <w:szCs w:val="16"/>
              </w:rPr>
            </w:pPr>
          </w:p>
        </w:tc>
        <w:tc>
          <w:tcPr>
            <w:tcW w:w="2560" w:type="dxa"/>
            <w:gridSpan w:val="5"/>
          </w:tcPr>
          <w:p w:rsidR="005E534F" w:rsidRPr="00312DC7" w:rsidRDefault="005E534F" w:rsidP="00DC10A9">
            <w:pPr>
              <w:spacing w:before="40" w:after="40"/>
              <w:jc w:val="center"/>
              <w:rPr>
                <w:rFonts w:cs="Arial"/>
                <w:b/>
                <w:sz w:val="14"/>
                <w:szCs w:val="16"/>
              </w:rPr>
            </w:pPr>
            <w:r w:rsidRPr="00312DC7">
              <w:rPr>
                <w:rFonts w:cs="Arial"/>
                <w:b/>
                <w:sz w:val="14"/>
                <w:szCs w:val="16"/>
              </w:rPr>
              <w:t>Quintile in w</w:t>
            </w:r>
            <w:r>
              <w:rPr>
                <w:rFonts w:cs="Arial"/>
                <w:b/>
                <w:sz w:val="14"/>
                <w:szCs w:val="16"/>
              </w:rPr>
              <w:t>8 (2008)</w:t>
            </w:r>
          </w:p>
        </w:tc>
      </w:tr>
      <w:tr w:rsidR="005E534F" w:rsidRPr="00312DC7">
        <w:trPr>
          <w:jc w:val="center"/>
        </w:trPr>
        <w:tc>
          <w:tcPr>
            <w:tcW w:w="720" w:type="dxa"/>
          </w:tcPr>
          <w:p w:rsidR="005E534F" w:rsidRPr="00312DC7" w:rsidRDefault="005E534F" w:rsidP="00DC10A9">
            <w:pPr>
              <w:spacing w:before="40" w:after="40"/>
              <w:rPr>
                <w:rFonts w:cs="Arial"/>
                <w:sz w:val="14"/>
                <w:szCs w:val="16"/>
              </w:rPr>
            </w:pPr>
          </w:p>
        </w:tc>
        <w:tc>
          <w:tcPr>
            <w:tcW w:w="663" w:type="dxa"/>
            <w:vAlign w:val="center"/>
          </w:tcPr>
          <w:p w:rsidR="005E534F" w:rsidRPr="00312DC7" w:rsidRDefault="005E534F" w:rsidP="00DC10A9">
            <w:pPr>
              <w:spacing w:before="40" w:after="40"/>
              <w:rPr>
                <w:rFonts w:cs="Arial"/>
                <w:sz w:val="14"/>
                <w:szCs w:val="16"/>
              </w:rPr>
            </w:pPr>
          </w:p>
        </w:tc>
        <w:tc>
          <w:tcPr>
            <w:tcW w:w="516" w:type="dxa"/>
            <w:tcBorders>
              <w:bottom w:val="single" w:sz="4" w:space="0" w:color="auto"/>
            </w:tcBorders>
            <w:vAlign w:val="center"/>
          </w:tcPr>
          <w:p w:rsidR="005E534F" w:rsidRPr="00312DC7" w:rsidRDefault="005E534F" w:rsidP="00DC10A9">
            <w:pPr>
              <w:spacing w:before="40" w:after="40"/>
              <w:jc w:val="center"/>
              <w:rPr>
                <w:rFonts w:cs="Arial"/>
                <w:sz w:val="14"/>
                <w:szCs w:val="16"/>
              </w:rPr>
            </w:pPr>
            <w:r w:rsidRPr="00312DC7">
              <w:rPr>
                <w:rFonts w:cs="Arial"/>
                <w:sz w:val="14"/>
                <w:szCs w:val="16"/>
              </w:rPr>
              <w:t>1</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3</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4</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5</w:t>
            </w:r>
          </w:p>
        </w:tc>
      </w:tr>
      <w:tr w:rsidR="005E534F" w:rsidRPr="00312DC7">
        <w:trPr>
          <w:jc w:val="center"/>
        </w:trPr>
        <w:tc>
          <w:tcPr>
            <w:tcW w:w="720" w:type="dxa"/>
            <w:vMerge w:val="restart"/>
            <w:shd w:val="clear" w:color="auto" w:fill="auto"/>
            <w:tcMar>
              <w:left w:w="28" w:type="dxa"/>
              <w:right w:w="28" w:type="dxa"/>
            </w:tcMar>
            <w:vAlign w:val="center"/>
          </w:tcPr>
          <w:p w:rsidR="005E534F" w:rsidRPr="00312DC7" w:rsidRDefault="005E534F" w:rsidP="00DC10A9">
            <w:pPr>
              <w:spacing w:before="40" w:after="40"/>
              <w:jc w:val="center"/>
              <w:rPr>
                <w:rFonts w:cs="Arial"/>
                <w:b/>
                <w:sz w:val="14"/>
                <w:szCs w:val="16"/>
              </w:rPr>
            </w:pPr>
            <w:r w:rsidRPr="00312DC7">
              <w:rPr>
                <w:rFonts w:cs="Arial"/>
                <w:b/>
                <w:sz w:val="14"/>
                <w:szCs w:val="16"/>
              </w:rPr>
              <w:t>Quintile in w1</w:t>
            </w:r>
            <w:r>
              <w:rPr>
                <w:rFonts w:cs="Arial"/>
                <w:b/>
                <w:sz w:val="14"/>
                <w:szCs w:val="16"/>
              </w:rPr>
              <w:t xml:space="preserve"> (2001)</w:t>
            </w:r>
          </w:p>
        </w:tc>
        <w:tc>
          <w:tcPr>
            <w:tcW w:w="663"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w:t>
            </w:r>
          </w:p>
        </w:tc>
        <w:tc>
          <w:tcPr>
            <w:tcW w:w="516" w:type="dxa"/>
            <w:shd w:val="clear" w:color="auto" w:fill="CCCCCC"/>
            <w:vAlign w:val="center"/>
          </w:tcPr>
          <w:p w:rsidR="005E534F" w:rsidRPr="00312DC7" w:rsidRDefault="009630B5" w:rsidP="00DC10A9">
            <w:pPr>
              <w:spacing w:before="40" w:after="40"/>
              <w:jc w:val="center"/>
              <w:rPr>
                <w:rFonts w:cs="Arial"/>
                <w:b/>
                <w:sz w:val="14"/>
                <w:szCs w:val="16"/>
              </w:rPr>
            </w:pPr>
            <w:r>
              <w:rPr>
                <w:rFonts w:cs="Arial"/>
                <w:b/>
                <w:sz w:val="14"/>
                <w:szCs w:val="16"/>
              </w:rPr>
              <w:t>58</w:t>
            </w:r>
          </w:p>
        </w:tc>
        <w:tc>
          <w:tcPr>
            <w:tcW w:w="511" w:type="dxa"/>
            <w:tcBorders>
              <w:bottom w:val="single" w:sz="4" w:space="0" w:color="auto"/>
            </w:tcBorders>
            <w:vAlign w:val="center"/>
          </w:tcPr>
          <w:p w:rsidR="005E534F" w:rsidRPr="00312DC7" w:rsidRDefault="005E534F" w:rsidP="00DC10A9">
            <w:pPr>
              <w:spacing w:before="40" w:after="40"/>
              <w:jc w:val="center"/>
              <w:rPr>
                <w:rFonts w:cs="Arial"/>
                <w:sz w:val="14"/>
                <w:szCs w:val="16"/>
              </w:rPr>
            </w:pPr>
            <w:r w:rsidRPr="00312DC7">
              <w:rPr>
                <w:rFonts w:cs="Arial"/>
                <w:sz w:val="14"/>
                <w:szCs w:val="16"/>
              </w:rPr>
              <w:t>23</w:t>
            </w:r>
          </w:p>
        </w:tc>
        <w:tc>
          <w:tcPr>
            <w:tcW w:w="511" w:type="dxa"/>
            <w:vAlign w:val="center"/>
          </w:tcPr>
          <w:p w:rsidR="005E534F" w:rsidRPr="00312DC7" w:rsidRDefault="009630B5" w:rsidP="00DC10A9">
            <w:pPr>
              <w:spacing w:before="40" w:after="40"/>
              <w:jc w:val="center"/>
              <w:rPr>
                <w:rFonts w:cs="Arial"/>
                <w:sz w:val="14"/>
                <w:szCs w:val="16"/>
              </w:rPr>
            </w:pPr>
            <w:r>
              <w:rPr>
                <w:rFonts w:cs="Arial"/>
                <w:sz w:val="14"/>
                <w:szCs w:val="16"/>
              </w:rPr>
              <w:t>10</w:t>
            </w:r>
          </w:p>
        </w:tc>
        <w:tc>
          <w:tcPr>
            <w:tcW w:w="511" w:type="dxa"/>
            <w:vAlign w:val="center"/>
          </w:tcPr>
          <w:p w:rsidR="005E534F" w:rsidRPr="00312DC7" w:rsidRDefault="009630B5" w:rsidP="00DC10A9">
            <w:pPr>
              <w:spacing w:before="40" w:after="40"/>
              <w:jc w:val="center"/>
              <w:rPr>
                <w:rFonts w:cs="Arial"/>
                <w:sz w:val="14"/>
                <w:szCs w:val="16"/>
              </w:rPr>
            </w:pPr>
            <w:r>
              <w:rPr>
                <w:rFonts w:cs="Arial"/>
                <w:sz w:val="14"/>
                <w:szCs w:val="16"/>
              </w:rPr>
              <w:t>5</w:t>
            </w:r>
          </w:p>
        </w:tc>
        <w:tc>
          <w:tcPr>
            <w:tcW w:w="511" w:type="dxa"/>
            <w:vAlign w:val="center"/>
          </w:tcPr>
          <w:p w:rsidR="005E534F" w:rsidRPr="00312DC7" w:rsidRDefault="009630B5" w:rsidP="00DC10A9">
            <w:pPr>
              <w:spacing w:before="40" w:after="40"/>
              <w:jc w:val="center"/>
              <w:rPr>
                <w:rFonts w:cs="Arial"/>
                <w:sz w:val="14"/>
                <w:szCs w:val="16"/>
              </w:rPr>
            </w:pPr>
            <w:r>
              <w:rPr>
                <w:rFonts w:cs="Arial"/>
                <w:sz w:val="14"/>
                <w:szCs w:val="16"/>
              </w:rPr>
              <w:t>4</w:t>
            </w:r>
          </w:p>
        </w:tc>
      </w:tr>
      <w:tr w:rsidR="005E534F" w:rsidRPr="00312DC7">
        <w:trPr>
          <w:jc w:val="center"/>
        </w:trPr>
        <w:tc>
          <w:tcPr>
            <w:tcW w:w="720" w:type="dxa"/>
            <w:vMerge/>
            <w:shd w:val="clear" w:color="auto" w:fill="auto"/>
          </w:tcPr>
          <w:p w:rsidR="005E534F" w:rsidRPr="00312DC7" w:rsidRDefault="005E534F" w:rsidP="00DC10A9">
            <w:pPr>
              <w:spacing w:before="40" w:after="40"/>
              <w:rPr>
                <w:rFonts w:cs="Arial"/>
                <w:sz w:val="14"/>
                <w:szCs w:val="16"/>
              </w:rPr>
            </w:pPr>
          </w:p>
        </w:tc>
        <w:tc>
          <w:tcPr>
            <w:tcW w:w="663"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p>
        </w:tc>
        <w:tc>
          <w:tcPr>
            <w:tcW w:w="516"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7</w:t>
            </w:r>
          </w:p>
        </w:tc>
        <w:tc>
          <w:tcPr>
            <w:tcW w:w="511" w:type="dxa"/>
            <w:shd w:val="clear" w:color="auto" w:fill="CCCCCC"/>
            <w:vAlign w:val="center"/>
          </w:tcPr>
          <w:p w:rsidR="005E534F" w:rsidRPr="00312DC7" w:rsidRDefault="005E534F" w:rsidP="00DC10A9">
            <w:pPr>
              <w:spacing w:before="40" w:after="40"/>
              <w:jc w:val="center"/>
              <w:rPr>
                <w:rFonts w:cs="Arial"/>
                <w:b/>
                <w:sz w:val="14"/>
                <w:szCs w:val="16"/>
              </w:rPr>
            </w:pPr>
            <w:r w:rsidRPr="00312DC7">
              <w:rPr>
                <w:rFonts w:cs="Arial"/>
                <w:b/>
                <w:sz w:val="14"/>
                <w:szCs w:val="16"/>
              </w:rPr>
              <w:t>3</w:t>
            </w:r>
            <w:r w:rsidR="009630B5">
              <w:rPr>
                <w:rFonts w:cs="Arial"/>
                <w:b/>
                <w:sz w:val="14"/>
                <w:szCs w:val="16"/>
              </w:rPr>
              <w:t>3</w:t>
            </w:r>
          </w:p>
        </w:tc>
        <w:tc>
          <w:tcPr>
            <w:tcW w:w="511" w:type="dxa"/>
            <w:tcBorders>
              <w:bottom w:val="single" w:sz="4" w:space="0" w:color="auto"/>
            </w:tcBorders>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1</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w:t>
            </w:r>
            <w:r w:rsidR="009630B5">
              <w:rPr>
                <w:rFonts w:cs="Arial"/>
                <w:sz w:val="14"/>
                <w:szCs w:val="16"/>
              </w:rPr>
              <w:t>5</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6</w:t>
            </w:r>
          </w:p>
        </w:tc>
      </w:tr>
      <w:tr w:rsidR="005E534F" w:rsidRPr="00312DC7">
        <w:trPr>
          <w:jc w:val="center"/>
        </w:trPr>
        <w:tc>
          <w:tcPr>
            <w:tcW w:w="720" w:type="dxa"/>
            <w:vMerge/>
            <w:shd w:val="clear" w:color="auto" w:fill="auto"/>
          </w:tcPr>
          <w:p w:rsidR="005E534F" w:rsidRPr="00312DC7" w:rsidRDefault="005E534F" w:rsidP="00DC10A9">
            <w:pPr>
              <w:spacing w:before="40" w:after="40"/>
              <w:rPr>
                <w:rFonts w:cs="Arial"/>
                <w:sz w:val="14"/>
                <w:szCs w:val="16"/>
              </w:rPr>
            </w:pPr>
          </w:p>
        </w:tc>
        <w:tc>
          <w:tcPr>
            <w:tcW w:w="663"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3</w:t>
            </w:r>
          </w:p>
        </w:tc>
        <w:tc>
          <w:tcPr>
            <w:tcW w:w="516"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14</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1</w:t>
            </w:r>
          </w:p>
        </w:tc>
        <w:tc>
          <w:tcPr>
            <w:tcW w:w="511" w:type="dxa"/>
            <w:shd w:val="clear" w:color="auto" w:fill="CCCCCC"/>
            <w:vAlign w:val="center"/>
          </w:tcPr>
          <w:p w:rsidR="005E534F" w:rsidRPr="00312DC7" w:rsidRDefault="005E534F" w:rsidP="00DC10A9">
            <w:pPr>
              <w:spacing w:before="40" w:after="40"/>
              <w:jc w:val="center"/>
              <w:rPr>
                <w:rFonts w:cs="Arial"/>
                <w:b/>
                <w:sz w:val="14"/>
                <w:szCs w:val="16"/>
              </w:rPr>
            </w:pPr>
            <w:r w:rsidRPr="00312DC7">
              <w:rPr>
                <w:rFonts w:cs="Arial"/>
                <w:b/>
                <w:sz w:val="14"/>
                <w:szCs w:val="16"/>
              </w:rPr>
              <w:t>30</w:t>
            </w:r>
          </w:p>
        </w:tc>
        <w:tc>
          <w:tcPr>
            <w:tcW w:w="511" w:type="dxa"/>
            <w:tcBorders>
              <w:bottom w:val="single" w:sz="4" w:space="0" w:color="auto"/>
            </w:tcBorders>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3</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w:t>
            </w:r>
            <w:r w:rsidR="009630B5">
              <w:rPr>
                <w:rFonts w:cs="Arial"/>
                <w:sz w:val="14"/>
                <w:szCs w:val="16"/>
              </w:rPr>
              <w:t>3</w:t>
            </w:r>
          </w:p>
        </w:tc>
      </w:tr>
      <w:tr w:rsidR="005E534F" w:rsidRPr="00312DC7">
        <w:trPr>
          <w:jc w:val="center"/>
        </w:trPr>
        <w:tc>
          <w:tcPr>
            <w:tcW w:w="720" w:type="dxa"/>
            <w:vMerge/>
            <w:shd w:val="clear" w:color="auto" w:fill="auto"/>
          </w:tcPr>
          <w:p w:rsidR="005E534F" w:rsidRPr="00312DC7" w:rsidRDefault="005E534F" w:rsidP="00DC10A9">
            <w:pPr>
              <w:spacing w:before="40" w:after="40"/>
              <w:rPr>
                <w:rFonts w:cs="Arial"/>
                <w:sz w:val="14"/>
                <w:szCs w:val="16"/>
              </w:rPr>
            </w:pPr>
          </w:p>
        </w:tc>
        <w:tc>
          <w:tcPr>
            <w:tcW w:w="663"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4</w:t>
            </w:r>
          </w:p>
        </w:tc>
        <w:tc>
          <w:tcPr>
            <w:tcW w:w="516" w:type="dxa"/>
            <w:vAlign w:val="center"/>
          </w:tcPr>
          <w:p w:rsidR="005E534F" w:rsidRPr="00312DC7" w:rsidRDefault="009630B5" w:rsidP="00DC10A9">
            <w:pPr>
              <w:spacing w:before="40" w:after="40"/>
              <w:jc w:val="center"/>
              <w:rPr>
                <w:rFonts w:cs="Arial"/>
                <w:sz w:val="14"/>
                <w:szCs w:val="16"/>
              </w:rPr>
            </w:pPr>
            <w:r>
              <w:rPr>
                <w:rFonts w:cs="Arial"/>
                <w:sz w:val="14"/>
                <w:szCs w:val="16"/>
              </w:rPr>
              <w:t>9</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12</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1</w:t>
            </w:r>
          </w:p>
        </w:tc>
        <w:tc>
          <w:tcPr>
            <w:tcW w:w="511" w:type="dxa"/>
            <w:shd w:val="clear" w:color="auto" w:fill="CCCCCC"/>
            <w:vAlign w:val="center"/>
          </w:tcPr>
          <w:p w:rsidR="005E534F" w:rsidRPr="00312DC7" w:rsidRDefault="005E534F" w:rsidP="00DC10A9">
            <w:pPr>
              <w:spacing w:before="40" w:after="40"/>
              <w:jc w:val="center"/>
              <w:rPr>
                <w:rFonts w:cs="Arial"/>
                <w:b/>
                <w:sz w:val="14"/>
                <w:szCs w:val="16"/>
              </w:rPr>
            </w:pPr>
            <w:r w:rsidRPr="00312DC7">
              <w:rPr>
                <w:rFonts w:cs="Arial"/>
                <w:b/>
                <w:sz w:val="14"/>
                <w:szCs w:val="16"/>
              </w:rPr>
              <w:t>3</w:t>
            </w:r>
            <w:r w:rsidR="009630B5">
              <w:rPr>
                <w:rFonts w:cs="Arial"/>
                <w:b/>
                <w:sz w:val="14"/>
                <w:szCs w:val="16"/>
              </w:rPr>
              <w:t>4</w:t>
            </w:r>
          </w:p>
        </w:tc>
        <w:tc>
          <w:tcPr>
            <w:tcW w:w="511" w:type="dxa"/>
            <w:tcBorders>
              <w:bottom w:val="single" w:sz="4" w:space="0" w:color="auto"/>
            </w:tcBorders>
            <w:vAlign w:val="center"/>
          </w:tcPr>
          <w:p w:rsidR="005E534F" w:rsidRPr="00312DC7" w:rsidRDefault="005E534F" w:rsidP="00DC10A9">
            <w:pPr>
              <w:spacing w:before="40" w:after="40"/>
              <w:jc w:val="center"/>
              <w:rPr>
                <w:rFonts w:cs="Arial"/>
                <w:sz w:val="14"/>
                <w:szCs w:val="16"/>
              </w:rPr>
            </w:pPr>
            <w:r w:rsidRPr="00312DC7">
              <w:rPr>
                <w:rFonts w:cs="Arial"/>
                <w:sz w:val="14"/>
                <w:szCs w:val="16"/>
              </w:rPr>
              <w:t>2</w:t>
            </w:r>
            <w:r w:rsidR="009630B5">
              <w:rPr>
                <w:rFonts w:cs="Arial"/>
                <w:sz w:val="14"/>
                <w:szCs w:val="16"/>
              </w:rPr>
              <w:t>4</w:t>
            </w:r>
          </w:p>
        </w:tc>
      </w:tr>
      <w:tr w:rsidR="005E534F" w:rsidRPr="00312DC7">
        <w:trPr>
          <w:jc w:val="center"/>
        </w:trPr>
        <w:tc>
          <w:tcPr>
            <w:tcW w:w="720" w:type="dxa"/>
            <w:vMerge/>
            <w:shd w:val="clear" w:color="auto" w:fill="auto"/>
          </w:tcPr>
          <w:p w:rsidR="005E534F" w:rsidRPr="00312DC7" w:rsidRDefault="005E534F" w:rsidP="00DC10A9">
            <w:pPr>
              <w:spacing w:before="40" w:after="40"/>
              <w:rPr>
                <w:rFonts w:cs="Arial"/>
                <w:sz w:val="14"/>
                <w:szCs w:val="16"/>
              </w:rPr>
            </w:pPr>
          </w:p>
        </w:tc>
        <w:tc>
          <w:tcPr>
            <w:tcW w:w="663"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5</w:t>
            </w:r>
          </w:p>
        </w:tc>
        <w:tc>
          <w:tcPr>
            <w:tcW w:w="516" w:type="dxa"/>
            <w:vAlign w:val="center"/>
          </w:tcPr>
          <w:p w:rsidR="005E534F" w:rsidRPr="00312DC7" w:rsidRDefault="009630B5" w:rsidP="00DC10A9">
            <w:pPr>
              <w:spacing w:before="40" w:after="40"/>
              <w:jc w:val="center"/>
              <w:rPr>
                <w:rFonts w:cs="Arial"/>
                <w:sz w:val="14"/>
                <w:szCs w:val="16"/>
              </w:rPr>
            </w:pPr>
            <w:r>
              <w:rPr>
                <w:rFonts w:cs="Arial"/>
                <w:sz w:val="14"/>
                <w:szCs w:val="16"/>
              </w:rPr>
              <w:t>4</w:t>
            </w:r>
          </w:p>
        </w:tc>
        <w:tc>
          <w:tcPr>
            <w:tcW w:w="511" w:type="dxa"/>
            <w:vAlign w:val="center"/>
          </w:tcPr>
          <w:p w:rsidR="005E534F" w:rsidRPr="00312DC7" w:rsidRDefault="009630B5" w:rsidP="00DC10A9">
            <w:pPr>
              <w:spacing w:before="40" w:after="40"/>
              <w:jc w:val="center"/>
              <w:rPr>
                <w:rFonts w:cs="Arial"/>
                <w:sz w:val="14"/>
                <w:szCs w:val="16"/>
              </w:rPr>
            </w:pPr>
            <w:r>
              <w:rPr>
                <w:rFonts w:cs="Arial"/>
                <w:sz w:val="14"/>
                <w:szCs w:val="16"/>
              </w:rPr>
              <w:t>8</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1</w:t>
            </w:r>
            <w:r w:rsidR="009630B5">
              <w:rPr>
                <w:rFonts w:cs="Arial"/>
                <w:sz w:val="14"/>
                <w:szCs w:val="16"/>
              </w:rPr>
              <w:t>5</w:t>
            </w:r>
          </w:p>
        </w:tc>
        <w:tc>
          <w:tcPr>
            <w:tcW w:w="511" w:type="dxa"/>
            <w:vAlign w:val="center"/>
          </w:tcPr>
          <w:p w:rsidR="005E534F" w:rsidRPr="00312DC7" w:rsidRDefault="005E534F" w:rsidP="00DC10A9">
            <w:pPr>
              <w:spacing w:before="40" w:after="40"/>
              <w:jc w:val="center"/>
              <w:rPr>
                <w:rFonts w:cs="Arial"/>
                <w:sz w:val="14"/>
                <w:szCs w:val="16"/>
              </w:rPr>
            </w:pPr>
            <w:r w:rsidRPr="00312DC7">
              <w:rPr>
                <w:rFonts w:cs="Arial"/>
                <w:sz w:val="14"/>
                <w:szCs w:val="16"/>
              </w:rPr>
              <w:t>22</w:t>
            </w:r>
          </w:p>
        </w:tc>
        <w:tc>
          <w:tcPr>
            <w:tcW w:w="511" w:type="dxa"/>
            <w:shd w:val="clear" w:color="auto" w:fill="CCCCCC"/>
            <w:vAlign w:val="center"/>
          </w:tcPr>
          <w:p w:rsidR="005E534F" w:rsidRPr="00312DC7" w:rsidRDefault="005E534F" w:rsidP="00DC10A9">
            <w:pPr>
              <w:spacing w:before="40" w:after="40"/>
              <w:jc w:val="center"/>
              <w:rPr>
                <w:rFonts w:cs="Arial"/>
                <w:b/>
                <w:sz w:val="14"/>
                <w:szCs w:val="16"/>
              </w:rPr>
            </w:pPr>
            <w:r w:rsidRPr="00312DC7">
              <w:rPr>
                <w:rFonts w:cs="Arial"/>
                <w:b/>
                <w:sz w:val="14"/>
                <w:szCs w:val="16"/>
              </w:rPr>
              <w:t>5</w:t>
            </w:r>
            <w:r w:rsidR="009630B5">
              <w:rPr>
                <w:rFonts w:cs="Arial"/>
                <w:b/>
                <w:sz w:val="14"/>
                <w:szCs w:val="16"/>
              </w:rPr>
              <w:t>1</w:t>
            </w:r>
          </w:p>
        </w:tc>
      </w:tr>
    </w:tbl>
    <w:p w:rsidR="005E534F" w:rsidRDefault="005E534F" w:rsidP="005E534F">
      <w:pPr>
        <w:tabs>
          <w:tab w:val="left" w:pos="2340"/>
        </w:tabs>
        <w:spacing w:before="60"/>
        <w:rPr>
          <w:rFonts w:cs="Arial"/>
          <w:b/>
          <w:sz w:val="18"/>
          <w:szCs w:val="18"/>
        </w:rPr>
      </w:pPr>
      <w:r>
        <w:rPr>
          <w:rFonts w:cs="Arial"/>
          <w:b/>
          <w:sz w:val="18"/>
          <w:szCs w:val="18"/>
        </w:rPr>
        <w:tab/>
      </w:r>
      <w:r w:rsidRPr="00F2019E">
        <w:rPr>
          <w:rFonts w:cs="Arial"/>
          <w:sz w:val="16"/>
          <w:szCs w:val="16"/>
        </w:rPr>
        <w:t xml:space="preserve">Source:  Table </w:t>
      </w:r>
      <w:r>
        <w:rPr>
          <w:rFonts w:cs="Arial"/>
          <w:sz w:val="16"/>
          <w:szCs w:val="16"/>
        </w:rPr>
        <w:t>6.6</w:t>
      </w:r>
      <w:r w:rsidRPr="00F2019E">
        <w:rPr>
          <w:rFonts w:cs="Arial"/>
          <w:sz w:val="16"/>
          <w:szCs w:val="16"/>
        </w:rPr>
        <w:t xml:space="preserve"> in </w:t>
      </w:r>
      <w:r>
        <w:rPr>
          <w:rFonts w:cs="Arial"/>
          <w:sz w:val="16"/>
          <w:szCs w:val="16"/>
        </w:rPr>
        <w:t>Wilkins et al (201</w:t>
      </w:r>
      <w:r w:rsidR="009630B5">
        <w:rPr>
          <w:rFonts w:cs="Arial"/>
          <w:sz w:val="16"/>
          <w:szCs w:val="16"/>
        </w:rPr>
        <w:t>1</w:t>
      </w:r>
      <w:r>
        <w:rPr>
          <w:rFonts w:cs="Arial"/>
          <w:sz w:val="16"/>
          <w:szCs w:val="16"/>
        </w:rPr>
        <w:t>)</w:t>
      </w:r>
    </w:p>
    <w:p w:rsidR="005E534F" w:rsidRPr="00A65FE0" w:rsidRDefault="005E534F" w:rsidP="005E534F">
      <w:pPr>
        <w:rPr>
          <w:rFonts w:cs="Arial"/>
          <w:b/>
          <w:sz w:val="20"/>
        </w:rPr>
      </w:pPr>
    </w:p>
    <w:p w:rsidR="005E534F" w:rsidRDefault="005E534F" w:rsidP="005E534F">
      <w:pPr>
        <w:rPr>
          <w:rFonts w:cs="Arial"/>
          <w:b/>
          <w:sz w:val="18"/>
          <w:szCs w:val="18"/>
        </w:rPr>
      </w:pPr>
    </w:p>
    <w:p w:rsidR="005E534F" w:rsidRPr="00A40A17" w:rsidRDefault="005E534F" w:rsidP="005E534F">
      <w:pPr>
        <w:rPr>
          <w:rFonts w:cs="Arial"/>
          <w:b/>
          <w:sz w:val="20"/>
        </w:rPr>
      </w:pPr>
      <w:r w:rsidRPr="00A40A17">
        <w:rPr>
          <w:rFonts w:cs="Arial"/>
          <w:b/>
          <w:sz w:val="20"/>
        </w:rPr>
        <w:t xml:space="preserve">Table </w:t>
      </w:r>
      <w:r w:rsidR="00DE774B">
        <w:rPr>
          <w:rFonts w:cs="Arial"/>
          <w:b/>
          <w:sz w:val="20"/>
        </w:rPr>
        <w:t>L.4</w:t>
      </w:r>
      <w:r w:rsidRPr="00A40A17">
        <w:rPr>
          <w:rFonts w:cs="Arial"/>
          <w:b/>
          <w:sz w:val="20"/>
        </w:rPr>
        <w:t xml:space="preserve"> </w:t>
      </w:r>
      <w:r w:rsidRPr="00A40A17">
        <w:rPr>
          <w:rFonts w:cs="Arial"/>
          <w:sz w:val="20"/>
        </w:rPr>
        <w:t xml:space="preserve">shows that income mobility in </w:t>
      </w:r>
      <w:smartTag w:uri="urn:schemas-microsoft-com:office:smarttags" w:element="country-region">
        <w:r w:rsidRPr="00A40A17">
          <w:rPr>
            <w:rFonts w:cs="Arial"/>
            <w:sz w:val="20"/>
          </w:rPr>
          <w:t>New Zealand</w:t>
        </w:r>
      </w:smartTag>
      <w:r w:rsidRPr="00A40A17">
        <w:rPr>
          <w:rFonts w:cs="Arial"/>
          <w:sz w:val="20"/>
        </w:rPr>
        <w:t xml:space="preserve"> is similar to that in </w:t>
      </w:r>
      <w:smartTag w:uri="urn:schemas-microsoft-com:office:smarttags" w:element="country-region">
        <w:r w:rsidRPr="00A40A17">
          <w:rPr>
            <w:rFonts w:cs="Arial"/>
            <w:sz w:val="20"/>
          </w:rPr>
          <w:t>Canada</w:t>
        </w:r>
      </w:smartTag>
      <w:r w:rsidRPr="00A40A17">
        <w:rPr>
          <w:rFonts w:cs="Arial"/>
          <w:sz w:val="20"/>
        </w:rPr>
        <w:t xml:space="preserve"> </w:t>
      </w:r>
      <w:r>
        <w:rPr>
          <w:rFonts w:cs="Arial"/>
          <w:sz w:val="20"/>
        </w:rPr>
        <w:t>over a five-wave window</w:t>
      </w:r>
      <w:r w:rsidRPr="00A40A17">
        <w:rPr>
          <w:rFonts w:cs="Arial"/>
          <w:sz w:val="20"/>
        </w:rPr>
        <w:t xml:space="preserve">, with the same exception as for the comparison with </w:t>
      </w:r>
      <w:smartTag w:uri="urn:schemas-microsoft-com:office:smarttags" w:element="place">
        <w:smartTag w:uri="urn:schemas-microsoft-com:office:smarttags" w:element="country-region">
          <w:r w:rsidRPr="00A40A17">
            <w:rPr>
              <w:rFonts w:cs="Arial"/>
              <w:sz w:val="20"/>
            </w:rPr>
            <w:t>Australia</w:t>
          </w:r>
        </w:smartTag>
      </w:smartTag>
      <w:r w:rsidRPr="00A40A17">
        <w:rPr>
          <w:rFonts w:cs="Arial"/>
          <w:sz w:val="20"/>
        </w:rPr>
        <w:t>.</w:t>
      </w:r>
    </w:p>
    <w:p w:rsidR="005E534F" w:rsidRDefault="005E534F" w:rsidP="005E534F">
      <w:pPr>
        <w:rPr>
          <w:rFonts w:cs="Arial"/>
          <w:b/>
          <w:sz w:val="18"/>
          <w:szCs w:val="18"/>
        </w:rPr>
      </w:pPr>
    </w:p>
    <w:p w:rsidR="005E534F" w:rsidRPr="008B0BFA" w:rsidRDefault="005E534F" w:rsidP="005E534F">
      <w:pPr>
        <w:jc w:val="center"/>
        <w:rPr>
          <w:rFonts w:cs="Arial"/>
          <w:b/>
          <w:sz w:val="18"/>
          <w:szCs w:val="18"/>
        </w:rPr>
      </w:pPr>
      <w:r w:rsidRPr="008B0BFA">
        <w:rPr>
          <w:rFonts w:cs="Arial"/>
          <w:b/>
          <w:sz w:val="18"/>
          <w:szCs w:val="18"/>
        </w:rPr>
        <w:t xml:space="preserve">Table </w:t>
      </w:r>
      <w:r w:rsidR="00DE774B">
        <w:rPr>
          <w:rFonts w:cs="Arial"/>
          <w:b/>
          <w:sz w:val="18"/>
          <w:szCs w:val="18"/>
        </w:rPr>
        <w:t>L.4</w:t>
      </w:r>
    </w:p>
    <w:p w:rsidR="005E534F" w:rsidRPr="008B0BFA" w:rsidRDefault="005E534F" w:rsidP="005E534F">
      <w:pPr>
        <w:jc w:val="center"/>
        <w:rPr>
          <w:rFonts w:cs="Arial"/>
          <w:b/>
          <w:sz w:val="18"/>
          <w:szCs w:val="18"/>
        </w:rPr>
      </w:pPr>
      <w:r w:rsidRPr="008B0BFA">
        <w:rPr>
          <w:rFonts w:cs="Arial"/>
          <w:b/>
          <w:sz w:val="18"/>
          <w:szCs w:val="18"/>
        </w:rPr>
        <w:t xml:space="preserve">Comparison of relative (positional) income mobility in </w:t>
      </w:r>
      <w:smartTag w:uri="urn:schemas-microsoft-com:office:smarttags" w:element="country-region">
        <w:r w:rsidRPr="008B0BFA">
          <w:rPr>
            <w:rFonts w:cs="Arial"/>
            <w:b/>
            <w:sz w:val="18"/>
            <w:szCs w:val="18"/>
          </w:rPr>
          <w:t>Canada</w:t>
        </w:r>
      </w:smartTag>
      <w:r w:rsidRPr="008B0BFA">
        <w:rPr>
          <w:rFonts w:cs="Arial"/>
          <w:b/>
          <w:sz w:val="18"/>
          <w:szCs w:val="18"/>
        </w:rPr>
        <w:t xml:space="preserve"> and </w:t>
      </w:r>
      <w:smartTag w:uri="urn:schemas-microsoft-com:office:smarttags" w:element="place">
        <w:smartTag w:uri="urn:schemas-microsoft-com:office:smarttags" w:element="country-region">
          <w:r w:rsidRPr="008B0BFA">
            <w:rPr>
              <w:rFonts w:cs="Arial"/>
              <w:b/>
              <w:sz w:val="18"/>
              <w:szCs w:val="18"/>
            </w:rPr>
            <w:t>New Zealand</w:t>
          </w:r>
        </w:smartTag>
      </w:smartTag>
      <w:r w:rsidRPr="008B0BFA">
        <w:rPr>
          <w:rFonts w:cs="Arial"/>
          <w:b/>
          <w:sz w:val="18"/>
          <w:szCs w:val="18"/>
        </w:rPr>
        <w:t>:</w:t>
      </w:r>
    </w:p>
    <w:p w:rsidR="005E534F" w:rsidRPr="008B0BFA" w:rsidRDefault="005E534F" w:rsidP="005E534F">
      <w:pPr>
        <w:spacing w:after="120"/>
        <w:jc w:val="center"/>
        <w:rPr>
          <w:rFonts w:cs="Arial"/>
          <w:b/>
          <w:sz w:val="18"/>
          <w:szCs w:val="18"/>
        </w:rPr>
      </w:pPr>
      <w:r w:rsidRPr="008B0BFA">
        <w:rPr>
          <w:rFonts w:cs="Arial"/>
          <w:b/>
          <w:sz w:val="18"/>
          <w:szCs w:val="18"/>
        </w:rPr>
        <w:t xml:space="preserve">transition probabilities (%) to higher and lower quintiles, w1 to w5, </w:t>
      </w:r>
      <w:r>
        <w:rPr>
          <w:rFonts w:cs="Arial"/>
          <w:b/>
          <w:sz w:val="18"/>
          <w:szCs w:val="18"/>
        </w:rPr>
        <w:t>full sample</w:t>
      </w:r>
    </w:p>
    <w:tbl>
      <w:tblPr>
        <w:tblStyle w:val="TableGrid"/>
        <w:tblW w:w="0" w:type="auto"/>
        <w:jc w:val="center"/>
        <w:tblInd w:w="120" w:type="dxa"/>
        <w:tblLook w:val="01E0"/>
      </w:tblPr>
      <w:tblGrid>
        <w:gridCol w:w="780"/>
        <w:gridCol w:w="540"/>
        <w:gridCol w:w="1058"/>
        <w:gridCol w:w="1102"/>
        <w:gridCol w:w="1058"/>
        <w:gridCol w:w="1080"/>
      </w:tblGrid>
      <w:tr w:rsidR="005E534F" w:rsidRPr="0058029A">
        <w:trPr>
          <w:jc w:val="center"/>
        </w:trPr>
        <w:tc>
          <w:tcPr>
            <w:tcW w:w="780" w:type="dxa"/>
            <w:vAlign w:val="center"/>
          </w:tcPr>
          <w:p w:rsidR="005E534F" w:rsidRPr="0058029A" w:rsidRDefault="005E534F" w:rsidP="00DC10A9">
            <w:pPr>
              <w:spacing w:before="40" w:after="40"/>
              <w:jc w:val="center"/>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p>
        </w:tc>
        <w:tc>
          <w:tcPr>
            <w:tcW w:w="2160" w:type="dxa"/>
            <w:gridSpan w:val="2"/>
            <w:vAlign w:val="center"/>
          </w:tcPr>
          <w:p w:rsidR="005E534F" w:rsidRPr="0058029A" w:rsidRDefault="005E534F" w:rsidP="00DC10A9">
            <w:pPr>
              <w:spacing w:before="40" w:after="40"/>
              <w:jc w:val="center"/>
              <w:rPr>
                <w:rFonts w:cs="Arial"/>
                <w:b/>
                <w:sz w:val="14"/>
                <w:szCs w:val="16"/>
              </w:rPr>
            </w:pPr>
            <w:smartTag w:uri="urn:schemas-microsoft-com:office:smarttags" w:element="place">
              <w:smartTag w:uri="urn:schemas-microsoft-com:office:smarttags" w:element="country-region">
                <w:r w:rsidRPr="0058029A">
                  <w:rPr>
                    <w:rFonts w:cs="Arial"/>
                    <w:b/>
                    <w:sz w:val="14"/>
                    <w:szCs w:val="16"/>
                  </w:rPr>
                  <w:t>New Zealand</w:t>
                </w:r>
              </w:smartTag>
            </w:smartTag>
            <w:r w:rsidRPr="0058029A">
              <w:rPr>
                <w:rFonts w:cs="Arial"/>
                <w:b/>
                <w:sz w:val="14"/>
                <w:szCs w:val="16"/>
              </w:rPr>
              <w:t xml:space="preserve"> </w:t>
            </w:r>
            <w:r w:rsidRPr="0058029A">
              <w:rPr>
                <w:rFonts w:cs="Arial"/>
                <w:sz w:val="14"/>
                <w:szCs w:val="16"/>
              </w:rPr>
              <w:t>(200</w:t>
            </w:r>
            <w:r>
              <w:rPr>
                <w:rFonts w:cs="Arial"/>
                <w:sz w:val="14"/>
                <w:szCs w:val="16"/>
              </w:rPr>
              <w:t>2</w:t>
            </w:r>
            <w:r w:rsidRPr="0058029A">
              <w:rPr>
                <w:rFonts w:cs="Arial"/>
                <w:sz w:val="14"/>
                <w:szCs w:val="16"/>
              </w:rPr>
              <w:t>-0</w:t>
            </w:r>
            <w:r>
              <w:rPr>
                <w:rFonts w:cs="Arial"/>
                <w:sz w:val="14"/>
                <w:szCs w:val="16"/>
              </w:rPr>
              <w:t>6</w:t>
            </w:r>
            <w:r w:rsidRPr="0058029A">
              <w:rPr>
                <w:rFonts w:cs="Arial"/>
                <w:sz w:val="14"/>
                <w:szCs w:val="16"/>
              </w:rPr>
              <w:t>)</w:t>
            </w:r>
          </w:p>
        </w:tc>
        <w:tc>
          <w:tcPr>
            <w:tcW w:w="2138" w:type="dxa"/>
            <w:gridSpan w:val="2"/>
            <w:vAlign w:val="center"/>
          </w:tcPr>
          <w:p w:rsidR="005E534F" w:rsidRPr="0058029A" w:rsidRDefault="005E534F" w:rsidP="00DC10A9">
            <w:pPr>
              <w:spacing w:before="40" w:after="40"/>
              <w:jc w:val="center"/>
              <w:rPr>
                <w:rFonts w:cs="Arial"/>
                <w:b/>
                <w:sz w:val="14"/>
                <w:szCs w:val="16"/>
              </w:rPr>
            </w:pPr>
            <w:smartTag w:uri="urn:schemas-microsoft-com:office:smarttags" w:element="place">
              <w:smartTag w:uri="urn:schemas-microsoft-com:office:smarttags" w:element="country-region">
                <w:r w:rsidRPr="0058029A">
                  <w:rPr>
                    <w:rFonts w:cs="Arial"/>
                    <w:b/>
                    <w:sz w:val="14"/>
                    <w:szCs w:val="16"/>
                  </w:rPr>
                  <w:t>Canada</w:t>
                </w:r>
              </w:smartTag>
            </w:smartTag>
            <w:r w:rsidRPr="0058029A">
              <w:rPr>
                <w:rFonts w:cs="Arial"/>
                <w:b/>
                <w:sz w:val="14"/>
                <w:szCs w:val="16"/>
              </w:rPr>
              <w:t xml:space="preserve"> </w:t>
            </w:r>
            <w:r w:rsidRPr="0058029A">
              <w:rPr>
                <w:rFonts w:cs="Arial"/>
                <w:sz w:val="14"/>
                <w:szCs w:val="16"/>
              </w:rPr>
              <w:t>(2005-09)</w:t>
            </w:r>
          </w:p>
        </w:tc>
      </w:tr>
      <w:tr w:rsidR="005E534F" w:rsidRPr="0058029A">
        <w:trPr>
          <w:jc w:val="center"/>
        </w:trPr>
        <w:tc>
          <w:tcPr>
            <w:tcW w:w="780" w:type="dxa"/>
            <w:vAlign w:val="center"/>
          </w:tcPr>
          <w:p w:rsidR="005E534F" w:rsidRPr="0058029A" w:rsidRDefault="005E534F" w:rsidP="00DC10A9">
            <w:pPr>
              <w:spacing w:before="40" w:after="40"/>
              <w:jc w:val="center"/>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to a higher quintile in w5</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to a lower quintile in w5</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to a higher quintile in w5</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to a lower quintile in w5</w:t>
            </w:r>
          </w:p>
        </w:tc>
      </w:tr>
      <w:tr w:rsidR="005E534F" w:rsidRPr="0058029A">
        <w:trPr>
          <w:jc w:val="center"/>
        </w:trPr>
        <w:tc>
          <w:tcPr>
            <w:tcW w:w="780" w:type="dxa"/>
            <w:vMerge w:val="restart"/>
            <w:vAlign w:val="center"/>
          </w:tcPr>
          <w:p w:rsidR="005E534F" w:rsidRPr="0058029A" w:rsidRDefault="005E534F" w:rsidP="00DC10A9">
            <w:pPr>
              <w:spacing w:before="40" w:after="40"/>
              <w:jc w:val="center"/>
              <w:rPr>
                <w:rFonts w:cs="Arial"/>
                <w:b/>
                <w:sz w:val="14"/>
                <w:szCs w:val="16"/>
              </w:rPr>
            </w:pPr>
            <w:r w:rsidRPr="0058029A">
              <w:rPr>
                <w:rFonts w:cs="Arial"/>
                <w:b/>
                <w:sz w:val="14"/>
                <w:szCs w:val="16"/>
              </w:rPr>
              <w:t>Quintile in w1</w:t>
            </w: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1</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5</w:t>
            </w:r>
            <w:r>
              <w:rPr>
                <w:rFonts w:cs="Arial"/>
                <w:sz w:val="14"/>
                <w:szCs w:val="16"/>
              </w:rPr>
              <w:t>1</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0</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43</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0</w:t>
            </w:r>
          </w:p>
        </w:tc>
      </w:tr>
      <w:tr w:rsidR="005E534F" w:rsidRPr="0058029A">
        <w:trPr>
          <w:jc w:val="center"/>
        </w:trPr>
        <w:tc>
          <w:tcPr>
            <w:tcW w:w="780" w:type="dxa"/>
            <w:vMerge/>
          </w:tcPr>
          <w:p w:rsidR="005E534F" w:rsidRPr="0058029A" w:rsidRDefault="005E534F" w:rsidP="00DC10A9">
            <w:pPr>
              <w:spacing w:before="40" w:after="40"/>
              <w:jc w:val="center"/>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w:t>
            </w:r>
            <w:r>
              <w:rPr>
                <w:rFonts w:cs="Arial"/>
                <w:sz w:val="14"/>
                <w:szCs w:val="16"/>
              </w:rPr>
              <w:t>7</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24</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41</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20</w:t>
            </w:r>
          </w:p>
        </w:tc>
      </w:tr>
      <w:tr w:rsidR="005E534F" w:rsidRPr="0058029A">
        <w:trPr>
          <w:jc w:val="center"/>
        </w:trPr>
        <w:tc>
          <w:tcPr>
            <w:tcW w:w="780" w:type="dxa"/>
            <w:vMerge/>
          </w:tcPr>
          <w:p w:rsidR="005E534F" w:rsidRPr="0058029A" w:rsidRDefault="005E534F" w:rsidP="00DC10A9">
            <w:pPr>
              <w:spacing w:before="40" w:after="40"/>
              <w:jc w:val="center"/>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35</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30</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34</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29</w:t>
            </w:r>
          </w:p>
        </w:tc>
      </w:tr>
      <w:tr w:rsidR="005E534F" w:rsidRPr="0058029A">
        <w:trPr>
          <w:jc w:val="center"/>
        </w:trPr>
        <w:tc>
          <w:tcPr>
            <w:tcW w:w="780" w:type="dxa"/>
            <w:vMerge/>
          </w:tcPr>
          <w:p w:rsidR="005E534F" w:rsidRPr="0058029A" w:rsidRDefault="005E534F" w:rsidP="00DC10A9">
            <w:pPr>
              <w:spacing w:before="40" w:after="40"/>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4</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24</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36</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24</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38</w:t>
            </w:r>
          </w:p>
        </w:tc>
      </w:tr>
      <w:tr w:rsidR="005E534F" w:rsidRPr="0058029A">
        <w:trPr>
          <w:jc w:val="center"/>
        </w:trPr>
        <w:tc>
          <w:tcPr>
            <w:tcW w:w="780" w:type="dxa"/>
            <w:vMerge/>
          </w:tcPr>
          <w:p w:rsidR="005E534F" w:rsidRPr="0058029A" w:rsidRDefault="005E534F" w:rsidP="00DC10A9">
            <w:pPr>
              <w:spacing w:before="40" w:after="40"/>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5</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0</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40</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0</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40</w:t>
            </w:r>
          </w:p>
        </w:tc>
      </w:tr>
      <w:tr w:rsidR="005E534F" w:rsidRPr="0058029A">
        <w:trPr>
          <w:jc w:val="center"/>
        </w:trPr>
        <w:tc>
          <w:tcPr>
            <w:tcW w:w="780" w:type="dxa"/>
          </w:tcPr>
          <w:p w:rsidR="005E534F" w:rsidRPr="0058029A" w:rsidRDefault="005E534F" w:rsidP="00DC10A9">
            <w:pPr>
              <w:spacing w:before="40" w:after="40"/>
              <w:rPr>
                <w:rFonts w:cs="Arial"/>
                <w:sz w:val="14"/>
                <w:szCs w:val="16"/>
              </w:rPr>
            </w:pPr>
          </w:p>
        </w:tc>
        <w:tc>
          <w:tcPr>
            <w:tcW w:w="54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Avg</w:t>
            </w:r>
          </w:p>
        </w:tc>
        <w:tc>
          <w:tcPr>
            <w:tcW w:w="1058" w:type="dxa"/>
            <w:vAlign w:val="center"/>
          </w:tcPr>
          <w:p w:rsidR="005E534F" w:rsidRPr="0058029A" w:rsidRDefault="008146D2" w:rsidP="00DC10A9">
            <w:pPr>
              <w:spacing w:before="40" w:after="40"/>
              <w:jc w:val="center"/>
              <w:rPr>
                <w:rFonts w:cs="Arial"/>
                <w:sz w:val="14"/>
                <w:szCs w:val="16"/>
              </w:rPr>
            </w:pPr>
            <w:r>
              <w:rPr>
                <w:rFonts w:cs="Arial"/>
                <w:sz w:val="14"/>
                <w:szCs w:val="16"/>
              </w:rPr>
              <w:t>29</w:t>
            </w:r>
          </w:p>
        </w:tc>
        <w:tc>
          <w:tcPr>
            <w:tcW w:w="1102"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26</w:t>
            </w:r>
          </w:p>
        </w:tc>
        <w:tc>
          <w:tcPr>
            <w:tcW w:w="1058"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28</w:t>
            </w:r>
          </w:p>
        </w:tc>
        <w:tc>
          <w:tcPr>
            <w:tcW w:w="1080" w:type="dxa"/>
            <w:vAlign w:val="center"/>
          </w:tcPr>
          <w:p w:rsidR="005E534F" w:rsidRPr="0058029A" w:rsidRDefault="005E534F" w:rsidP="00DC10A9">
            <w:pPr>
              <w:spacing w:before="40" w:after="40"/>
              <w:jc w:val="center"/>
              <w:rPr>
                <w:rFonts w:cs="Arial"/>
                <w:sz w:val="14"/>
                <w:szCs w:val="16"/>
              </w:rPr>
            </w:pPr>
            <w:r w:rsidRPr="0058029A">
              <w:rPr>
                <w:rFonts w:cs="Arial"/>
                <w:sz w:val="14"/>
                <w:szCs w:val="16"/>
              </w:rPr>
              <w:t>25</w:t>
            </w:r>
          </w:p>
        </w:tc>
      </w:tr>
    </w:tbl>
    <w:p w:rsidR="005E534F" w:rsidRDefault="005E534F" w:rsidP="005E534F">
      <w:pPr>
        <w:tabs>
          <w:tab w:val="left" w:pos="1560"/>
        </w:tabs>
        <w:spacing w:before="60"/>
        <w:rPr>
          <w:rFonts w:cs="Arial"/>
          <w:sz w:val="16"/>
          <w:szCs w:val="16"/>
        </w:rPr>
      </w:pPr>
      <w:r>
        <w:rPr>
          <w:rFonts w:cs="Arial"/>
          <w:sz w:val="16"/>
          <w:szCs w:val="16"/>
        </w:rPr>
        <w:tab/>
      </w:r>
      <w:r w:rsidRPr="00F2019E">
        <w:rPr>
          <w:rFonts w:cs="Arial"/>
          <w:sz w:val="16"/>
          <w:szCs w:val="16"/>
        </w:rPr>
        <w:t xml:space="preserve">Source:  </w:t>
      </w:r>
      <w:r>
        <w:rPr>
          <w:rFonts w:cs="Arial"/>
          <w:sz w:val="16"/>
          <w:szCs w:val="16"/>
        </w:rPr>
        <w:t>Table A.3 in the</w:t>
      </w:r>
      <w:r w:rsidR="00286FD4">
        <w:rPr>
          <w:rFonts w:cs="Arial"/>
          <w:sz w:val="16"/>
          <w:szCs w:val="16"/>
        </w:rPr>
        <w:t xml:space="preserve"> UO</w:t>
      </w:r>
      <w:r>
        <w:rPr>
          <w:rFonts w:cs="Arial"/>
          <w:sz w:val="16"/>
          <w:szCs w:val="16"/>
        </w:rPr>
        <w:t xml:space="preserve"> Appendix, and Table 3 in Statistics </w:t>
      </w:r>
      <w:smartTag w:uri="urn:schemas-microsoft-com:office:smarttags" w:element="country-region">
        <w:smartTag w:uri="urn:schemas-microsoft-com:office:smarttags" w:element="place">
          <w:r>
            <w:rPr>
              <w:rFonts w:cs="Arial"/>
              <w:sz w:val="16"/>
              <w:szCs w:val="16"/>
            </w:rPr>
            <w:t>Canada</w:t>
          </w:r>
        </w:smartTag>
      </w:smartTag>
      <w:r>
        <w:rPr>
          <w:rFonts w:cs="Arial"/>
          <w:sz w:val="16"/>
          <w:szCs w:val="16"/>
        </w:rPr>
        <w:t xml:space="preserve"> (2011).</w:t>
      </w:r>
    </w:p>
    <w:p w:rsidR="005E534F" w:rsidRDefault="005E534F" w:rsidP="005E534F">
      <w:pPr>
        <w:rPr>
          <w:rFonts w:cs="Arial"/>
          <w:sz w:val="20"/>
        </w:rPr>
      </w:pPr>
    </w:p>
    <w:p w:rsidR="005E534F" w:rsidRDefault="005E534F" w:rsidP="005E534F">
      <w:pPr>
        <w:rPr>
          <w:rFonts w:cs="Arial"/>
          <w:sz w:val="20"/>
        </w:rPr>
      </w:pPr>
    </w:p>
    <w:p w:rsidR="005E534F" w:rsidRDefault="005E534F" w:rsidP="005E534F">
      <w:pPr>
        <w:rPr>
          <w:rFonts w:cs="Arial"/>
          <w:sz w:val="20"/>
        </w:rPr>
      </w:pPr>
      <w:r w:rsidRPr="00FC27B2">
        <w:rPr>
          <w:rFonts w:cs="Arial"/>
          <w:b/>
          <w:sz w:val="20"/>
        </w:rPr>
        <w:t xml:space="preserve">Table </w:t>
      </w:r>
      <w:r w:rsidR="00DE774B">
        <w:rPr>
          <w:rFonts w:cs="Arial"/>
          <w:b/>
          <w:sz w:val="20"/>
        </w:rPr>
        <w:t>L.5</w:t>
      </w:r>
      <w:r>
        <w:rPr>
          <w:rFonts w:cs="Arial"/>
          <w:sz w:val="20"/>
        </w:rPr>
        <w:t xml:space="preserve"> provides further international comparison (with EU countries this time) showing again that income mobility </w:t>
      </w:r>
      <w:r w:rsidR="00164F8C">
        <w:rPr>
          <w:rFonts w:cs="Arial"/>
          <w:sz w:val="20"/>
        </w:rPr>
        <w:t xml:space="preserve">over 5 waves </w:t>
      </w:r>
      <w:r>
        <w:rPr>
          <w:rFonts w:cs="Arial"/>
          <w:sz w:val="20"/>
        </w:rPr>
        <w:t xml:space="preserve">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is very similar to that in other MEDCs</w:t>
      </w:r>
      <w:r w:rsidR="00DE774B">
        <w:rPr>
          <w:rFonts w:cs="Arial"/>
          <w:sz w:val="20"/>
        </w:rPr>
        <w:t>.</w:t>
      </w:r>
    </w:p>
    <w:p w:rsidR="005E534F" w:rsidRDefault="005E534F" w:rsidP="005E534F">
      <w:pPr>
        <w:rPr>
          <w:rFonts w:cs="Arial"/>
          <w:sz w:val="20"/>
        </w:rPr>
      </w:pPr>
    </w:p>
    <w:p w:rsidR="005E534F" w:rsidRPr="00FC27B2" w:rsidRDefault="005E534F" w:rsidP="005E534F">
      <w:pPr>
        <w:jc w:val="center"/>
        <w:rPr>
          <w:rFonts w:cs="Arial"/>
          <w:b/>
          <w:color w:val="000000"/>
          <w:sz w:val="18"/>
          <w:szCs w:val="18"/>
        </w:rPr>
      </w:pPr>
      <w:r w:rsidRPr="00FC27B2">
        <w:rPr>
          <w:rFonts w:cs="Arial"/>
          <w:b/>
          <w:color w:val="000000"/>
          <w:sz w:val="18"/>
          <w:szCs w:val="18"/>
        </w:rPr>
        <w:t xml:space="preserve">Table </w:t>
      </w:r>
      <w:r w:rsidR="00DE774B">
        <w:rPr>
          <w:rFonts w:cs="Arial"/>
          <w:b/>
          <w:color w:val="000000"/>
          <w:sz w:val="18"/>
          <w:szCs w:val="18"/>
        </w:rPr>
        <w:t>L.5</w:t>
      </w:r>
    </w:p>
    <w:p w:rsidR="005E534F" w:rsidRPr="00FC27B2" w:rsidRDefault="005E534F" w:rsidP="005E534F">
      <w:pPr>
        <w:spacing w:after="120"/>
        <w:jc w:val="center"/>
        <w:rPr>
          <w:rFonts w:cs="Arial"/>
          <w:b/>
          <w:sz w:val="18"/>
          <w:szCs w:val="18"/>
        </w:rPr>
      </w:pPr>
      <w:r w:rsidRPr="00A704B4">
        <w:rPr>
          <w:rFonts w:cs="Arial"/>
          <w:b/>
          <w:sz w:val="18"/>
          <w:szCs w:val="18"/>
        </w:rPr>
        <w:t xml:space="preserve">Income quintile transition probabilities (%) for </w:t>
      </w:r>
      <w:r>
        <w:rPr>
          <w:rFonts w:cs="Arial"/>
          <w:b/>
          <w:sz w:val="18"/>
          <w:szCs w:val="18"/>
        </w:rPr>
        <w:t xml:space="preserve">w1 to w5, EU-15 and </w:t>
      </w:r>
      <w:smartTag w:uri="urn:schemas-microsoft-com:office:smarttags" w:element="place">
        <w:smartTag w:uri="urn:schemas-microsoft-com:office:smarttags" w:element="country-region">
          <w:r>
            <w:rPr>
              <w:rFonts w:cs="Arial"/>
              <w:b/>
              <w:sz w:val="18"/>
              <w:szCs w:val="18"/>
            </w:rPr>
            <w:t>New Zealand</w:t>
          </w:r>
        </w:smartTag>
      </w:smartTag>
      <w:r w:rsidRPr="00A704B4">
        <w:rPr>
          <w:rFonts w:cs="Arial"/>
          <w:b/>
          <w:sz w:val="18"/>
          <w:szCs w:val="18"/>
        </w:rPr>
        <w:t>:</w:t>
      </w:r>
      <w:r>
        <w:rPr>
          <w:rFonts w:cs="Arial"/>
          <w:b/>
          <w:sz w:val="18"/>
          <w:szCs w:val="18"/>
        </w:rPr>
        <w:t xml:space="preserve"> whole population</w:t>
      </w:r>
    </w:p>
    <w:tbl>
      <w:tblPr>
        <w:tblStyle w:val="TableGrid"/>
        <w:tblW w:w="0" w:type="auto"/>
        <w:jc w:val="center"/>
        <w:tblInd w:w="-138" w:type="dxa"/>
        <w:tblLayout w:type="fixed"/>
        <w:tblLook w:val="01E0"/>
      </w:tblPr>
      <w:tblGrid>
        <w:gridCol w:w="923"/>
        <w:gridCol w:w="495"/>
        <w:gridCol w:w="963"/>
        <w:gridCol w:w="936"/>
      </w:tblGrid>
      <w:tr w:rsidR="005E534F" w:rsidRPr="00525C68">
        <w:trPr>
          <w:jc w:val="center"/>
        </w:trPr>
        <w:tc>
          <w:tcPr>
            <w:tcW w:w="923" w:type="dxa"/>
            <w:vAlign w:val="center"/>
          </w:tcPr>
          <w:p w:rsidR="005E534F" w:rsidRPr="00525C68" w:rsidRDefault="005E534F" w:rsidP="00DC10A9">
            <w:pPr>
              <w:spacing w:before="40" w:after="40"/>
              <w:rPr>
                <w:rFonts w:cs="Arial"/>
                <w:sz w:val="14"/>
                <w:szCs w:val="16"/>
              </w:rPr>
            </w:pPr>
          </w:p>
        </w:tc>
        <w:tc>
          <w:tcPr>
            <w:tcW w:w="495" w:type="dxa"/>
            <w:vAlign w:val="center"/>
          </w:tcPr>
          <w:p w:rsidR="005E534F" w:rsidRPr="00525C68" w:rsidRDefault="005E534F" w:rsidP="00DC10A9">
            <w:pPr>
              <w:spacing w:before="40" w:after="40"/>
              <w:rPr>
                <w:rFonts w:cs="Arial"/>
                <w:sz w:val="14"/>
                <w:szCs w:val="16"/>
              </w:rPr>
            </w:pPr>
          </w:p>
        </w:tc>
        <w:tc>
          <w:tcPr>
            <w:tcW w:w="963" w:type="dxa"/>
            <w:tcBorders>
              <w:bottom w:val="single" w:sz="4" w:space="0" w:color="auto"/>
            </w:tcBorders>
            <w:vAlign w:val="center"/>
          </w:tcPr>
          <w:p w:rsidR="005E534F" w:rsidRPr="00E63567" w:rsidRDefault="005E534F" w:rsidP="00DC10A9">
            <w:pPr>
              <w:spacing w:before="40" w:after="40"/>
              <w:jc w:val="center"/>
              <w:rPr>
                <w:rFonts w:cs="Arial"/>
                <w:b/>
                <w:sz w:val="14"/>
                <w:szCs w:val="16"/>
              </w:rPr>
            </w:pPr>
            <w:r>
              <w:rPr>
                <w:rFonts w:cs="Arial"/>
                <w:b/>
                <w:sz w:val="14"/>
                <w:szCs w:val="16"/>
              </w:rPr>
              <w:t>Most of EU-15</w:t>
            </w:r>
          </w:p>
        </w:tc>
        <w:tc>
          <w:tcPr>
            <w:tcW w:w="936" w:type="dxa"/>
            <w:tcBorders>
              <w:bottom w:val="single" w:sz="4" w:space="0" w:color="auto"/>
            </w:tcBorders>
            <w:vAlign w:val="center"/>
          </w:tcPr>
          <w:p w:rsidR="005E534F" w:rsidRPr="00E63567" w:rsidRDefault="005E534F" w:rsidP="00DC10A9">
            <w:pPr>
              <w:spacing w:before="40" w:after="40"/>
              <w:jc w:val="center"/>
              <w:rPr>
                <w:rFonts w:cs="Arial"/>
                <w:b/>
                <w:sz w:val="14"/>
                <w:szCs w:val="16"/>
              </w:rPr>
            </w:pPr>
            <w:r>
              <w:rPr>
                <w:rFonts w:cs="Arial"/>
                <w:b/>
                <w:sz w:val="14"/>
                <w:szCs w:val="16"/>
              </w:rPr>
              <w:t>NZ</w:t>
            </w:r>
          </w:p>
        </w:tc>
      </w:tr>
      <w:tr w:rsidR="005E534F" w:rsidRPr="00525C68">
        <w:trPr>
          <w:jc w:val="center"/>
        </w:trPr>
        <w:tc>
          <w:tcPr>
            <w:tcW w:w="923" w:type="dxa"/>
            <w:vMerge w:val="restart"/>
            <w:vAlign w:val="center"/>
          </w:tcPr>
          <w:p w:rsidR="005E534F" w:rsidRPr="00D95D2D" w:rsidRDefault="005E534F" w:rsidP="00DC10A9">
            <w:pPr>
              <w:spacing w:before="40" w:after="40"/>
              <w:jc w:val="center"/>
              <w:rPr>
                <w:rFonts w:cs="Arial"/>
                <w:b/>
                <w:sz w:val="14"/>
                <w:szCs w:val="16"/>
              </w:rPr>
            </w:pPr>
            <w:r w:rsidRPr="00D95D2D">
              <w:rPr>
                <w:rFonts w:cs="Arial"/>
                <w:b/>
                <w:sz w:val="14"/>
                <w:szCs w:val="16"/>
              </w:rPr>
              <w:t>Quintile in w1</w:t>
            </w: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1</w:t>
            </w:r>
          </w:p>
        </w:tc>
        <w:tc>
          <w:tcPr>
            <w:tcW w:w="963"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50</w:t>
            </w:r>
          </w:p>
        </w:tc>
        <w:tc>
          <w:tcPr>
            <w:tcW w:w="936" w:type="dxa"/>
            <w:tcBorders>
              <w:bottom w:val="single" w:sz="4" w:space="0" w:color="auto"/>
            </w:tcBorders>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49</w:t>
            </w:r>
          </w:p>
        </w:tc>
      </w:tr>
      <w:tr w:rsidR="005E534F" w:rsidRPr="00525C68">
        <w:trPr>
          <w:jc w:val="center"/>
        </w:trPr>
        <w:tc>
          <w:tcPr>
            <w:tcW w:w="923" w:type="dxa"/>
            <w:vMerge/>
            <w:vAlign w:val="center"/>
          </w:tcPr>
          <w:p w:rsidR="005E534F" w:rsidRPr="00525C68" w:rsidRDefault="005E534F" w:rsidP="00DC10A9">
            <w:pPr>
              <w:spacing w:before="40" w:after="40"/>
              <w:jc w:val="center"/>
              <w:rPr>
                <w:rFonts w:cs="Arial"/>
                <w:sz w:val="14"/>
                <w:szCs w:val="16"/>
              </w:rPr>
            </w:pP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2</w:t>
            </w:r>
          </w:p>
        </w:tc>
        <w:tc>
          <w:tcPr>
            <w:tcW w:w="963" w:type="dxa"/>
            <w:vMerge w:val="restart"/>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‘generally about one third’</w:t>
            </w:r>
          </w:p>
        </w:tc>
        <w:tc>
          <w:tcPr>
            <w:tcW w:w="936"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39</w:t>
            </w:r>
          </w:p>
        </w:tc>
      </w:tr>
      <w:tr w:rsidR="005E534F" w:rsidRPr="00525C68">
        <w:trPr>
          <w:jc w:val="center"/>
        </w:trPr>
        <w:tc>
          <w:tcPr>
            <w:tcW w:w="923" w:type="dxa"/>
            <w:vMerge/>
            <w:vAlign w:val="center"/>
          </w:tcPr>
          <w:p w:rsidR="005E534F" w:rsidRPr="00525C68" w:rsidRDefault="005E534F" w:rsidP="00DC10A9">
            <w:pPr>
              <w:spacing w:before="40" w:after="40"/>
              <w:jc w:val="center"/>
              <w:rPr>
                <w:rFonts w:cs="Arial"/>
                <w:sz w:val="14"/>
                <w:szCs w:val="16"/>
              </w:rPr>
            </w:pP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3</w:t>
            </w:r>
          </w:p>
        </w:tc>
        <w:tc>
          <w:tcPr>
            <w:tcW w:w="963" w:type="dxa"/>
            <w:vMerge/>
            <w:shd w:val="clear" w:color="auto" w:fill="auto"/>
            <w:vAlign w:val="center"/>
          </w:tcPr>
          <w:p w:rsidR="005E534F" w:rsidRPr="003434E9" w:rsidRDefault="005E534F" w:rsidP="00DC10A9">
            <w:pPr>
              <w:spacing w:before="40" w:after="40"/>
              <w:jc w:val="center"/>
              <w:rPr>
                <w:rFonts w:cs="Arial"/>
                <w:sz w:val="14"/>
                <w:szCs w:val="16"/>
              </w:rPr>
            </w:pPr>
          </w:p>
        </w:tc>
        <w:tc>
          <w:tcPr>
            <w:tcW w:w="936"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36</w:t>
            </w:r>
          </w:p>
        </w:tc>
      </w:tr>
      <w:tr w:rsidR="005E534F" w:rsidRPr="00525C68">
        <w:trPr>
          <w:jc w:val="center"/>
        </w:trPr>
        <w:tc>
          <w:tcPr>
            <w:tcW w:w="923" w:type="dxa"/>
            <w:vMerge/>
            <w:vAlign w:val="center"/>
          </w:tcPr>
          <w:p w:rsidR="005E534F" w:rsidRPr="00525C68" w:rsidRDefault="005E534F" w:rsidP="00DC10A9">
            <w:pPr>
              <w:spacing w:before="40" w:after="40"/>
              <w:jc w:val="center"/>
              <w:rPr>
                <w:rFonts w:cs="Arial"/>
                <w:sz w:val="14"/>
                <w:szCs w:val="16"/>
              </w:rPr>
            </w:pP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4</w:t>
            </w:r>
          </w:p>
        </w:tc>
        <w:tc>
          <w:tcPr>
            <w:tcW w:w="963" w:type="dxa"/>
            <w:vMerge/>
            <w:shd w:val="clear" w:color="auto" w:fill="auto"/>
            <w:vAlign w:val="center"/>
          </w:tcPr>
          <w:p w:rsidR="005E534F" w:rsidRPr="003434E9" w:rsidRDefault="005E534F" w:rsidP="00DC10A9">
            <w:pPr>
              <w:spacing w:before="40" w:after="40"/>
              <w:jc w:val="center"/>
              <w:rPr>
                <w:rFonts w:cs="Arial"/>
                <w:sz w:val="14"/>
                <w:szCs w:val="16"/>
              </w:rPr>
            </w:pPr>
          </w:p>
        </w:tc>
        <w:tc>
          <w:tcPr>
            <w:tcW w:w="936"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40</w:t>
            </w:r>
          </w:p>
        </w:tc>
      </w:tr>
      <w:tr w:rsidR="005E534F" w:rsidRPr="00525C68">
        <w:trPr>
          <w:jc w:val="center"/>
        </w:trPr>
        <w:tc>
          <w:tcPr>
            <w:tcW w:w="923" w:type="dxa"/>
            <w:vMerge/>
            <w:vAlign w:val="center"/>
          </w:tcPr>
          <w:p w:rsidR="005E534F" w:rsidRPr="00525C68" w:rsidRDefault="005E534F" w:rsidP="00DC10A9">
            <w:pPr>
              <w:spacing w:before="40" w:after="40"/>
              <w:jc w:val="center"/>
              <w:rPr>
                <w:rFonts w:cs="Arial"/>
                <w:sz w:val="14"/>
                <w:szCs w:val="16"/>
              </w:rPr>
            </w:pP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5</w:t>
            </w:r>
          </w:p>
        </w:tc>
        <w:tc>
          <w:tcPr>
            <w:tcW w:w="963"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60+</w:t>
            </w:r>
          </w:p>
        </w:tc>
        <w:tc>
          <w:tcPr>
            <w:tcW w:w="936"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61</w:t>
            </w:r>
          </w:p>
        </w:tc>
      </w:tr>
      <w:tr w:rsidR="005E534F" w:rsidRPr="00525C68">
        <w:trPr>
          <w:jc w:val="center"/>
        </w:trPr>
        <w:tc>
          <w:tcPr>
            <w:tcW w:w="923" w:type="dxa"/>
            <w:vMerge/>
            <w:vAlign w:val="center"/>
          </w:tcPr>
          <w:p w:rsidR="005E534F" w:rsidRPr="00525C68" w:rsidRDefault="005E534F" w:rsidP="00DC10A9">
            <w:pPr>
              <w:spacing w:before="40" w:after="40"/>
              <w:jc w:val="center"/>
              <w:rPr>
                <w:rFonts w:cs="Arial"/>
                <w:sz w:val="14"/>
                <w:szCs w:val="16"/>
              </w:rPr>
            </w:pPr>
          </w:p>
        </w:tc>
        <w:tc>
          <w:tcPr>
            <w:tcW w:w="495" w:type="dxa"/>
            <w:vAlign w:val="center"/>
          </w:tcPr>
          <w:p w:rsidR="005E534F" w:rsidRPr="00E63567" w:rsidRDefault="005E534F" w:rsidP="00DC10A9">
            <w:pPr>
              <w:spacing w:before="40" w:after="40"/>
              <w:jc w:val="center"/>
              <w:rPr>
                <w:rFonts w:cs="Arial"/>
                <w:b/>
                <w:sz w:val="14"/>
                <w:szCs w:val="16"/>
              </w:rPr>
            </w:pPr>
            <w:r w:rsidRPr="00E63567">
              <w:rPr>
                <w:rFonts w:cs="Arial"/>
                <w:b/>
                <w:sz w:val="14"/>
                <w:szCs w:val="16"/>
              </w:rPr>
              <w:t>Avg</w:t>
            </w:r>
          </w:p>
        </w:tc>
        <w:tc>
          <w:tcPr>
            <w:tcW w:w="963"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40-45</w:t>
            </w:r>
          </w:p>
        </w:tc>
        <w:tc>
          <w:tcPr>
            <w:tcW w:w="936" w:type="dxa"/>
            <w:shd w:val="clear" w:color="auto" w:fill="auto"/>
            <w:vAlign w:val="center"/>
          </w:tcPr>
          <w:p w:rsidR="005E534F" w:rsidRPr="003434E9" w:rsidRDefault="005E534F" w:rsidP="00DC10A9">
            <w:pPr>
              <w:spacing w:before="40" w:after="40"/>
              <w:jc w:val="center"/>
              <w:rPr>
                <w:rFonts w:cs="Arial"/>
                <w:sz w:val="14"/>
                <w:szCs w:val="16"/>
              </w:rPr>
            </w:pPr>
            <w:r>
              <w:rPr>
                <w:rFonts w:cs="Arial"/>
                <w:sz w:val="14"/>
                <w:szCs w:val="16"/>
              </w:rPr>
              <w:t>45</w:t>
            </w:r>
          </w:p>
        </w:tc>
      </w:tr>
    </w:tbl>
    <w:p w:rsidR="005E534F" w:rsidRDefault="005E534F" w:rsidP="00286FD4">
      <w:pPr>
        <w:tabs>
          <w:tab w:val="left" w:pos="2808"/>
          <w:tab w:val="left" w:pos="3544"/>
        </w:tabs>
        <w:spacing w:before="60"/>
        <w:rPr>
          <w:rFonts w:cs="Arial"/>
          <w:sz w:val="16"/>
          <w:szCs w:val="16"/>
        </w:rPr>
      </w:pPr>
      <w:r>
        <w:rPr>
          <w:rFonts w:cs="Arial"/>
          <w:sz w:val="20"/>
        </w:rPr>
        <w:tab/>
      </w:r>
      <w:r w:rsidRPr="00F2019E">
        <w:rPr>
          <w:rFonts w:cs="Arial"/>
          <w:sz w:val="16"/>
          <w:szCs w:val="16"/>
        </w:rPr>
        <w:t>Source</w:t>
      </w:r>
      <w:r w:rsidR="00286FD4">
        <w:rPr>
          <w:rFonts w:cs="Arial"/>
          <w:sz w:val="16"/>
          <w:szCs w:val="16"/>
        </w:rPr>
        <w:t>s</w:t>
      </w:r>
      <w:r w:rsidRPr="00F2019E">
        <w:rPr>
          <w:rFonts w:cs="Arial"/>
          <w:sz w:val="16"/>
          <w:szCs w:val="16"/>
        </w:rPr>
        <w:t xml:space="preserve">:  </w:t>
      </w:r>
      <w:r w:rsidR="00286FD4">
        <w:rPr>
          <w:rFonts w:cs="Arial"/>
          <w:sz w:val="16"/>
          <w:szCs w:val="16"/>
        </w:rPr>
        <w:tab/>
        <w:t xml:space="preserve"> </w:t>
      </w:r>
      <w:r>
        <w:rPr>
          <w:rFonts w:cs="Arial"/>
          <w:sz w:val="16"/>
          <w:szCs w:val="16"/>
        </w:rPr>
        <w:t>Nolan and Erikson (2007)</w:t>
      </w:r>
      <w:r w:rsidR="00286FD4">
        <w:rPr>
          <w:rFonts w:cs="Arial"/>
          <w:sz w:val="16"/>
          <w:szCs w:val="16"/>
        </w:rPr>
        <w:t xml:space="preserve"> for EU figures</w:t>
      </w:r>
    </w:p>
    <w:p w:rsidR="00286FD4" w:rsidRPr="00F2019E" w:rsidRDefault="00286FD4" w:rsidP="00286FD4">
      <w:pPr>
        <w:tabs>
          <w:tab w:val="left" w:pos="3544"/>
        </w:tabs>
        <w:spacing w:before="60"/>
        <w:ind w:left="3597" w:right="944"/>
        <w:rPr>
          <w:rFonts w:cs="Arial"/>
          <w:sz w:val="16"/>
          <w:szCs w:val="16"/>
        </w:rPr>
      </w:pPr>
      <w:r>
        <w:rPr>
          <w:rFonts w:cs="Arial"/>
          <w:sz w:val="16"/>
          <w:szCs w:val="16"/>
        </w:rPr>
        <w:t>Author’s calculations based on unpublished decile transition tables provided by</w:t>
      </w:r>
      <w:r w:rsidRPr="00F2019E">
        <w:rPr>
          <w:rFonts w:cs="Arial"/>
          <w:sz w:val="16"/>
          <w:szCs w:val="16"/>
        </w:rPr>
        <w:t xml:space="preserve"> </w:t>
      </w:r>
      <w:r>
        <w:rPr>
          <w:rFonts w:cs="Arial"/>
          <w:sz w:val="16"/>
          <w:szCs w:val="16"/>
        </w:rPr>
        <w:t>UO for the NZ figures</w:t>
      </w:r>
    </w:p>
    <w:p w:rsidR="005E534F" w:rsidRPr="00F2019E" w:rsidRDefault="00286FD4" w:rsidP="005E534F">
      <w:pPr>
        <w:tabs>
          <w:tab w:val="left" w:pos="2808"/>
        </w:tabs>
        <w:spacing w:before="60"/>
        <w:rPr>
          <w:rFonts w:cs="Arial"/>
          <w:sz w:val="16"/>
          <w:szCs w:val="16"/>
        </w:rPr>
      </w:pPr>
      <w:r>
        <w:rPr>
          <w:rFonts w:cs="Arial"/>
          <w:sz w:val="16"/>
          <w:szCs w:val="16"/>
        </w:rPr>
        <w:tab/>
      </w:r>
      <w:r w:rsidR="005E534F">
        <w:rPr>
          <w:rFonts w:cs="Arial"/>
          <w:sz w:val="16"/>
          <w:szCs w:val="16"/>
        </w:rPr>
        <w:t>Note:  EU-15 are the pre-2004 members of the European Union</w:t>
      </w:r>
    </w:p>
    <w:p w:rsidR="005E534F" w:rsidRDefault="005E534F" w:rsidP="005E534F">
      <w:pPr>
        <w:rPr>
          <w:rFonts w:cs="Arial"/>
          <w:b/>
          <w:sz w:val="20"/>
        </w:rPr>
      </w:pPr>
    </w:p>
    <w:p w:rsidR="005E534F" w:rsidRPr="00347908" w:rsidRDefault="00164F8C" w:rsidP="005E534F">
      <w:pPr>
        <w:rPr>
          <w:rFonts w:cs="Arial"/>
          <w:sz w:val="20"/>
          <w:u w:val="single"/>
        </w:rPr>
      </w:pPr>
      <w:r>
        <w:rPr>
          <w:rFonts w:cs="Arial"/>
          <w:b/>
          <w:sz w:val="20"/>
        </w:rPr>
        <w:br w:type="page"/>
      </w:r>
      <w:r w:rsidRPr="00347908">
        <w:rPr>
          <w:rFonts w:cs="Arial"/>
          <w:sz w:val="20"/>
          <w:u w:val="single"/>
        </w:rPr>
        <w:lastRenderedPageBreak/>
        <w:t>Decile transitions over the seven SoFIE waves, with international comparisons</w:t>
      </w:r>
    </w:p>
    <w:p w:rsidR="00164F8C" w:rsidRDefault="00164F8C" w:rsidP="005E534F">
      <w:pPr>
        <w:rPr>
          <w:rFonts w:cs="Arial"/>
          <w:b/>
          <w:sz w:val="20"/>
        </w:rPr>
      </w:pPr>
    </w:p>
    <w:p w:rsidR="00164F8C" w:rsidRDefault="00164F8C" w:rsidP="00DE774B">
      <w:pPr>
        <w:jc w:val="both"/>
        <w:rPr>
          <w:rFonts w:cs="Arial"/>
          <w:sz w:val="20"/>
        </w:rPr>
      </w:pPr>
      <w:r w:rsidRPr="007815E2">
        <w:rPr>
          <w:rFonts w:cs="Arial"/>
          <w:b/>
          <w:sz w:val="20"/>
        </w:rPr>
        <w:t xml:space="preserve">Table </w:t>
      </w:r>
      <w:r w:rsidR="001256DF">
        <w:rPr>
          <w:rFonts w:cs="Arial"/>
          <w:b/>
          <w:sz w:val="20"/>
        </w:rPr>
        <w:t>L.6</w:t>
      </w:r>
      <w:r>
        <w:rPr>
          <w:rFonts w:cs="Arial"/>
          <w:sz w:val="20"/>
        </w:rPr>
        <w:t xml:space="preserve"> repeats Table </w:t>
      </w:r>
      <w:r w:rsidR="001256DF">
        <w:rPr>
          <w:rFonts w:cs="Arial"/>
          <w:sz w:val="20"/>
        </w:rPr>
        <w:t>L.2</w:t>
      </w:r>
      <w:r>
        <w:rPr>
          <w:rFonts w:cs="Arial"/>
          <w:sz w:val="20"/>
        </w:rPr>
        <w:t xml:space="preserve">, this time using deciles.  Table </w:t>
      </w:r>
      <w:r w:rsidR="001256DF">
        <w:rPr>
          <w:rFonts w:cs="Arial"/>
          <w:sz w:val="20"/>
        </w:rPr>
        <w:t>L.6</w:t>
      </w:r>
      <w:r>
        <w:rPr>
          <w:rFonts w:cs="Arial"/>
          <w:sz w:val="20"/>
        </w:rPr>
        <w:t xml:space="preserve"> is more fine-grained and used on its own or together with Table </w:t>
      </w:r>
      <w:r w:rsidR="00721D7A">
        <w:rPr>
          <w:rFonts w:cs="Arial"/>
          <w:sz w:val="20"/>
        </w:rPr>
        <w:t xml:space="preserve">L.2 </w:t>
      </w:r>
      <w:r>
        <w:rPr>
          <w:rFonts w:cs="Arial"/>
          <w:sz w:val="20"/>
        </w:rPr>
        <w:t xml:space="preserve">it can provide a more textured picture of income mobility and immobility.  While it is more susceptible to issues arising from regression to the mean and to overstated mobility arising from boundary hoppers, with a little care it is a valuable analytical tool.  One of the most notable features of Table </w:t>
      </w:r>
      <w:r w:rsidR="001256DF">
        <w:rPr>
          <w:rFonts w:cs="Arial"/>
          <w:sz w:val="20"/>
        </w:rPr>
        <w:t>L.6</w:t>
      </w:r>
      <w:r>
        <w:rPr>
          <w:rFonts w:cs="Arial"/>
          <w:sz w:val="20"/>
        </w:rPr>
        <w:t xml:space="preserve"> is the very high immobility in decile 10, the highest decile: almost half of those who were there in w1 are there again in w7.  This contrasts strongly with the middle deciles which experience much more mobility. Even though the lower three deciles and decile 8 have somewhat less mobility than the middle deciles, they are still relatively mobile compared with those starting in decile 10.</w:t>
      </w:r>
    </w:p>
    <w:p w:rsidR="00164F8C" w:rsidRDefault="00164F8C" w:rsidP="00164F8C">
      <w:pPr>
        <w:jc w:val="center"/>
        <w:rPr>
          <w:rFonts w:cs="Arial"/>
          <w:sz w:val="20"/>
        </w:rPr>
      </w:pPr>
    </w:p>
    <w:p w:rsidR="00164F8C" w:rsidRPr="00A704B4" w:rsidRDefault="00164F8C" w:rsidP="00164F8C">
      <w:pPr>
        <w:jc w:val="center"/>
        <w:rPr>
          <w:rFonts w:cs="Arial"/>
          <w:b/>
          <w:sz w:val="18"/>
          <w:szCs w:val="18"/>
        </w:rPr>
      </w:pPr>
      <w:r w:rsidRPr="00A704B4">
        <w:rPr>
          <w:rFonts w:cs="Arial"/>
          <w:b/>
          <w:sz w:val="18"/>
          <w:szCs w:val="18"/>
        </w:rPr>
        <w:t xml:space="preserve">Table </w:t>
      </w:r>
      <w:r w:rsidR="001256DF">
        <w:rPr>
          <w:rFonts w:cs="Arial"/>
          <w:b/>
          <w:sz w:val="18"/>
          <w:szCs w:val="18"/>
        </w:rPr>
        <w:t>L.6</w:t>
      </w:r>
    </w:p>
    <w:p w:rsidR="00164F8C" w:rsidRPr="00A704B4" w:rsidRDefault="00164F8C" w:rsidP="00164F8C">
      <w:pPr>
        <w:jc w:val="center"/>
        <w:rPr>
          <w:rFonts w:cs="Arial"/>
          <w:b/>
          <w:sz w:val="18"/>
          <w:szCs w:val="18"/>
        </w:rPr>
      </w:pPr>
      <w:r w:rsidRPr="00A704B4">
        <w:rPr>
          <w:rFonts w:cs="Arial"/>
          <w:b/>
          <w:sz w:val="18"/>
          <w:szCs w:val="18"/>
        </w:rPr>
        <w:t xml:space="preserve">Income decile transition probabilities (%) from </w:t>
      </w:r>
      <w:r>
        <w:rPr>
          <w:rFonts w:cs="Arial"/>
          <w:b/>
          <w:sz w:val="18"/>
          <w:szCs w:val="18"/>
        </w:rPr>
        <w:t>w</w:t>
      </w:r>
      <w:r w:rsidRPr="00A704B4">
        <w:rPr>
          <w:rFonts w:cs="Arial"/>
          <w:b/>
          <w:sz w:val="18"/>
          <w:szCs w:val="18"/>
        </w:rPr>
        <w:t xml:space="preserve">1 to </w:t>
      </w:r>
      <w:r>
        <w:rPr>
          <w:rFonts w:cs="Arial"/>
          <w:b/>
          <w:sz w:val="18"/>
          <w:szCs w:val="18"/>
        </w:rPr>
        <w:t>w</w:t>
      </w:r>
      <w:r w:rsidRPr="00A704B4">
        <w:rPr>
          <w:rFonts w:cs="Arial"/>
          <w:b/>
          <w:sz w:val="18"/>
          <w:szCs w:val="18"/>
        </w:rPr>
        <w:t>7:</w:t>
      </w:r>
    </w:p>
    <w:p w:rsidR="00164F8C" w:rsidRPr="00A704B4" w:rsidRDefault="00164F8C" w:rsidP="00164F8C">
      <w:pPr>
        <w:spacing w:after="120"/>
        <w:jc w:val="center"/>
        <w:rPr>
          <w:rFonts w:cs="Arial"/>
          <w:b/>
          <w:sz w:val="18"/>
          <w:szCs w:val="18"/>
        </w:rPr>
      </w:pPr>
      <w:r w:rsidRPr="00A704B4">
        <w:rPr>
          <w:rFonts w:cs="Arial"/>
          <w:b/>
          <w:sz w:val="18"/>
          <w:szCs w:val="18"/>
        </w:rPr>
        <w:t>2002 to 200</w:t>
      </w:r>
      <w:r>
        <w:rPr>
          <w:rFonts w:cs="Arial"/>
          <w:b/>
          <w:sz w:val="18"/>
          <w:szCs w:val="18"/>
        </w:rPr>
        <w:t>8</w:t>
      </w:r>
      <w:r w:rsidRPr="00A704B4">
        <w:rPr>
          <w:rFonts w:cs="Arial"/>
          <w:b/>
          <w:sz w:val="18"/>
          <w:szCs w:val="18"/>
        </w:rPr>
        <w:t>, all respondents</w:t>
      </w:r>
    </w:p>
    <w:tbl>
      <w:tblPr>
        <w:tblStyle w:val="TableGrid"/>
        <w:tblW w:w="0" w:type="auto"/>
        <w:jc w:val="center"/>
        <w:tblInd w:w="282" w:type="dxa"/>
        <w:tblLayout w:type="fixed"/>
        <w:tblLook w:val="01E0"/>
      </w:tblPr>
      <w:tblGrid>
        <w:gridCol w:w="654"/>
        <w:gridCol w:w="432"/>
        <w:gridCol w:w="516"/>
        <w:gridCol w:w="517"/>
        <w:gridCol w:w="517"/>
        <w:gridCol w:w="517"/>
        <w:gridCol w:w="517"/>
        <w:gridCol w:w="517"/>
        <w:gridCol w:w="517"/>
        <w:gridCol w:w="517"/>
        <w:gridCol w:w="517"/>
        <w:gridCol w:w="517"/>
      </w:tblGrid>
      <w:tr w:rsidR="00164F8C" w:rsidRPr="00023C09">
        <w:trPr>
          <w:jc w:val="center"/>
        </w:trPr>
        <w:tc>
          <w:tcPr>
            <w:tcW w:w="654" w:type="dxa"/>
          </w:tcPr>
          <w:p w:rsidR="00164F8C" w:rsidRPr="00023C09" w:rsidRDefault="00164F8C" w:rsidP="00E62AFD">
            <w:pPr>
              <w:spacing w:before="40" w:after="40"/>
              <w:rPr>
                <w:rFonts w:cs="Arial"/>
                <w:sz w:val="14"/>
                <w:szCs w:val="16"/>
              </w:rPr>
            </w:pPr>
          </w:p>
        </w:tc>
        <w:tc>
          <w:tcPr>
            <w:tcW w:w="432" w:type="dxa"/>
          </w:tcPr>
          <w:p w:rsidR="00164F8C" w:rsidRPr="00023C09" w:rsidRDefault="00164F8C" w:rsidP="00E62AFD">
            <w:pPr>
              <w:spacing w:before="40" w:after="40"/>
              <w:rPr>
                <w:rFonts w:cs="Arial"/>
                <w:sz w:val="14"/>
                <w:szCs w:val="16"/>
              </w:rPr>
            </w:pPr>
          </w:p>
        </w:tc>
        <w:tc>
          <w:tcPr>
            <w:tcW w:w="5169" w:type="dxa"/>
            <w:gridSpan w:val="10"/>
          </w:tcPr>
          <w:p w:rsidR="00164F8C" w:rsidRPr="00023C09" w:rsidRDefault="00164F8C" w:rsidP="00E62AFD">
            <w:pPr>
              <w:spacing w:before="40" w:after="40"/>
              <w:jc w:val="center"/>
              <w:rPr>
                <w:rFonts w:cs="Arial"/>
                <w:b/>
                <w:sz w:val="14"/>
                <w:szCs w:val="16"/>
              </w:rPr>
            </w:pPr>
            <w:r w:rsidRPr="00023C09">
              <w:rPr>
                <w:rFonts w:cs="Arial"/>
                <w:b/>
                <w:sz w:val="14"/>
                <w:szCs w:val="16"/>
              </w:rPr>
              <w:t>Decile in w7 (2008)</w:t>
            </w:r>
          </w:p>
        </w:tc>
      </w:tr>
      <w:tr w:rsidR="00164F8C" w:rsidRPr="00023C09">
        <w:trPr>
          <w:jc w:val="center"/>
        </w:trPr>
        <w:tc>
          <w:tcPr>
            <w:tcW w:w="654" w:type="dxa"/>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rPr>
                <w:rFonts w:cs="Arial"/>
                <w:sz w:val="14"/>
                <w:szCs w:val="16"/>
              </w:rPr>
            </w:pPr>
          </w:p>
        </w:tc>
        <w:tc>
          <w:tcPr>
            <w:tcW w:w="516"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r>
      <w:tr w:rsidR="00164F8C" w:rsidRPr="00023C09">
        <w:trPr>
          <w:jc w:val="center"/>
        </w:trPr>
        <w:tc>
          <w:tcPr>
            <w:tcW w:w="654" w:type="dxa"/>
            <w:vMerge w:val="restart"/>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Decile in w1 (2002)</w:t>
            </w: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w:t>
            </w:r>
          </w:p>
        </w:tc>
        <w:tc>
          <w:tcPr>
            <w:tcW w:w="516"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24</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21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18</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27</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12</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20</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24</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14</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17</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12</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13</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19</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11</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14</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15</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18</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7</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15</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17</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17</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8</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15</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19</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19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9</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15</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26</w:t>
            </w:r>
          </w:p>
        </w:tc>
        <w:tc>
          <w:tcPr>
            <w:tcW w:w="517" w:type="dxa"/>
            <w:tcBorders>
              <w:bottom w:val="single" w:sz="4" w:space="0" w:color="auto"/>
            </w:tcBorders>
            <w:vAlign w:val="center"/>
          </w:tcPr>
          <w:p w:rsidR="00164F8C" w:rsidRPr="00023C09" w:rsidRDefault="00164F8C" w:rsidP="00E62AFD">
            <w:pPr>
              <w:spacing w:before="40" w:after="40"/>
              <w:jc w:val="center"/>
              <w:rPr>
                <w:rFonts w:cs="Arial"/>
                <w:sz w:val="14"/>
                <w:szCs w:val="16"/>
              </w:rPr>
            </w:pPr>
            <w:r w:rsidRPr="00023C09">
              <w:rPr>
                <w:rFonts w:cs="Arial"/>
                <w:sz w:val="14"/>
                <w:szCs w:val="16"/>
              </w:rPr>
              <w:t>20</w:t>
            </w:r>
          </w:p>
        </w:tc>
      </w:tr>
      <w:tr w:rsidR="00164F8C" w:rsidRPr="00023C09">
        <w:trPr>
          <w:jc w:val="center"/>
        </w:trPr>
        <w:tc>
          <w:tcPr>
            <w:tcW w:w="654" w:type="dxa"/>
            <w:vMerge/>
          </w:tcPr>
          <w:p w:rsidR="00164F8C" w:rsidRPr="00023C09" w:rsidRDefault="00164F8C" w:rsidP="00E62AFD">
            <w:pPr>
              <w:spacing w:before="40" w:after="40"/>
              <w:rPr>
                <w:rFonts w:cs="Arial"/>
                <w:sz w:val="14"/>
                <w:szCs w:val="16"/>
              </w:rPr>
            </w:pPr>
          </w:p>
        </w:tc>
        <w:tc>
          <w:tcPr>
            <w:tcW w:w="432"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6"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2</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3</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5</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4</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6</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10</w:t>
            </w:r>
          </w:p>
        </w:tc>
        <w:tc>
          <w:tcPr>
            <w:tcW w:w="517" w:type="dxa"/>
            <w:vAlign w:val="center"/>
          </w:tcPr>
          <w:p w:rsidR="00164F8C" w:rsidRPr="00023C09" w:rsidRDefault="00164F8C" w:rsidP="00E62AFD">
            <w:pPr>
              <w:spacing w:before="40" w:after="40"/>
              <w:jc w:val="center"/>
              <w:rPr>
                <w:rFonts w:cs="Arial"/>
                <w:sz w:val="14"/>
                <w:szCs w:val="16"/>
              </w:rPr>
            </w:pPr>
            <w:r w:rsidRPr="00023C09">
              <w:rPr>
                <w:rFonts w:cs="Arial"/>
                <w:sz w:val="14"/>
                <w:szCs w:val="16"/>
              </w:rPr>
              <w:t>17</w:t>
            </w:r>
          </w:p>
        </w:tc>
        <w:tc>
          <w:tcPr>
            <w:tcW w:w="517" w:type="dxa"/>
            <w:shd w:val="clear" w:color="auto" w:fill="CCCCCC"/>
            <w:vAlign w:val="center"/>
          </w:tcPr>
          <w:p w:rsidR="00164F8C" w:rsidRPr="00023C09" w:rsidRDefault="00164F8C" w:rsidP="00E62AFD">
            <w:pPr>
              <w:spacing w:before="40" w:after="40"/>
              <w:jc w:val="center"/>
              <w:rPr>
                <w:rFonts w:cs="Arial"/>
                <w:b/>
                <w:sz w:val="14"/>
                <w:szCs w:val="16"/>
              </w:rPr>
            </w:pPr>
            <w:r w:rsidRPr="00023C09">
              <w:rPr>
                <w:rFonts w:cs="Arial"/>
                <w:b/>
                <w:sz w:val="14"/>
                <w:szCs w:val="16"/>
              </w:rPr>
              <w:t>46</w:t>
            </w:r>
          </w:p>
        </w:tc>
      </w:tr>
    </w:tbl>
    <w:p w:rsidR="00164F8C" w:rsidRDefault="00164F8C" w:rsidP="00164F8C">
      <w:pPr>
        <w:spacing w:before="60"/>
        <w:ind w:left="1267"/>
        <w:rPr>
          <w:rFonts w:cs="Arial"/>
          <w:sz w:val="20"/>
        </w:rPr>
      </w:pPr>
      <w:r>
        <w:rPr>
          <w:rFonts w:cs="Arial"/>
          <w:sz w:val="16"/>
          <w:szCs w:val="16"/>
        </w:rPr>
        <w:t>Source:  Unpublished table provided by UO.</w:t>
      </w:r>
    </w:p>
    <w:p w:rsidR="00164F8C" w:rsidRDefault="00164F8C" w:rsidP="00164F8C">
      <w:pPr>
        <w:rPr>
          <w:rFonts w:cs="Arial"/>
          <w:b/>
          <w:sz w:val="20"/>
        </w:rPr>
      </w:pPr>
    </w:p>
    <w:p w:rsidR="00164F8C" w:rsidRDefault="00164F8C" w:rsidP="00164F8C">
      <w:pPr>
        <w:rPr>
          <w:rFonts w:cs="Arial"/>
          <w:sz w:val="20"/>
        </w:rPr>
      </w:pPr>
    </w:p>
    <w:p w:rsidR="00164F8C" w:rsidRDefault="00164F8C" w:rsidP="00164F8C">
      <w:pPr>
        <w:jc w:val="both"/>
        <w:rPr>
          <w:rFonts w:cs="Arial"/>
          <w:sz w:val="20"/>
        </w:rPr>
      </w:pPr>
      <w:r>
        <w:rPr>
          <w:rFonts w:cs="Arial"/>
          <w:sz w:val="20"/>
        </w:rPr>
        <w:t xml:space="preserve">International comparisons are available using decile transitions.  They provide further support for the finding that at the population level, the overall degree of income mobility for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appears to be very similar to that for other MEDCs.</w:t>
      </w:r>
    </w:p>
    <w:p w:rsidR="00164F8C" w:rsidRDefault="00164F8C" w:rsidP="00164F8C">
      <w:pPr>
        <w:jc w:val="both"/>
        <w:rPr>
          <w:rFonts w:cs="Arial"/>
          <w:sz w:val="20"/>
        </w:rPr>
      </w:pPr>
    </w:p>
    <w:p w:rsidR="000B1AE2" w:rsidRDefault="00164F8C" w:rsidP="000B1AE2">
      <w:pPr>
        <w:tabs>
          <w:tab w:val="left" w:pos="1260"/>
        </w:tabs>
        <w:jc w:val="both"/>
        <w:rPr>
          <w:rFonts w:cs="Arial"/>
          <w:sz w:val="20"/>
        </w:rPr>
      </w:pPr>
      <w:r>
        <w:rPr>
          <w:rFonts w:cs="Arial"/>
          <w:sz w:val="20"/>
        </w:rPr>
        <w:t xml:space="preserve">Chen (2009) gives comparisons for Canada, the USA, Germany and Great Britain using two measures based on a five-wave window, one of immobility and one of upward mobility.  In </w:t>
      </w:r>
      <w:r w:rsidRPr="00206CA0">
        <w:rPr>
          <w:rFonts w:cs="Arial"/>
          <w:b/>
          <w:sz w:val="20"/>
        </w:rPr>
        <w:t xml:space="preserve">Figure </w:t>
      </w:r>
      <w:r w:rsidR="00E835EA">
        <w:rPr>
          <w:rFonts w:cs="Arial"/>
          <w:b/>
          <w:sz w:val="20"/>
        </w:rPr>
        <w:t>L.</w:t>
      </w:r>
      <w:r w:rsidR="00CD0699">
        <w:rPr>
          <w:rFonts w:cs="Arial"/>
          <w:b/>
          <w:sz w:val="20"/>
        </w:rPr>
        <w:t>2</w:t>
      </w:r>
      <w:r>
        <w:rPr>
          <w:rFonts w:cs="Arial"/>
          <w:sz w:val="20"/>
        </w:rPr>
        <w:t xml:space="preserve"> and </w:t>
      </w:r>
      <w:r w:rsidRPr="00206CA0">
        <w:rPr>
          <w:rFonts w:cs="Arial"/>
          <w:b/>
          <w:sz w:val="20"/>
        </w:rPr>
        <w:t xml:space="preserve">Figure </w:t>
      </w:r>
      <w:r w:rsidR="00E835EA">
        <w:rPr>
          <w:rFonts w:cs="Arial"/>
          <w:b/>
          <w:sz w:val="20"/>
        </w:rPr>
        <w:t>L.</w:t>
      </w:r>
      <w:r w:rsidR="00CD0699">
        <w:rPr>
          <w:rFonts w:cs="Arial"/>
          <w:b/>
          <w:sz w:val="20"/>
        </w:rPr>
        <w:t>3</w:t>
      </w:r>
      <w:r>
        <w:rPr>
          <w:rFonts w:cs="Arial"/>
          <w:sz w:val="20"/>
        </w:rPr>
        <w:t xml:space="preserve"> these statistics are replicated for </w:t>
      </w:r>
      <w:smartTag w:uri="urn:schemas-microsoft-com:office:smarttags" w:element="country-region">
        <w:r>
          <w:rPr>
            <w:rFonts w:cs="Arial"/>
            <w:sz w:val="20"/>
          </w:rPr>
          <w:t>New Zealand</w:t>
        </w:r>
      </w:smartTag>
      <w:r>
        <w:rPr>
          <w:rFonts w:cs="Arial"/>
          <w:sz w:val="20"/>
        </w:rPr>
        <w:t xml:space="preserve"> (albeit on gross rather than disposable income), and on these comparisons </w:t>
      </w:r>
      <w:smartTag w:uri="urn:schemas-microsoft-com:office:smarttags" w:element="place">
        <w:smartTag w:uri="urn:schemas-microsoft-com:office:smarttags" w:element="country-region">
          <w:r>
            <w:rPr>
              <w:rFonts w:cs="Arial"/>
              <w:sz w:val="20"/>
            </w:rPr>
            <w:t>New Zealand</w:t>
          </w:r>
        </w:smartTag>
      </w:smartTag>
      <w:r>
        <w:rPr>
          <w:rFonts w:cs="Arial"/>
          <w:sz w:val="20"/>
        </w:rPr>
        <w:t>’s mobility picture is again very similar to these other MEDCs.</w:t>
      </w:r>
    </w:p>
    <w:p w:rsidR="000B1AE2" w:rsidRPr="000B1AE2" w:rsidRDefault="000B1AE2" w:rsidP="000B1AE2">
      <w:pPr>
        <w:tabs>
          <w:tab w:val="left" w:pos="1560"/>
          <w:tab w:val="left" w:pos="6237"/>
        </w:tabs>
        <w:jc w:val="both"/>
        <w:rPr>
          <w:rFonts w:cs="Arial"/>
          <w:b/>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0B1AE2">
        <w:rPr>
          <w:rFonts w:cs="Arial"/>
          <w:b/>
          <w:sz w:val="16"/>
          <w:szCs w:val="16"/>
        </w:rPr>
        <w:t>Figure L.</w:t>
      </w:r>
      <w:r w:rsidR="00CD0699">
        <w:rPr>
          <w:rFonts w:cs="Arial"/>
          <w:b/>
          <w:sz w:val="16"/>
          <w:szCs w:val="16"/>
        </w:rPr>
        <w:t>2</w:t>
      </w:r>
      <w:r w:rsidRPr="000B1AE2">
        <w:rPr>
          <w:rFonts w:cs="Arial"/>
          <w:b/>
          <w:sz w:val="16"/>
          <w:szCs w:val="16"/>
        </w:rPr>
        <w:tab/>
        <w:t>Figure L.</w:t>
      </w:r>
      <w:r w:rsidR="00CD0699">
        <w:rPr>
          <w:rFonts w:cs="Arial"/>
          <w:b/>
          <w:sz w:val="16"/>
          <w:szCs w:val="16"/>
        </w:rPr>
        <w:t>3</w:t>
      </w:r>
    </w:p>
    <w:p w:rsidR="000B1AE2" w:rsidRPr="000B1AE2" w:rsidRDefault="000B1AE2" w:rsidP="000B1AE2">
      <w:pPr>
        <w:tabs>
          <w:tab w:val="left" w:pos="426"/>
          <w:tab w:val="left" w:pos="5103"/>
        </w:tabs>
        <w:jc w:val="both"/>
        <w:rPr>
          <w:rFonts w:cs="Arial"/>
          <w:b/>
          <w:sz w:val="16"/>
          <w:szCs w:val="16"/>
        </w:rPr>
      </w:pPr>
      <w:r w:rsidRPr="000B1AE2">
        <w:rPr>
          <w:rFonts w:cs="Arial"/>
          <w:b/>
          <w:sz w:val="16"/>
          <w:szCs w:val="16"/>
        </w:rPr>
        <w:tab/>
      </w:r>
      <w:r>
        <w:rPr>
          <w:rFonts w:cs="Arial"/>
          <w:b/>
          <w:sz w:val="16"/>
          <w:szCs w:val="16"/>
        </w:rPr>
        <w:t>I</w:t>
      </w:r>
      <w:r w:rsidRPr="000B1AE2">
        <w:rPr>
          <w:rFonts w:cs="Arial"/>
          <w:b/>
          <w:sz w:val="16"/>
          <w:szCs w:val="16"/>
        </w:rPr>
        <w:t>mmobility: in same decile in w5 as in w1</w:t>
      </w:r>
      <w:r>
        <w:rPr>
          <w:rFonts w:cs="Arial"/>
          <w:b/>
          <w:sz w:val="16"/>
          <w:szCs w:val="16"/>
        </w:rPr>
        <w:tab/>
        <w:t>Upward mobility, at least one decile up, w1 - w5</w:t>
      </w:r>
    </w:p>
    <w:p w:rsidR="00164F8C" w:rsidRPr="004D38EE" w:rsidRDefault="00EC0BE0" w:rsidP="00164F8C">
      <w:pPr>
        <w:jc w:val="center"/>
      </w:pPr>
      <w:r>
        <w:rPr>
          <w:noProof/>
          <w:lang w:val="en-US"/>
        </w:rPr>
        <w:drawing>
          <wp:anchor distT="0" distB="0" distL="114300" distR="114300" simplePos="0" relativeHeight="251668992" behindDoc="0" locked="0" layoutInCell="1" allowOverlap="1">
            <wp:simplePos x="0" y="0"/>
            <wp:positionH relativeFrom="column">
              <wp:posOffset>-100330</wp:posOffset>
            </wp:positionH>
            <wp:positionV relativeFrom="paragraph">
              <wp:posOffset>53340</wp:posOffset>
            </wp:positionV>
            <wp:extent cx="2338705" cy="1438275"/>
            <wp:effectExtent l="0" t="0" r="444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7"/>
                    <a:srcRect/>
                    <a:stretch>
                      <a:fillRect/>
                    </a:stretch>
                  </pic:blipFill>
                  <pic:spPr bwMode="auto">
                    <a:xfrm>
                      <a:off x="0" y="0"/>
                      <a:ext cx="2338705" cy="14382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0016" behindDoc="0" locked="0" layoutInCell="1" allowOverlap="1">
            <wp:simplePos x="0" y="0"/>
            <wp:positionH relativeFrom="column">
              <wp:posOffset>3068320</wp:posOffset>
            </wp:positionH>
            <wp:positionV relativeFrom="paragraph">
              <wp:posOffset>66040</wp:posOffset>
            </wp:positionV>
            <wp:extent cx="2286000" cy="140970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8"/>
                    <a:srcRect/>
                    <a:stretch>
                      <a:fillRect/>
                    </a:stretch>
                  </pic:blipFill>
                  <pic:spPr bwMode="auto">
                    <a:xfrm>
                      <a:off x="0" y="0"/>
                      <a:ext cx="2286000" cy="1409700"/>
                    </a:xfrm>
                    <a:prstGeom prst="rect">
                      <a:avLst/>
                    </a:prstGeom>
                    <a:noFill/>
                    <a:ln w="9525">
                      <a:noFill/>
                      <a:miter lim="800000"/>
                      <a:headEnd/>
                      <a:tailEnd/>
                    </a:ln>
                  </pic:spPr>
                </pic:pic>
              </a:graphicData>
            </a:graphic>
          </wp:anchor>
        </w:drawing>
      </w:r>
    </w:p>
    <w:p w:rsidR="00164F8C" w:rsidRDefault="00164F8C" w:rsidP="00164F8C">
      <w:pPr>
        <w:jc w:val="center"/>
        <w:rPr>
          <w:rFonts w:cs="Arial"/>
          <w:sz w:val="16"/>
          <w:szCs w:val="16"/>
        </w:rPr>
      </w:pPr>
    </w:p>
    <w:p w:rsidR="000B1AE2" w:rsidRDefault="000B1AE2" w:rsidP="00164F8C">
      <w:pPr>
        <w:jc w:val="center"/>
        <w:rPr>
          <w:rFonts w:cs="Arial"/>
          <w:sz w:val="16"/>
          <w:szCs w:val="16"/>
        </w:rPr>
      </w:pPr>
    </w:p>
    <w:p w:rsidR="000B1AE2" w:rsidRPr="000B1AE2" w:rsidRDefault="000B1AE2" w:rsidP="00164F8C">
      <w:pPr>
        <w:jc w:val="center"/>
        <w:rPr>
          <w:rFonts w:cs="Arial"/>
          <w:sz w:val="16"/>
          <w:szCs w:val="16"/>
        </w:rPr>
      </w:pPr>
    </w:p>
    <w:p w:rsidR="00164F8C" w:rsidRDefault="00164F8C" w:rsidP="00164F8C">
      <w:pPr>
        <w:jc w:val="center"/>
        <w:rPr>
          <w:rFonts w:cs="Arial"/>
          <w:b/>
          <w:sz w:val="18"/>
          <w:szCs w:val="18"/>
        </w:rPr>
      </w:pPr>
    </w:p>
    <w:p w:rsidR="000B1AE2" w:rsidRDefault="000B1AE2" w:rsidP="00164F8C">
      <w:pPr>
        <w:jc w:val="center"/>
        <w:rPr>
          <w:rFonts w:cs="Arial"/>
          <w:b/>
          <w:sz w:val="18"/>
          <w:szCs w:val="18"/>
        </w:rPr>
      </w:pPr>
    </w:p>
    <w:p w:rsidR="000B1AE2" w:rsidRDefault="000B1AE2" w:rsidP="00164F8C">
      <w:pPr>
        <w:jc w:val="center"/>
        <w:rPr>
          <w:rFonts w:cs="Arial"/>
          <w:b/>
          <w:sz w:val="18"/>
          <w:szCs w:val="18"/>
        </w:rPr>
      </w:pPr>
    </w:p>
    <w:p w:rsidR="000B1AE2" w:rsidRDefault="000B1AE2" w:rsidP="00164F8C">
      <w:pPr>
        <w:jc w:val="center"/>
        <w:rPr>
          <w:rFonts w:cs="Arial"/>
          <w:b/>
          <w:sz w:val="18"/>
          <w:szCs w:val="18"/>
        </w:rPr>
      </w:pPr>
    </w:p>
    <w:p w:rsidR="000B1AE2" w:rsidRDefault="000B1AE2" w:rsidP="00164F8C">
      <w:pPr>
        <w:jc w:val="center"/>
        <w:rPr>
          <w:rFonts w:cs="Arial"/>
          <w:b/>
          <w:sz w:val="18"/>
          <w:szCs w:val="18"/>
        </w:rPr>
      </w:pPr>
    </w:p>
    <w:p w:rsidR="000B1AE2" w:rsidRDefault="000B1AE2" w:rsidP="00164F8C">
      <w:pPr>
        <w:jc w:val="center"/>
        <w:rPr>
          <w:rFonts w:cs="Arial"/>
          <w:b/>
          <w:sz w:val="18"/>
          <w:szCs w:val="18"/>
        </w:rPr>
      </w:pPr>
    </w:p>
    <w:p w:rsidR="000B1AE2" w:rsidRDefault="000B1AE2" w:rsidP="00164F8C">
      <w:pPr>
        <w:jc w:val="center"/>
        <w:rPr>
          <w:rFonts w:cs="Arial"/>
          <w:b/>
          <w:sz w:val="18"/>
          <w:szCs w:val="18"/>
        </w:rPr>
      </w:pPr>
    </w:p>
    <w:p w:rsidR="005507DE" w:rsidRDefault="005507DE" w:rsidP="005507DE">
      <w:pPr>
        <w:jc w:val="center"/>
        <w:rPr>
          <w:rFonts w:cs="Arial"/>
          <w:sz w:val="16"/>
          <w:szCs w:val="16"/>
        </w:rPr>
      </w:pPr>
    </w:p>
    <w:p w:rsidR="000B1AE2" w:rsidRDefault="000B1AE2" w:rsidP="005507DE">
      <w:pPr>
        <w:jc w:val="center"/>
        <w:rPr>
          <w:rFonts w:cs="Arial"/>
          <w:sz w:val="16"/>
          <w:szCs w:val="16"/>
        </w:rPr>
      </w:pPr>
      <w:r w:rsidRPr="004D38EE">
        <w:rPr>
          <w:rFonts w:cs="Arial"/>
          <w:sz w:val="16"/>
          <w:szCs w:val="16"/>
        </w:rPr>
        <w:t>Source: Fig</w:t>
      </w:r>
      <w:r>
        <w:rPr>
          <w:rFonts w:cs="Arial"/>
          <w:sz w:val="16"/>
          <w:szCs w:val="16"/>
        </w:rPr>
        <w:t>s</w:t>
      </w:r>
      <w:r w:rsidRPr="004D38EE">
        <w:rPr>
          <w:rFonts w:cs="Arial"/>
          <w:sz w:val="16"/>
          <w:szCs w:val="16"/>
        </w:rPr>
        <w:t xml:space="preserve"> 2 </w:t>
      </w:r>
      <w:r>
        <w:rPr>
          <w:rFonts w:cs="Arial"/>
          <w:sz w:val="16"/>
          <w:szCs w:val="16"/>
        </w:rPr>
        <w:t>&amp;</w:t>
      </w:r>
      <w:r w:rsidRPr="004D38EE">
        <w:rPr>
          <w:rFonts w:cs="Arial"/>
          <w:sz w:val="16"/>
          <w:szCs w:val="16"/>
        </w:rPr>
        <w:t xml:space="preserve"> 3 in Chen (2009), and Table </w:t>
      </w:r>
      <w:r>
        <w:rPr>
          <w:rFonts w:cs="Arial"/>
          <w:sz w:val="16"/>
          <w:szCs w:val="16"/>
        </w:rPr>
        <w:t>A.3.</w:t>
      </w:r>
    </w:p>
    <w:p w:rsidR="005507DE" w:rsidRDefault="005507DE" w:rsidP="00164F8C">
      <w:pPr>
        <w:rPr>
          <w:rFonts w:cs="Arial"/>
          <w:sz w:val="20"/>
        </w:rPr>
      </w:pPr>
    </w:p>
    <w:p w:rsidR="005507DE" w:rsidRDefault="005507DE" w:rsidP="00164F8C">
      <w:pPr>
        <w:rPr>
          <w:rFonts w:cs="Arial"/>
          <w:sz w:val="20"/>
        </w:rPr>
      </w:pPr>
    </w:p>
    <w:p w:rsidR="00164F8C" w:rsidRDefault="00164F8C" w:rsidP="00721D7A">
      <w:pPr>
        <w:jc w:val="both"/>
        <w:rPr>
          <w:rFonts w:cs="Arial"/>
          <w:sz w:val="20"/>
        </w:rPr>
      </w:pPr>
      <w:r>
        <w:rPr>
          <w:rFonts w:cs="Arial"/>
          <w:sz w:val="20"/>
        </w:rPr>
        <w:t xml:space="preserve">For Great Britain Jenkins (2011, Table 5.1) reports that for 1991-1998 (using BHPS data) 54% remained in the same decile as they started in or were in an immediately adjacent decile.  Jenkins refers to this as an ‘immobility index’.  The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figure for seven waves was 53%.  </w:t>
      </w:r>
    </w:p>
    <w:p w:rsidR="00BC5C99" w:rsidRPr="00BC5C99" w:rsidRDefault="00BC5C99" w:rsidP="00BC5C99">
      <w:pPr>
        <w:ind w:right="28"/>
        <w:jc w:val="both"/>
        <w:rPr>
          <w:sz w:val="20"/>
          <w:lang w:val="en-NZ"/>
        </w:rPr>
      </w:pPr>
      <w:r w:rsidRPr="00BC5C99">
        <w:rPr>
          <w:rFonts w:cs="Arial"/>
          <w:b/>
          <w:sz w:val="20"/>
        </w:rPr>
        <w:lastRenderedPageBreak/>
        <w:t>Table L.7</w:t>
      </w:r>
      <w:r w:rsidRPr="00BC5C99">
        <w:rPr>
          <w:rFonts w:cs="Arial"/>
          <w:sz w:val="20"/>
        </w:rPr>
        <w:t xml:space="preserve"> repeats Table L.6, this time limiting the respondents to those aged </w:t>
      </w:r>
      <w:r>
        <w:rPr>
          <w:rFonts w:cs="Arial"/>
          <w:sz w:val="20"/>
        </w:rPr>
        <w:t>under 58</w:t>
      </w:r>
      <w:r w:rsidRPr="00BC5C99">
        <w:rPr>
          <w:rFonts w:cs="Arial"/>
          <w:sz w:val="20"/>
        </w:rPr>
        <w:t xml:space="preserve"> years.  </w:t>
      </w:r>
      <w:r w:rsidRPr="00BC5C99">
        <w:rPr>
          <w:sz w:val="20"/>
          <w:lang w:val="en-NZ"/>
        </w:rPr>
        <w:t xml:space="preserve">By removing those </w:t>
      </w:r>
      <w:r w:rsidR="006C15BF">
        <w:rPr>
          <w:sz w:val="20"/>
          <w:lang w:val="en-NZ"/>
        </w:rPr>
        <w:t xml:space="preserve">who were </w:t>
      </w:r>
      <w:r w:rsidRPr="00BC5C99">
        <w:rPr>
          <w:sz w:val="20"/>
          <w:lang w:val="en-NZ"/>
        </w:rPr>
        <w:t>aged 58+</w:t>
      </w:r>
      <w:r w:rsidR="00160D3B">
        <w:rPr>
          <w:sz w:val="20"/>
          <w:lang w:val="en-NZ"/>
        </w:rPr>
        <w:t xml:space="preserve"> in wave one</w:t>
      </w:r>
      <w:r w:rsidRPr="00BC5C99">
        <w:rPr>
          <w:sz w:val="20"/>
          <w:lang w:val="en-NZ"/>
        </w:rPr>
        <w:t xml:space="preserve">, the impact on the reported transitions of those whose incomes drop significantly when they ‘retire’, and of those aged 65+ on relatively fixed incomes, is eliminated. </w:t>
      </w:r>
      <w:r>
        <w:rPr>
          <w:sz w:val="20"/>
          <w:lang w:val="en-NZ"/>
        </w:rPr>
        <w:t xml:space="preserve"> The deciles used in Table L.7 are population deciles, not the deciles for the group aged under 58 years.  The m</w:t>
      </w:r>
      <w:r w:rsidRPr="00BC5C99">
        <w:rPr>
          <w:sz w:val="20"/>
          <w:lang w:val="en-NZ"/>
        </w:rPr>
        <w:t>ain impact</w:t>
      </w:r>
      <w:r w:rsidR="00160D3B">
        <w:rPr>
          <w:sz w:val="20"/>
          <w:lang w:val="en-NZ"/>
        </w:rPr>
        <w:t xml:space="preserve"> of removing those aged 58+</w:t>
      </w:r>
      <w:r w:rsidRPr="00BC5C99">
        <w:rPr>
          <w:sz w:val="20"/>
          <w:lang w:val="en-NZ"/>
        </w:rPr>
        <w:t xml:space="preserve"> is on deciles 2 and 3</w:t>
      </w:r>
      <w:r w:rsidR="006C15BF">
        <w:rPr>
          <w:sz w:val="20"/>
          <w:lang w:val="en-NZ"/>
        </w:rPr>
        <w:t xml:space="preserve"> (higher percentage of those under 58 years move out).  </w:t>
      </w:r>
      <w:r w:rsidRPr="00BC5C99">
        <w:rPr>
          <w:sz w:val="20"/>
          <w:lang w:val="en-NZ"/>
        </w:rPr>
        <w:t xml:space="preserve"> </w:t>
      </w:r>
      <w:r w:rsidR="006C15BF">
        <w:rPr>
          <w:sz w:val="20"/>
          <w:lang w:val="en-NZ"/>
        </w:rPr>
        <w:t>A</w:t>
      </w:r>
      <w:r w:rsidRPr="00BC5C99">
        <w:rPr>
          <w:sz w:val="20"/>
          <w:lang w:val="en-NZ"/>
        </w:rPr>
        <w:t xml:space="preserve"> slightly higher </w:t>
      </w:r>
      <w:r w:rsidR="006C15BF">
        <w:rPr>
          <w:sz w:val="20"/>
          <w:lang w:val="en-NZ"/>
        </w:rPr>
        <w:t>proportion</w:t>
      </w:r>
      <w:r w:rsidRPr="00BC5C99">
        <w:rPr>
          <w:sz w:val="20"/>
          <w:lang w:val="en-NZ"/>
        </w:rPr>
        <w:t xml:space="preserve"> remain at the top (deciles 9 and 10)</w:t>
      </w:r>
      <w:r w:rsidR="00160D3B">
        <w:rPr>
          <w:sz w:val="20"/>
          <w:lang w:val="en-NZ"/>
        </w:rPr>
        <w:t>.</w:t>
      </w:r>
    </w:p>
    <w:p w:rsidR="00BC5C99" w:rsidRDefault="00BC5C99" w:rsidP="00BC5C99">
      <w:pPr>
        <w:jc w:val="both"/>
        <w:rPr>
          <w:rFonts w:cs="Arial"/>
          <w:sz w:val="20"/>
        </w:rPr>
      </w:pPr>
    </w:p>
    <w:p w:rsidR="00AD267F" w:rsidRPr="00A704B4" w:rsidRDefault="00AD267F" w:rsidP="00AD267F">
      <w:pPr>
        <w:jc w:val="center"/>
        <w:rPr>
          <w:rFonts w:cs="Arial"/>
          <w:b/>
          <w:sz w:val="18"/>
          <w:szCs w:val="18"/>
        </w:rPr>
      </w:pPr>
      <w:r w:rsidRPr="00A704B4">
        <w:rPr>
          <w:rFonts w:cs="Arial"/>
          <w:b/>
          <w:sz w:val="18"/>
          <w:szCs w:val="18"/>
        </w:rPr>
        <w:t xml:space="preserve">Table </w:t>
      </w:r>
      <w:r>
        <w:rPr>
          <w:rFonts w:cs="Arial"/>
          <w:b/>
          <w:sz w:val="18"/>
          <w:szCs w:val="18"/>
        </w:rPr>
        <w:t>L.</w:t>
      </w:r>
      <w:r w:rsidR="00BC5C99">
        <w:rPr>
          <w:rFonts w:cs="Arial"/>
          <w:b/>
          <w:sz w:val="18"/>
          <w:szCs w:val="18"/>
        </w:rPr>
        <w:t>7</w:t>
      </w:r>
    </w:p>
    <w:p w:rsidR="00AD267F" w:rsidRPr="00A704B4" w:rsidRDefault="00AD267F" w:rsidP="00AD267F">
      <w:pPr>
        <w:jc w:val="center"/>
        <w:rPr>
          <w:rFonts w:cs="Arial"/>
          <w:b/>
          <w:sz w:val="18"/>
          <w:szCs w:val="18"/>
        </w:rPr>
      </w:pPr>
      <w:r w:rsidRPr="00A704B4">
        <w:rPr>
          <w:rFonts w:cs="Arial"/>
          <w:b/>
          <w:sz w:val="18"/>
          <w:szCs w:val="18"/>
        </w:rPr>
        <w:t xml:space="preserve">Income decile transition probabilities (%) from </w:t>
      </w:r>
      <w:r>
        <w:rPr>
          <w:rFonts w:cs="Arial"/>
          <w:b/>
          <w:sz w:val="18"/>
          <w:szCs w:val="18"/>
        </w:rPr>
        <w:t>w</w:t>
      </w:r>
      <w:r w:rsidRPr="00A704B4">
        <w:rPr>
          <w:rFonts w:cs="Arial"/>
          <w:b/>
          <w:sz w:val="18"/>
          <w:szCs w:val="18"/>
        </w:rPr>
        <w:t xml:space="preserve">1 to </w:t>
      </w:r>
      <w:r>
        <w:rPr>
          <w:rFonts w:cs="Arial"/>
          <w:b/>
          <w:sz w:val="18"/>
          <w:szCs w:val="18"/>
        </w:rPr>
        <w:t>w</w:t>
      </w:r>
      <w:r w:rsidRPr="00A704B4">
        <w:rPr>
          <w:rFonts w:cs="Arial"/>
          <w:b/>
          <w:sz w:val="18"/>
          <w:szCs w:val="18"/>
        </w:rPr>
        <w:t>7:</w:t>
      </w:r>
    </w:p>
    <w:p w:rsidR="00AD267F" w:rsidRPr="00A704B4" w:rsidRDefault="00AD267F" w:rsidP="00AD267F">
      <w:pPr>
        <w:spacing w:after="120"/>
        <w:jc w:val="center"/>
        <w:rPr>
          <w:rFonts w:cs="Arial"/>
          <w:b/>
          <w:sz w:val="18"/>
          <w:szCs w:val="18"/>
        </w:rPr>
      </w:pPr>
      <w:r w:rsidRPr="00A704B4">
        <w:rPr>
          <w:rFonts w:cs="Arial"/>
          <w:b/>
          <w:sz w:val="18"/>
          <w:szCs w:val="18"/>
        </w:rPr>
        <w:t>2002 to 200</w:t>
      </w:r>
      <w:r>
        <w:rPr>
          <w:rFonts w:cs="Arial"/>
          <w:b/>
          <w:sz w:val="18"/>
          <w:szCs w:val="18"/>
        </w:rPr>
        <w:t>8</w:t>
      </w:r>
      <w:r w:rsidRPr="00A704B4">
        <w:rPr>
          <w:rFonts w:cs="Arial"/>
          <w:b/>
          <w:sz w:val="18"/>
          <w:szCs w:val="18"/>
        </w:rPr>
        <w:t xml:space="preserve">, </w:t>
      </w:r>
      <w:r>
        <w:rPr>
          <w:rFonts w:cs="Arial"/>
          <w:b/>
          <w:sz w:val="18"/>
          <w:szCs w:val="18"/>
        </w:rPr>
        <w:t>respondents aged 0-57 years</w:t>
      </w:r>
      <w:r w:rsidR="00160D3B">
        <w:rPr>
          <w:rFonts w:cs="Arial"/>
          <w:b/>
          <w:sz w:val="18"/>
          <w:szCs w:val="18"/>
        </w:rPr>
        <w:t xml:space="preserve"> in w1</w:t>
      </w:r>
    </w:p>
    <w:tbl>
      <w:tblPr>
        <w:tblStyle w:val="TableGrid"/>
        <w:tblW w:w="0" w:type="auto"/>
        <w:jc w:val="center"/>
        <w:tblLayout w:type="fixed"/>
        <w:tblLook w:val="01E0"/>
      </w:tblPr>
      <w:tblGrid>
        <w:gridCol w:w="654"/>
        <w:gridCol w:w="432"/>
        <w:gridCol w:w="516"/>
        <w:gridCol w:w="517"/>
        <w:gridCol w:w="517"/>
        <w:gridCol w:w="517"/>
        <w:gridCol w:w="517"/>
        <w:gridCol w:w="517"/>
        <w:gridCol w:w="517"/>
        <w:gridCol w:w="517"/>
        <w:gridCol w:w="517"/>
        <w:gridCol w:w="517"/>
      </w:tblGrid>
      <w:tr w:rsidR="00AD267F" w:rsidRPr="00023C09">
        <w:trPr>
          <w:jc w:val="center"/>
        </w:trPr>
        <w:tc>
          <w:tcPr>
            <w:tcW w:w="654" w:type="dxa"/>
          </w:tcPr>
          <w:p w:rsidR="00AD267F" w:rsidRPr="00023C09" w:rsidRDefault="00AD267F" w:rsidP="00FA43BA">
            <w:pPr>
              <w:spacing w:before="40" w:after="40"/>
              <w:rPr>
                <w:rFonts w:cs="Arial"/>
                <w:sz w:val="14"/>
                <w:szCs w:val="16"/>
              </w:rPr>
            </w:pPr>
          </w:p>
        </w:tc>
        <w:tc>
          <w:tcPr>
            <w:tcW w:w="432" w:type="dxa"/>
          </w:tcPr>
          <w:p w:rsidR="00AD267F" w:rsidRPr="00023C09" w:rsidRDefault="00AD267F" w:rsidP="00FA43BA">
            <w:pPr>
              <w:spacing w:before="40" w:after="40"/>
              <w:rPr>
                <w:rFonts w:cs="Arial"/>
                <w:sz w:val="14"/>
                <w:szCs w:val="16"/>
              </w:rPr>
            </w:pPr>
          </w:p>
        </w:tc>
        <w:tc>
          <w:tcPr>
            <w:tcW w:w="5169" w:type="dxa"/>
            <w:gridSpan w:val="10"/>
          </w:tcPr>
          <w:p w:rsidR="00AD267F" w:rsidRPr="00023C09" w:rsidRDefault="00AD267F" w:rsidP="00FA43BA">
            <w:pPr>
              <w:spacing w:before="40" w:after="40"/>
              <w:jc w:val="center"/>
              <w:rPr>
                <w:rFonts w:cs="Arial"/>
                <w:b/>
                <w:sz w:val="14"/>
                <w:szCs w:val="16"/>
              </w:rPr>
            </w:pPr>
            <w:r w:rsidRPr="00023C09">
              <w:rPr>
                <w:rFonts w:cs="Arial"/>
                <w:b/>
                <w:sz w:val="14"/>
                <w:szCs w:val="16"/>
              </w:rPr>
              <w:t>Decile in w7 (2008)</w:t>
            </w:r>
          </w:p>
        </w:tc>
      </w:tr>
      <w:tr w:rsidR="00AD267F" w:rsidRPr="00023C09">
        <w:trPr>
          <w:jc w:val="center"/>
        </w:trPr>
        <w:tc>
          <w:tcPr>
            <w:tcW w:w="654" w:type="dxa"/>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rPr>
                <w:rFonts w:cs="Arial"/>
                <w:sz w:val="14"/>
                <w:szCs w:val="16"/>
              </w:rPr>
            </w:pPr>
          </w:p>
        </w:tc>
        <w:tc>
          <w:tcPr>
            <w:tcW w:w="516" w:type="dxa"/>
            <w:tcBorders>
              <w:bottom w:val="single" w:sz="4" w:space="0" w:color="auto"/>
            </w:tcBorders>
            <w:vAlign w:val="center"/>
          </w:tcPr>
          <w:p w:rsidR="00AD267F" w:rsidRPr="00023C09" w:rsidRDefault="00AD267F" w:rsidP="00FA43BA">
            <w:pPr>
              <w:spacing w:before="40" w:after="40"/>
              <w:jc w:val="center"/>
              <w:rPr>
                <w:rFonts w:cs="Arial"/>
                <w:sz w:val="14"/>
                <w:szCs w:val="16"/>
              </w:rPr>
            </w:pPr>
            <w:r w:rsidRPr="00023C09">
              <w:rPr>
                <w:rFonts w:cs="Arial"/>
                <w:sz w:val="14"/>
                <w:szCs w:val="16"/>
              </w:rPr>
              <w:t>1</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2</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3</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4</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5</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6</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7</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8</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9</w:t>
            </w:r>
          </w:p>
        </w:tc>
        <w:tc>
          <w:tcPr>
            <w:tcW w:w="517"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10</w:t>
            </w:r>
          </w:p>
        </w:tc>
      </w:tr>
      <w:tr w:rsidR="00AD267F" w:rsidRPr="00023C09">
        <w:trPr>
          <w:jc w:val="center"/>
        </w:trPr>
        <w:tc>
          <w:tcPr>
            <w:tcW w:w="654" w:type="dxa"/>
            <w:vMerge w:val="restart"/>
            <w:vAlign w:val="center"/>
          </w:tcPr>
          <w:p w:rsidR="00AD267F" w:rsidRPr="00023C09" w:rsidRDefault="00AD267F" w:rsidP="00FA43BA">
            <w:pPr>
              <w:spacing w:before="40" w:after="40"/>
              <w:jc w:val="center"/>
              <w:rPr>
                <w:rFonts w:cs="Arial"/>
                <w:b/>
                <w:sz w:val="14"/>
                <w:szCs w:val="16"/>
              </w:rPr>
            </w:pPr>
            <w:r w:rsidRPr="00023C09">
              <w:rPr>
                <w:rFonts w:cs="Arial"/>
                <w:b/>
                <w:sz w:val="14"/>
                <w:szCs w:val="16"/>
              </w:rPr>
              <w:t>Decile in w1 (2002)</w:t>
            </w: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1</w:t>
            </w:r>
          </w:p>
        </w:tc>
        <w:tc>
          <w:tcPr>
            <w:tcW w:w="516" w:type="dxa"/>
            <w:shd w:val="clear" w:color="auto" w:fill="CCCCCC"/>
            <w:vAlign w:val="center"/>
          </w:tcPr>
          <w:p w:rsidR="00AD267F" w:rsidRPr="00023C09" w:rsidRDefault="00EE77C9" w:rsidP="00FA43BA">
            <w:pPr>
              <w:spacing w:before="40" w:after="40"/>
              <w:jc w:val="center"/>
              <w:rPr>
                <w:rFonts w:cs="Arial"/>
                <w:b/>
                <w:sz w:val="14"/>
                <w:szCs w:val="16"/>
              </w:rPr>
            </w:pPr>
            <w:r>
              <w:rPr>
                <w:rFonts w:cs="Arial"/>
                <w:b/>
                <w:sz w:val="14"/>
                <w:szCs w:val="16"/>
              </w:rPr>
              <w:t>26</w:t>
            </w:r>
          </w:p>
        </w:tc>
        <w:tc>
          <w:tcPr>
            <w:tcW w:w="517" w:type="dxa"/>
            <w:tcBorders>
              <w:bottom w:val="single" w:sz="4" w:space="0" w:color="auto"/>
            </w:tcBorders>
            <w:vAlign w:val="center"/>
          </w:tcPr>
          <w:p w:rsidR="00AD267F" w:rsidRPr="00023C09" w:rsidRDefault="00EE77C9" w:rsidP="00FA43BA">
            <w:pPr>
              <w:spacing w:before="40" w:after="40"/>
              <w:jc w:val="center"/>
              <w:rPr>
                <w:rFonts w:cs="Arial"/>
                <w:sz w:val="14"/>
                <w:szCs w:val="16"/>
              </w:rPr>
            </w:pPr>
            <w:r>
              <w:rPr>
                <w:rFonts w:cs="Arial"/>
                <w:sz w:val="14"/>
                <w:szCs w:val="16"/>
              </w:rPr>
              <w:t>18</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13</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13</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7</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4</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A14ABB">
            <w:pPr>
              <w:spacing w:before="40" w:after="40"/>
              <w:jc w:val="center"/>
              <w:rPr>
                <w:rFonts w:cs="Arial"/>
                <w:sz w:val="14"/>
                <w:szCs w:val="16"/>
              </w:rPr>
            </w:pPr>
            <w:r w:rsidRPr="00023C09">
              <w:rPr>
                <w:rFonts w:cs="Arial"/>
                <w:sz w:val="14"/>
                <w:szCs w:val="16"/>
              </w:rPr>
              <w:t>2</w:t>
            </w:r>
          </w:p>
        </w:tc>
        <w:tc>
          <w:tcPr>
            <w:tcW w:w="516" w:type="dxa"/>
            <w:vAlign w:val="center"/>
          </w:tcPr>
          <w:p w:rsidR="00AD267F" w:rsidRPr="00023C09" w:rsidRDefault="00EE77C9" w:rsidP="00A14ABB">
            <w:pPr>
              <w:spacing w:before="40" w:after="40"/>
              <w:jc w:val="center"/>
              <w:rPr>
                <w:rFonts w:cs="Arial"/>
                <w:sz w:val="14"/>
                <w:szCs w:val="16"/>
              </w:rPr>
            </w:pPr>
            <w:r>
              <w:rPr>
                <w:rFonts w:cs="Arial"/>
                <w:sz w:val="14"/>
                <w:szCs w:val="16"/>
              </w:rPr>
              <w:t>22</w:t>
            </w:r>
          </w:p>
        </w:tc>
        <w:tc>
          <w:tcPr>
            <w:tcW w:w="517" w:type="dxa"/>
            <w:shd w:val="clear" w:color="auto" w:fill="CCCCCC"/>
            <w:vAlign w:val="center"/>
          </w:tcPr>
          <w:p w:rsidR="00AD267F" w:rsidRPr="00023C09" w:rsidRDefault="00EE77C9" w:rsidP="00A14ABB">
            <w:pPr>
              <w:spacing w:before="40" w:after="40"/>
              <w:jc w:val="center"/>
              <w:rPr>
                <w:rFonts w:cs="Arial"/>
                <w:b/>
                <w:sz w:val="14"/>
                <w:szCs w:val="16"/>
              </w:rPr>
            </w:pPr>
            <w:r>
              <w:rPr>
                <w:rFonts w:cs="Arial"/>
                <w:b/>
                <w:sz w:val="14"/>
                <w:szCs w:val="16"/>
              </w:rPr>
              <w:t>18</w:t>
            </w:r>
          </w:p>
        </w:tc>
        <w:tc>
          <w:tcPr>
            <w:tcW w:w="517" w:type="dxa"/>
            <w:tcBorders>
              <w:bottom w:val="single" w:sz="4" w:space="0" w:color="auto"/>
            </w:tcBorders>
            <w:vAlign w:val="center"/>
          </w:tcPr>
          <w:p w:rsidR="00AD267F" w:rsidRPr="00023C09" w:rsidRDefault="00A14ABB" w:rsidP="00A14ABB">
            <w:pPr>
              <w:spacing w:before="40" w:after="40"/>
              <w:jc w:val="center"/>
              <w:rPr>
                <w:rFonts w:cs="Arial"/>
                <w:sz w:val="14"/>
                <w:szCs w:val="16"/>
              </w:rPr>
            </w:pPr>
            <w:r>
              <w:rPr>
                <w:rFonts w:cs="Arial"/>
                <w:sz w:val="14"/>
                <w:szCs w:val="16"/>
              </w:rPr>
              <w:t>16</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14</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11</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1</w:t>
            </w:r>
          </w:p>
        </w:tc>
        <w:tc>
          <w:tcPr>
            <w:tcW w:w="517" w:type="dxa"/>
            <w:vAlign w:val="center"/>
          </w:tcPr>
          <w:p w:rsidR="00AD267F" w:rsidRPr="00023C09" w:rsidRDefault="00A14ABB" w:rsidP="00A14ABB">
            <w:pPr>
              <w:spacing w:before="40" w:after="40"/>
              <w:jc w:val="center"/>
              <w:rPr>
                <w:rFonts w:cs="Arial"/>
                <w:sz w:val="14"/>
                <w:szCs w:val="16"/>
              </w:rPr>
            </w:pPr>
            <w:r>
              <w:rPr>
                <w:rFonts w:cs="Arial"/>
                <w:sz w:val="14"/>
                <w:szCs w:val="16"/>
              </w:rPr>
              <w:t>1</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3</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12</w:t>
            </w:r>
          </w:p>
        </w:tc>
        <w:tc>
          <w:tcPr>
            <w:tcW w:w="517" w:type="dxa"/>
            <w:vAlign w:val="center"/>
          </w:tcPr>
          <w:p w:rsidR="00AD267F" w:rsidRPr="00023C09" w:rsidRDefault="00EE77C9" w:rsidP="00FA43BA">
            <w:pPr>
              <w:spacing w:before="40" w:after="40"/>
              <w:jc w:val="center"/>
              <w:rPr>
                <w:rFonts w:cs="Arial"/>
                <w:sz w:val="14"/>
                <w:szCs w:val="16"/>
              </w:rPr>
            </w:pPr>
            <w:r>
              <w:rPr>
                <w:rFonts w:cs="Arial"/>
                <w:sz w:val="14"/>
                <w:szCs w:val="16"/>
              </w:rPr>
              <w:t>13</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16</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18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2</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4</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10</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11</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17</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15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11</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7</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2</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5</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12</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19</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17</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11</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11</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6</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13</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14</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18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7</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7</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14</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17</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18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8</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9</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15</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19</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20</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11</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9</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2</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8</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10</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15</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27</w:t>
            </w:r>
          </w:p>
        </w:tc>
        <w:tc>
          <w:tcPr>
            <w:tcW w:w="517" w:type="dxa"/>
            <w:tcBorders>
              <w:bottom w:val="single" w:sz="4" w:space="0" w:color="auto"/>
            </w:tcBorders>
            <w:vAlign w:val="center"/>
          </w:tcPr>
          <w:p w:rsidR="00AD267F" w:rsidRPr="00023C09" w:rsidRDefault="00A14ABB" w:rsidP="00FA43BA">
            <w:pPr>
              <w:spacing w:before="40" w:after="40"/>
              <w:jc w:val="center"/>
              <w:rPr>
                <w:rFonts w:cs="Arial"/>
                <w:sz w:val="14"/>
                <w:szCs w:val="16"/>
              </w:rPr>
            </w:pPr>
            <w:r>
              <w:rPr>
                <w:rFonts w:cs="Arial"/>
                <w:sz w:val="14"/>
                <w:szCs w:val="16"/>
              </w:rPr>
              <w:t>22</w:t>
            </w:r>
          </w:p>
        </w:tc>
      </w:tr>
      <w:tr w:rsidR="00AD267F" w:rsidRPr="00023C09">
        <w:trPr>
          <w:jc w:val="center"/>
        </w:trPr>
        <w:tc>
          <w:tcPr>
            <w:tcW w:w="654" w:type="dxa"/>
            <w:vMerge/>
          </w:tcPr>
          <w:p w:rsidR="00AD267F" w:rsidRPr="00023C09" w:rsidRDefault="00AD267F" w:rsidP="00FA43BA">
            <w:pPr>
              <w:spacing w:before="40" w:after="40"/>
              <w:rPr>
                <w:rFonts w:cs="Arial"/>
                <w:sz w:val="14"/>
                <w:szCs w:val="16"/>
              </w:rPr>
            </w:pPr>
          </w:p>
        </w:tc>
        <w:tc>
          <w:tcPr>
            <w:tcW w:w="432" w:type="dxa"/>
            <w:vAlign w:val="center"/>
          </w:tcPr>
          <w:p w:rsidR="00AD267F" w:rsidRPr="00023C09" w:rsidRDefault="00AD267F" w:rsidP="00FA43BA">
            <w:pPr>
              <w:spacing w:before="40" w:after="40"/>
              <w:jc w:val="center"/>
              <w:rPr>
                <w:rFonts w:cs="Arial"/>
                <w:sz w:val="14"/>
                <w:szCs w:val="16"/>
              </w:rPr>
            </w:pPr>
            <w:r w:rsidRPr="00023C09">
              <w:rPr>
                <w:rFonts w:cs="Arial"/>
                <w:sz w:val="14"/>
                <w:szCs w:val="16"/>
              </w:rPr>
              <w:t>10</w:t>
            </w:r>
          </w:p>
        </w:tc>
        <w:tc>
          <w:tcPr>
            <w:tcW w:w="516" w:type="dxa"/>
            <w:vAlign w:val="center"/>
          </w:tcPr>
          <w:p w:rsidR="00AD267F" w:rsidRPr="00023C09" w:rsidRDefault="00EE77C9" w:rsidP="00FA43BA">
            <w:pPr>
              <w:spacing w:before="40" w:after="40"/>
              <w:jc w:val="center"/>
              <w:rPr>
                <w:rFonts w:cs="Arial"/>
                <w:sz w:val="14"/>
                <w:szCs w:val="16"/>
              </w:rPr>
            </w:pPr>
            <w:r>
              <w:rPr>
                <w:rFonts w:cs="Arial"/>
                <w:sz w:val="14"/>
                <w:szCs w:val="16"/>
              </w:rPr>
              <w:t>5</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2</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2</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3</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4</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6</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10</w:t>
            </w:r>
          </w:p>
        </w:tc>
        <w:tc>
          <w:tcPr>
            <w:tcW w:w="517" w:type="dxa"/>
            <w:vAlign w:val="center"/>
          </w:tcPr>
          <w:p w:rsidR="00AD267F" w:rsidRPr="00023C09" w:rsidRDefault="00A14ABB" w:rsidP="00FA43BA">
            <w:pPr>
              <w:spacing w:before="40" w:after="40"/>
              <w:jc w:val="center"/>
              <w:rPr>
                <w:rFonts w:cs="Arial"/>
                <w:sz w:val="14"/>
                <w:szCs w:val="16"/>
              </w:rPr>
            </w:pPr>
            <w:r>
              <w:rPr>
                <w:rFonts w:cs="Arial"/>
                <w:sz w:val="14"/>
                <w:szCs w:val="16"/>
              </w:rPr>
              <w:t>16</w:t>
            </w:r>
          </w:p>
        </w:tc>
        <w:tc>
          <w:tcPr>
            <w:tcW w:w="517" w:type="dxa"/>
            <w:shd w:val="clear" w:color="auto" w:fill="CCCCCC"/>
            <w:vAlign w:val="center"/>
          </w:tcPr>
          <w:p w:rsidR="00AD267F" w:rsidRPr="00023C09" w:rsidRDefault="00A14ABB" w:rsidP="00FA43BA">
            <w:pPr>
              <w:spacing w:before="40" w:after="40"/>
              <w:jc w:val="center"/>
              <w:rPr>
                <w:rFonts w:cs="Arial"/>
                <w:b/>
                <w:sz w:val="14"/>
                <w:szCs w:val="16"/>
              </w:rPr>
            </w:pPr>
            <w:r>
              <w:rPr>
                <w:rFonts w:cs="Arial"/>
                <w:b/>
                <w:sz w:val="14"/>
                <w:szCs w:val="16"/>
              </w:rPr>
              <w:t>47</w:t>
            </w:r>
          </w:p>
        </w:tc>
      </w:tr>
    </w:tbl>
    <w:p w:rsidR="00AD267F" w:rsidRDefault="00AD267F" w:rsidP="00AD267F">
      <w:pPr>
        <w:spacing w:before="60"/>
        <w:ind w:left="1267"/>
        <w:rPr>
          <w:rFonts w:cs="Arial"/>
          <w:sz w:val="20"/>
        </w:rPr>
      </w:pPr>
      <w:r>
        <w:rPr>
          <w:rFonts w:cs="Arial"/>
          <w:sz w:val="16"/>
          <w:szCs w:val="16"/>
        </w:rPr>
        <w:t>Source:  Unpublished table provided by UO.</w:t>
      </w:r>
    </w:p>
    <w:p w:rsidR="00AD267F" w:rsidRDefault="00AD267F" w:rsidP="003E4B8E">
      <w:pPr>
        <w:spacing w:before="120"/>
        <w:ind w:right="28"/>
        <w:jc w:val="both"/>
        <w:rPr>
          <w:rFonts w:cs="Arial"/>
          <w:color w:val="000000"/>
          <w:sz w:val="20"/>
        </w:rPr>
      </w:pPr>
    </w:p>
    <w:p w:rsidR="003E4B8E" w:rsidRPr="006B2092" w:rsidRDefault="006B1E11" w:rsidP="003E4B8E">
      <w:pPr>
        <w:spacing w:before="120"/>
        <w:ind w:right="28"/>
        <w:jc w:val="both"/>
        <w:rPr>
          <w:rFonts w:cs="Arial"/>
          <w:sz w:val="20"/>
        </w:rPr>
      </w:pPr>
      <w:r>
        <w:rPr>
          <w:rFonts w:cs="Arial"/>
          <w:color w:val="000000"/>
          <w:sz w:val="20"/>
        </w:rPr>
        <w:t xml:space="preserve">Based on the decile transition table for those </w:t>
      </w:r>
      <w:r w:rsidR="003E4B8E">
        <w:rPr>
          <w:rFonts w:cs="Arial"/>
          <w:color w:val="000000"/>
          <w:sz w:val="20"/>
        </w:rPr>
        <w:t xml:space="preserve">aged 0-57 years in wave one: </w:t>
      </w:r>
    </w:p>
    <w:p w:rsidR="003E4B8E" w:rsidRPr="00717BC6" w:rsidRDefault="003E4B8E" w:rsidP="00E62AFD">
      <w:pPr>
        <w:numPr>
          <w:ilvl w:val="0"/>
          <w:numId w:val="128"/>
        </w:numPr>
        <w:tabs>
          <w:tab w:val="clear" w:pos="1494"/>
          <w:tab w:val="num" w:pos="851"/>
        </w:tabs>
        <w:spacing w:before="60"/>
        <w:ind w:left="851" w:right="28" w:hanging="284"/>
        <w:jc w:val="both"/>
        <w:rPr>
          <w:rFonts w:cs="Arial"/>
          <w:sz w:val="20"/>
        </w:rPr>
      </w:pPr>
      <w:r>
        <w:rPr>
          <w:rFonts w:cs="Arial"/>
          <w:color w:val="000000"/>
          <w:sz w:val="20"/>
        </w:rPr>
        <w:t>of those starting in deciles 1-3, just over half were still there in wave 7, a quarter had moved up to deciles 4 and 5, and a quarter into the top half (deciles 6-10)</w:t>
      </w:r>
    </w:p>
    <w:p w:rsidR="003E4B8E" w:rsidRPr="00717BC6" w:rsidRDefault="003E4B8E" w:rsidP="00E62AFD">
      <w:pPr>
        <w:numPr>
          <w:ilvl w:val="0"/>
          <w:numId w:val="128"/>
        </w:numPr>
        <w:tabs>
          <w:tab w:val="clear" w:pos="1494"/>
          <w:tab w:val="num" w:pos="851"/>
        </w:tabs>
        <w:spacing w:before="60"/>
        <w:ind w:left="851" w:right="28" w:hanging="284"/>
        <w:jc w:val="both"/>
        <w:rPr>
          <w:rFonts w:cs="Arial"/>
          <w:sz w:val="20"/>
        </w:rPr>
      </w:pPr>
      <w:r>
        <w:rPr>
          <w:rFonts w:cs="Arial"/>
          <w:color w:val="000000"/>
          <w:sz w:val="20"/>
        </w:rPr>
        <w:t>of those starting in the middle of the income distribution (deciles 4-6), 43% were still there in wave 7, 35% had moved up to deciles 7-10, and 23% had moved down.</w:t>
      </w:r>
    </w:p>
    <w:p w:rsidR="003E4B8E" w:rsidRPr="00717BC6" w:rsidRDefault="003E4B8E" w:rsidP="00E62AFD">
      <w:pPr>
        <w:numPr>
          <w:ilvl w:val="0"/>
          <w:numId w:val="128"/>
        </w:numPr>
        <w:tabs>
          <w:tab w:val="clear" w:pos="1494"/>
          <w:tab w:val="num" w:pos="851"/>
        </w:tabs>
        <w:spacing w:before="60"/>
        <w:ind w:left="851" w:right="28" w:hanging="284"/>
        <w:jc w:val="both"/>
        <w:rPr>
          <w:rFonts w:cs="Arial"/>
          <w:sz w:val="20"/>
        </w:rPr>
      </w:pPr>
      <w:r>
        <w:rPr>
          <w:rFonts w:cs="Arial"/>
          <w:color w:val="000000"/>
          <w:sz w:val="20"/>
        </w:rPr>
        <w:t>of those starting in the top decile, 63% were still there or were in decile 9 in wave 7.</w:t>
      </w:r>
    </w:p>
    <w:p w:rsidR="0025080D" w:rsidRDefault="0025080D" w:rsidP="00904257">
      <w:pPr>
        <w:rPr>
          <w:rFonts w:cs="Arial"/>
          <w:sz w:val="20"/>
          <w:u w:val="single"/>
        </w:rPr>
      </w:pPr>
    </w:p>
    <w:p w:rsidR="0025080D" w:rsidRDefault="0025080D" w:rsidP="00904257">
      <w:pPr>
        <w:rPr>
          <w:rFonts w:cs="Arial"/>
          <w:sz w:val="20"/>
          <w:u w:val="single"/>
        </w:rPr>
      </w:pPr>
    </w:p>
    <w:p w:rsidR="0025080D" w:rsidRDefault="0025080D" w:rsidP="00904257">
      <w:pPr>
        <w:rPr>
          <w:rFonts w:cs="Arial"/>
          <w:sz w:val="20"/>
          <w:u w:val="single"/>
        </w:rPr>
      </w:pPr>
    </w:p>
    <w:p w:rsidR="00347908" w:rsidRPr="00347908" w:rsidRDefault="00347908" w:rsidP="00904257">
      <w:pPr>
        <w:rPr>
          <w:rFonts w:cs="Arial"/>
          <w:sz w:val="20"/>
          <w:u w:val="single"/>
        </w:rPr>
      </w:pPr>
      <w:r w:rsidRPr="00347908">
        <w:rPr>
          <w:rFonts w:cs="Arial"/>
          <w:sz w:val="20"/>
          <w:u w:val="single"/>
        </w:rPr>
        <w:t>Income mobility as change in real income (‘absolute’ mobility)</w:t>
      </w:r>
    </w:p>
    <w:p w:rsidR="00347908" w:rsidRDefault="00347908" w:rsidP="00BB0D4B">
      <w:pPr>
        <w:rPr>
          <w:rFonts w:cs="Arial"/>
          <w:b/>
        </w:rPr>
      </w:pPr>
    </w:p>
    <w:p w:rsidR="00BB0D4B" w:rsidRDefault="00BB0D4B" w:rsidP="00BB0D4B">
      <w:pPr>
        <w:ind w:right="28"/>
        <w:jc w:val="both"/>
        <w:rPr>
          <w:rFonts w:cs="Arial"/>
          <w:sz w:val="20"/>
        </w:rPr>
      </w:pPr>
      <w:r>
        <w:rPr>
          <w:rFonts w:cs="Arial"/>
          <w:sz w:val="20"/>
        </w:rPr>
        <w:t>Income mobility can also be looked at in terms of changes in real (CPI-adjusted) income. On this basis it was found that (during a period when cross-sectional incomes were growing on average for all deciles):</w:t>
      </w:r>
    </w:p>
    <w:p w:rsidR="00BB0D4B" w:rsidRDefault="00BB0D4B" w:rsidP="00E62AFD">
      <w:pPr>
        <w:numPr>
          <w:ilvl w:val="0"/>
          <w:numId w:val="125"/>
        </w:numPr>
        <w:spacing w:before="120"/>
        <w:ind w:left="867" w:right="28" w:hanging="357"/>
        <w:jc w:val="both"/>
        <w:rPr>
          <w:rFonts w:cs="Arial"/>
          <w:sz w:val="20"/>
        </w:rPr>
      </w:pPr>
      <w:r>
        <w:rPr>
          <w:rFonts w:cs="Arial"/>
          <w:sz w:val="20"/>
        </w:rPr>
        <w:t>20% of those starting in the lowest quintile experienced a net decrease in real income over the 7 waves, 30% doubled their income, and the remaining 50% all experienced real increases of substance, albeit less than double</w:t>
      </w:r>
    </w:p>
    <w:p w:rsidR="00BB0D4B" w:rsidRPr="00BB0D4B" w:rsidRDefault="00BB0D4B" w:rsidP="00E62AFD">
      <w:pPr>
        <w:numPr>
          <w:ilvl w:val="0"/>
          <w:numId w:val="125"/>
        </w:numPr>
        <w:spacing w:before="120"/>
        <w:ind w:left="867" w:right="28" w:hanging="357"/>
        <w:jc w:val="both"/>
        <w:rPr>
          <w:rFonts w:cs="Arial"/>
          <w:b/>
          <w:color w:val="000000"/>
        </w:rPr>
      </w:pPr>
      <w:r>
        <w:rPr>
          <w:rFonts w:cs="Arial"/>
          <w:sz w:val="20"/>
        </w:rPr>
        <w:t>overall, 38% experienced real declines, and for a third of these the decline was significant (40%+)</w:t>
      </w:r>
    </w:p>
    <w:p w:rsidR="00BB0D4B" w:rsidRPr="00366ADC" w:rsidRDefault="00BB0D4B" w:rsidP="00E62AFD">
      <w:pPr>
        <w:numPr>
          <w:ilvl w:val="0"/>
          <w:numId w:val="125"/>
        </w:numPr>
        <w:spacing w:before="120"/>
        <w:ind w:left="867" w:hanging="357"/>
        <w:jc w:val="both"/>
        <w:rPr>
          <w:rFonts w:cs="Arial"/>
          <w:b/>
          <w:sz w:val="20"/>
        </w:rPr>
      </w:pPr>
      <w:r>
        <w:rPr>
          <w:rFonts w:cs="Arial"/>
          <w:sz w:val="20"/>
        </w:rPr>
        <w:t xml:space="preserve">for the middle quintile, two in three (64%) experienced a real increase in income, and the increase for two thirds of these was greater than 20%  </w:t>
      </w:r>
    </w:p>
    <w:p w:rsidR="00BB0D4B" w:rsidRPr="00366ADC" w:rsidRDefault="00BB0D4B" w:rsidP="00E62AFD">
      <w:pPr>
        <w:numPr>
          <w:ilvl w:val="0"/>
          <w:numId w:val="125"/>
        </w:numPr>
        <w:spacing w:before="120"/>
        <w:ind w:left="867" w:hanging="357"/>
        <w:jc w:val="both"/>
        <w:rPr>
          <w:rFonts w:cs="Arial"/>
          <w:b/>
          <w:sz w:val="20"/>
        </w:rPr>
      </w:pPr>
      <w:r>
        <w:rPr>
          <w:rFonts w:cs="Arial"/>
          <w:sz w:val="20"/>
        </w:rPr>
        <w:t>60% of those in the top quintile</w:t>
      </w:r>
      <w:r w:rsidR="006C15BF">
        <w:rPr>
          <w:rFonts w:cs="Arial"/>
          <w:sz w:val="20"/>
        </w:rPr>
        <w:t xml:space="preserve"> (Q5)</w:t>
      </w:r>
      <w:r>
        <w:rPr>
          <w:rFonts w:cs="Arial"/>
          <w:sz w:val="20"/>
        </w:rPr>
        <w:t xml:space="preserve"> in w1/w2 and almost half (47%) of those in Q4 experienced real decreases, with most of these experiencing decreases of more than 20%.</w:t>
      </w:r>
    </w:p>
    <w:p w:rsidR="00BB0D4B" w:rsidRDefault="00BB0D4B" w:rsidP="00BB0D4B">
      <w:pPr>
        <w:spacing w:before="60"/>
        <w:ind w:right="28"/>
        <w:jc w:val="both"/>
        <w:rPr>
          <w:rFonts w:cs="Arial"/>
          <w:b/>
          <w:color w:val="000000"/>
        </w:rPr>
      </w:pPr>
    </w:p>
    <w:p w:rsidR="00347908" w:rsidRDefault="00347908" w:rsidP="00904257">
      <w:pPr>
        <w:rPr>
          <w:rFonts w:cs="Arial"/>
          <w:b/>
        </w:rPr>
      </w:pPr>
    </w:p>
    <w:p w:rsidR="00904257" w:rsidRPr="00E65768" w:rsidRDefault="00347908" w:rsidP="00904257">
      <w:pPr>
        <w:rPr>
          <w:rFonts w:cs="Arial"/>
          <w:b/>
        </w:rPr>
      </w:pPr>
      <w:r>
        <w:rPr>
          <w:rFonts w:cs="Arial"/>
          <w:b/>
        </w:rPr>
        <w:br w:type="page"/>
      </w:r>
      <w:r w:rsidR="00E835EA">
        <w:rPr>
          <w:rFonts w:cs="Arial"/>
          <w:b/>
        </w:rPr>
        <w:lastRenderedPageBreak/>
        <w:t>W</w:t>
      </w:r>
      <w:r w:rsidR="00904257" w:rsidRPr="00E65768">
        <w:rPr>
          <w:rFonts w:cs="Arial"/>
          <w:b/>
        </w:rPr>
        <w:t xml:space="preserve">hat is meant by </w:t>
      </w:r>
      <w:r w:rsidR="00904257">
        <w:rPr>
          <w:rFonts w:cs="Arial"/>
          <w:b/>
        </w:rPr>
        <w:t>low-income persistence</w:t>
      </w:r>
      <w:r w:rsidR="00363D40">
        <w:rPr>
          <w:rFonts w:cs="Arial"/>
          <w:b/>
        </w:rPr>
        <w:t xml:space="preserve"> (poverty persis</w:t>
      </w:r>
      <w:r w:rsidR="00904257">
        <w:rPr>
          <w:rFonts w:cs="Arial"/>
          <w:b/>
        </w:rPr>
        <w:t>tence)</w:t>
      </w:r>
      <w:r w:rsidR="00904257" w:rsidRPr="00E65768">
        <w:rPr>
          <w:rFonts w:cs="Arial"/>
          <w:b/>
        </w:rPr>
        <w:t xml:space="preserve"> and how is it measured?</w:t>
      </w:r>
    </w:p>
    <w:p w:rsidR="00904257" w:rsidRDefault="00904257" w:rsidP="00904257">
      <w:pPr>
        <w:rPr>
          <w:rFonts w:cs="Arial"/>
          <w:sz w:val="20"/>
        </w:rPr>
      </w:pPr>
    </w:p>
    <w:p w:rsidR="00BB0D4B" w:rsidRDefault="00BB0D4B" w:rsidP="00BB0D4B">
      <w:pPr>
        <w:jc w:val="both"/>
        <w:rPr>
          <w:rFonts w:cs="Arial"/>
          <w:sz w:val="20"/>
        </w:rPr>
      </w:pPr>
      <w:r>
        <w:rPr>
          <w:rFonts w:cs="Arial"/>
          <w:sz w:val="20"/>
        </w:rPr>
        <w:t xml:space="preserve">In order to capture the different aspects of individuals’ low-income experiences from a longitudinal perspective and to do so in a manageable way, a range of taxonomies and categorisations are used in different studies and reports.  In this report three approaches are used: </w:t>
      </w:r>
    </w:p>
    <w:p w:rsidR="00BB0D4B" w:rsidRDefault="00BB0D4B" w:rsidP="00BB0D4B">
      <w:pPr>
        <w:numPr>
          <w:ilvl w:val="0"/>
          <w:numId w:val="126"/>
        </w:numPr>
        <w:spacing w:before="120"/>
        <w:jc w:val="both"/>
        <w:rPr>
          <w:rFonts w:cs="Arial"/>
          <w:sz w:val="20"/>
        </w:rPr>
      </w:pPr>
      <w:r>
        <w:rPr>
          <w:rFonts w:cs="Arial"/>
          <w:sz w:val="20"/>
        </w:rPr>
        <w:t>number of waves in low income</w:t>
      </w:r>
      <w:r w:rsidR="006B1E11">
        <w:rPr>
          <w:rFonts w:cs="Arial"/>
          <w:sz w:val="20"/>
        </w:rPr>
        <w:t xml:space="preserve"> in a given window</w:t>
      </w:r>
    </w:p>
    <w:p w:rsidR="00FE4D9A" w:rsidRDefault="00BB0D4B" w:rsidP="00FE4D9A">
      <w:pPr>
        <w:numPr>
          <w:ilvl w:val="0"/>
          <w:numId w:val="126"/>
        </w:numPr>
        <w:spacing w:before="120"/>
        <w:jc w:val="both"/>
        <w:rPr>
          <w:rFonts w:cs="Arial"/>
          <w:sz w:val="20"/>
        </w:rPr>
      </w:pPr>
      <w:r>
        <w:rPr>
          <w:rFonts w:cs="Arial"/>
          <w:sz w:val="20"/>
        </w:rPr>
        <w:t xml:space="preserve">proportion of individuals in low income in w1 who </w:t>
      </w:r>
      <w:r w:rsidR="00FE4D9A">
        <w:rPr>
          <w:rFonts w:cs="Arial"/>
          <w:sz w:val="20"/>
        </w:rPr>
        <w:t>are</w:t>
      </w:r>
      <w:r>
        <w:rPr>
          <w:rFonts w:cs="Arial"/>
          <w:sz w:val="20"/>
        </w:rPr>
        <w:t xml:space="preserve"> in</w:t>
      </w:r>
      <w:r w:rsidR="00FE4D9A">
        <w:rPr>
          <w:rFonts w:cs="Arial"/>
          <w:sz w:val="20"/>
        </w:rPr>
        <w:t xml:space="preserve"> low income in subsequent waves</w:t>
      </w:r>
    </w:p>
    <w:p w:rsidR="00904257" w:rsidRDefault="00FE4D9A" w:rsidP="00FE4D9A">
      <w:pPr>
        <w:numPr>
          <w:ilvl w:val="0"/>
          <w:numId w:val="126"/>
        </w:numPr>
        <w:spacing w:before="120"/>
        <w:jc w:val="both"/>
        <w:rPr>
          <w:rFonts w:cs="Arial"/>
          <w:sz w:val="20"/>
        </w:rPr>
      </w:pPr>
      <w:r>
        <w:rPr>
          <w:rFonts w:cs="Arial"/>
          <w:sz w:val="20"/>
        </w:rPr>
        <w:t xml:space="preserve">comparison of </w:t>
      </w:r>
      <w:r w:rsidR="00BB0D4B">
        <w:rPr>
          <w:rFonts w:cs="Arial"/>
          <w:sz w:val="20"/>
        </w:rPr>
        <w:t>average income</w:t>
      </w:r>
      <w:r>
        <w:rPr>
          <w:rFonts w:cs="Arial"/>
          <w:sz w:val="20"/>
        </w:rPr>
        <w:t xml:space="preserve"> with the average poverty line</w:t>
      </w:r>
      <w:r w:rsidR="00BB0D4B">
        <w:rPr>
          <w:rFonts w:cs="Arial"/>
          <w:sz w:val="20"/>
        </w:rPr>
        <w:t xml:space="preserve"> over the full 7 waves to produce ‘chronic’ low-income figures</w:t>
      </w:r>
      <w:r>
        <w:rPr>
          <w:rFonts w:cs="Arial"/>
          <w:sz w:val="20"/>
        </w:rPr>
        <w:t>.</w:t>
      </w:r>
    </w:p>
    <w:p w:rsidR="00FE4D9A" w:rsidRDefault="00FE4D9A" w:rsidP="00C344CB">
      <w:pPr>
        <w:jc w:val="both"/>
        <w:rPr>
          <w:rFonts w:cs="Arial"/>
          <w:sz w:val="20"/>
        </w:rPr>
      </w:pPr>
    </w:p>
    <w:p w:rsidR="00FE4D9A" w:rsidRDefault="00FE4D9A" w:rsidP="00C344CB">
      <w:pPr>
        <w:jc w:val="both"/>
        <w:rPr>
          <w:rFonts w:cs="Arial"/>
          <w:sz w:val="20"/>
        </w:rPr>
      </w:pPr>
    </w:p>
    <w:p w:rsidR="00FE4D9A" w:rsidRDefault="00FE4D9A" w:rsidP="00C344CB">
      <w:pPr>
        <w:jc w:val="both"/>
        <w:rPr>
          <w:rFonts w:cs="Arial"/>
          <w:sz w:val="20"/>
        </w:rPr>
      </w:pPr>
      <w:r>
        <w:rPr>
          <w:rFonts w:cs="Arial"/>
          <w:sz w:val="20"/>
        </w:rPr>
        <w:t>The first two approaches are self-explanatory and straightforward to understand.  One of their limitations however is that they cannot distinguish between those on the one hand who move out of low income and go well above the line and those on the other hand who go from just below the line to just above it and vice versa (the boundary hoppers).</w:t>
      </w:r>
    </w:p>
    <w:p w:rsidR="00FE4D9A" w:rsidRDefault="00FE4D9A" w:rsidP="00C344CB">
      <w:pPr>
        <w:jc w:val="both"/>
        <w:rPr>
          <w:rFonts w:cs="Arial"/>
          <w:sz w:val="20"/>
        </w:rPr>
      </w:pPr>
    </w:p>
    <w:p w:rsidR="00C344CB" w:rsidRDefault="00C344CB" w:rsidP="00C344CB">
      <w:pPr>
        <w:jc w:val="both"/>
        <w:rPr>
          <w:rFonts w:cs="Arial"/>
          <w:sz w:val="20"/>
        </w:rPr>
      </w:pPr>
      <w:r w:rsidRPr="003E7029">
        <w:rPr>
          <w:rFonts w:cs="Arial"/>
          <w:sz w:val="20"/>
        </w:rPr>
        <w:t>One way to get a better understanding of these movements</w:t>
      </w:r>
      <w:r w:rsidR="006C15BF">
        <w:rPr>
          <w:rFonts w:cs="Arial"/>
          <w:sz w:val="20"/>
        </w:rPr>
        <w:t xml:space="preserve"> and to deal with the issue of </w:t>
      </w:r>
      <w:r w:rsidRPr="003E7029">
        <w:rPr>
          <w:rFonts w:cs="Arial"/>
          <w:sz w:val="20"/>
        </w:rPr>
        <w:t xml:space="preserve">boundary hoppers is to look at people’s average income over the seven waves and to compare that with the average </w:t>
      </w:r>
      <w:r>
        <w:rPr>
          <w:rFonts w:cs="Arial"/>
          <w:sz w:val="20"/>
        </w:rPr>
        <w:t>low income (poverty)</w:t>
      </w:r>
      <w:r w:rsidRPr="003E7029">
        <w:rPr>
          <w:rFonts w:cs="Arial"/>
          <w:sz w:val="20"/>
        </w:rPr>
        <w:t xml:space="preserve"> line over the seven </w:t>
      </w:r>
      <w:r>
        <w:rPr>
          <w:rFonts w:cs="Arial"/>
          <w:sz w:val="20"/>
        </w:rPr>
        <w:t>waves</w:t>
      </w:r>
      <w:r w:rsidRPr="003E7029">
        <w:rPr>
          <w:rFonts w:cs="Arial"/>
          <w:sz w:val="20"/>
        </w:rPr>
        <w:t xml:space="preserve">. </w:t>
      </w:r>
      <w:r>
        <w:rPr>
          <w:rFonts w:cs="Arial"/>
          <w:sz w:val="20"/>
        </w:rPr>
        <w:t xml:space="preserve"> </w:t>
      </w:r>
      <w:r w:rsidRPr="003E7029">
        <w:rPr>
          <w:rFonts w:cs="Arial"/>
          <w:sz w:val="20"/>
        </w:rPr>
        <w:t xml:space="preserve">People whose average income is below the average </w:t>
      </w:r>
      <w:r>
        <w:rPr>
          <w:rFonts w:cs="Arial"/>
          <w:sz w:val="20"/>
        </w:rPr>
        <w:t>low income (poverty)</w:t>
      </w:r>
      <w:r w:rsidRPr="003E7029">
        <w:rPr>
          <w:rFonts w:cs="Arial"/>
          <w:sz w:val="20"/>
        </w:rPr>
        <w:t xml:space="preserve"> line </w:t>
      </w:r>
      <w:r>
        <w:rPr>
          <w:rFonts w:cs="Arial"/>
          <w:sz w:val="20"/>
        </w:rPr>
        <w:t xml:space="preserve">over the seven waves </w:t>
      </w:r>
      <w:r w:rsidRPr="003E7029">
        <w:rPr>
          <w:rFonts w:cs="Arial"/>
          <w:sz w:val="20"/>
        </w:rPr>
        <w:t xml:space="preserve">are said to be in </w:t>
      </w:r>
      <w:r w:rsidRPr="005A7912">
        <w:rPr>
          <w:rFonts w:cs="Arial"/>
          <w:sz w:val="20"/>
          <w:u w:val="single"/>
        </w:rPr>
        <w:t>chronic</w:t>
      </w:r>
      <w:r>
        <w:rPr>
          <w:rFonts w:cs="Arial"/>
          <w:sz w:val="20"/>
          <w:u w:val="single"/>
        </w:rPr>
        <w:t xml:space="preserve"> low income (</w:t>
      </w:r>
      <w:r w:rsidRPr="005A7912">
        <w:rPr>
          <w:rFonts w:cs="Arial"/>
          <w:sz w:val="20"/>
          <w:u w:val="single"/>
        </w:rPr>
        <w:t>poverty</w:t>
      </w:r>
      <w:r>
        <w:rPr>
          <w:rFonts w:cs="Arial"/>
          <w:sz w:val="20"/>
          <w:u w:val="single"/>
        </w:rPr>
        <w:t>)</w:t>
      </w:r>
      <w:r w:rsidRPr="003E7029">
        <w:rPr>
          <w:rFonts w:cs="Arial"/>
          <w:sz w:val="20"/>
        </w:rPr>
        <w:t>.</w:t>
      </w:r>
      <w:r>
        <w:rPr>
          <w:rFonts w:cs="Arial"/>
          <w:sz w:val="20"/>
        </w:rPr>
        <w:t xml:space="preserve">  </w:t>
      </w:r>
    </w:p>
    <w:p w:rsidR="00C344CB" w:rsidRDefault="00C344CB" w:rsidP="00C344CB">
      <w:pPr>
        <w:jc w:val="both"/>
        <w:rPr>
          <w:rFonts w:cs="Arial"/>
          <w:sz w:val="20"/>
        </w:rPr>
      </w:pPr>
    </w:p>
    <w:p w:rsidR="00FE4D9A" w:rsidRDefault="00C344CB" w:rsidP="00904257">
      <w:pPr>
        <w:jc w:val="both"/>
        <w:rPr>
          <w:rFonts w:cs="Arial"/>
          <w:sz w:val="20"/>
        </w:rPr>
      </w:pPr>
      <w:r w:rsidRPr="006B1E11">
        <w:rPr>
          <w:rFonts w:cs="Arial"/>
          <w:b/>
          <w:sz w:val="20"/>
        </w:rPr>
        <w:t xml:space="preserve">Figure </w:t>
      </w:r>
      <w:r w:rsidR="006B1E11" w:rsidRPr="006B1E11">
        <w:rPr>
          <w:rFonts w:cs="Arial"/>
          <w:b/>
          <w:sz w:val="20"/>
        </w:rPr>
        <w:t>L.4</w:t>
      </w:r>
      <w:r>
        <w:rPr>
          <w:rFonts w:cs="Arial"/>
          <w:sz w:val="20"/>
        </w:rPr>
        <w:t xml:space="preserve"> </w:t>
      </w:r>
      <w:r w:rsidR="004A02E3">
        <w:rPr>
          <w:rFonts w:cs="Arial"/>
          <w:sz w:val="20"/>
        </w:rPr>
        <w:t xml:space="preserve">uses a stylised approach to illustrate the chronic poverty concept.  Both households </w:t>
      </w:r>
      <w:r w:rsidR="00FB7FE6">
        <w:rPr>
          <w:rFonts w:cs="Arial"/>
          <w:sz w:val="20"/>
        </w:rPr>
        <w:t xml:space="preserve"> </w:t>
      </w:r>
      <w:r w:rsidR="004A02E3">
        <w:rPr>
          <w:rFonts w:cs="Arial"/>
          <w:sz w:val="20"/>
        </w:rPr>
        <w:t xml:space="preserve">represented in the diagrams are in (current) poverty for 2 waves out of the 7.  </w:t>
      </w:r>
      <w:r w:rsidR="00FB7FE6">
        <w:rPr>
          <w:rFonts w:cs="Arial"/>
          <w:sz w:val="20"/>
        </w:rPr>
        <w:t xml:space="preserve">Household </w:t>
      </w:r>
      <w:r w:rsidR="00860710">
        <w:rPr>
          <w:rFonts w:cs="Arial"/>
          <w:sz w:val="20"/>
        </w:rPr>
        <w:t>A</w:t>
      </w:r>
      <w:r w:rsidR="004A02E3">
        <w:rPr>
          <w:rFonts w:cs="Arial"/>
          <w:sz w:val="20"/>
        </w:rPr>
        <w:t xml:space="preserve"> in the </w:t>
      </w:r>
      <w:r w:rsidR="00860710">
        <w:rPr>
          <w:rFonts w:cs="Arial"/>
          <w:sz w:val="20"/>
        </w:rPr>
        <w:t>left</w:t>
      </w:r>
      <w:r w:rsidR="004A02E3">
        <w:rPr>
          <w:rFonts w:cs="Arial"/>
          <w:sz w:val="20"/>
        </w:rPr>
        <w:t xml:space="preserve">-hand graph is in chronic poverty, but </w:t>
      </w:r>
      <w:r w:rsidR="00FB7FE6">
        <w:rPr>
          <w:rFonts w:cs="Arial"/>
          <w:sz w:val="20"/>
        </w:rPr>
        <w:t xml:space="preserve">household </w:t>
      </w:r>
      <w:r w:rsidR="00860710">
        <w:rPr>
          <w:rFonts w:cs="Arial"/>
          <w:sz w:val="20"/>
        </w:rPr>
        <w:t>B</w:t>
      </w:r>
      <w:r w:rsidR="00FB7FE6">
        <w:rPr>
          <w:rFonts w:cs="Arial"/>
          <w:sz w:val="20"/>
        </w:rPr>
        <w:t xml:space="preserve"> on the </w:t>
      </w:r>
      <w:r w:rsidR="00860710">
        <w:rPr>
          <w:rFonts w:cs="Arial"/>
          <w:sz w:val="20"/>
        </w:rPr>
        <w:t>right</w:t>
      </w:r>
      <w:r w:rsidR="00FB7FE6">
        <w:rPr>
          <w:rFonts w:cs="Arial"/>
          <w:sz w:val="20"/>
        </w:rPr>
        <w:t xml:space="preserve"> is</w:t>
      </w:r>
      <w:r w:rsidR="00860710">
        <w:rPr>
          <w:rFonts w:cs="Arial"/>
          <w:sz w:val="20"/>
        </w:rPr>
        <w:t xml:space="preserve"> not</w:t>
      </w:r>
      <w:r w:rsidR="00FB7FE6">
        <w:rPr>
          <w:rFonts w:cs="Arial"/>
          <w:sz w:val="20"/>
        </w:rPr>
        <w:t>.</w:t>
      </w:r>
      <w:r w:rsidR="004A02E3">
        <w:rPr>
          <w:rFonts w:cs="Arial"/>
          <w:sz w:val="20"/>
        </w:rPr>
        <w:t xml:space="preserve">  The window used does not have to be 7 waves.  It could for example be 4 waves, and if the survey has a long enough life, a trend in the relationship between current and chronic poverty can be established.</w:t>
      </w:r>
    </w:p>
    <w:p w:rsidR="00904257" w:rsidRDefault="00904257" w:rsidP="00904257">
      <w:pPr>
        <w:rPr>
          <w:rFonts w:cs="Arial"/>
          <w:sz w:val="20"/>
        </w:rPr>
      </w:pPr>
    </w:p>
    <w:p w:rsidR="00C344CB" w:rsidRPr="009436C5" w:rsidRDefault="00C344CB" w:rsidP="00C344CB">
      <w:pPr>
        <w:ind w:right="-25"/>
        <w:jc w:val="center"/>
        <w:rPr>
          <w:rFonts w:cs="Arial"/>
          <w:b/>
          <w:sz w:val="18"/>
        </w:rPr>
      </w:pPr>
      <w:r w:rsidRPr="009436C5">
        <w:rPr>
          <w:rFonts w:cs="Arial"/>
          <w:b/>
          <w:sz w:val="18"/>
        </w:rPr>
        <w:t xml:space="preserve">Figure </w:t>
      </w:r>
      <w:r w:rsidR="006B1E11">
        <w:rPr>
          <w:rFonts w:cs="Arial"/>
          <w:b/>
          <w:sz w:val="18"/>
        </w:rPr>
        <w:t>L.4</w:t>
      </w:r>
    </w:p>
    <w:p w:rsidR="00C344CB" w:rsidRDefault="00C344CB" w:rsidP="00C344CB">
      <w:pPr>
        <w:ind w:right="-25"/>
        <w:jc w:val="center"/>
        <w:rPr>
          <w:rFonts w:cs="Arial"/>
          <w:b/>
          <w:sz w:val="18"/>
        </w:rPr>
      </w:pPr>
      <w:r>
        <w:rPr>
          <w:rFonts w:cs="Arial"/>
          <w:b/>
          <w:sz w:val="18"/>
        </w:rPr>
        <w:t xml:space="preserve">Stylised diagram showing the value of the chronic low-income concept </w:t>
      </w:r>
    </w:p>
    <w:p w:rsidR="00C344CB" w:rsidRDefault="00C344CB" w:rsidP="00C344CB">
      <w:pPr>
        <w:ind w:right="-25"/>
        <w:jc w:val="center"/>
        <w:rPr>
          <w:rFonts w:cs="Arial"/>
          <w:b/>
          <w:sz w:val="18"/>
        </w:rPr>
      </w:pPr>
      <w:r>
        <w:rPr>
          <w:rFonts w:cs="Arial"/>
          <w:b/>
          <w:sz w:val="18"/>
        </w:rPr>
        <w:t xml:space="preserve">for summarising multi-wave poverty </w:t>
      </w:r>
    </w:p>
    <w:p w:rsidR="00860710" w:rsidRPr="009436C5" w:rsidRDefault="00860710" w:rsidP="00860710">
      <w:pPr>
        <w:tabs>
          <w:tab w:val="left" w:pos="1560"/>
          <w:tab w:val="left" w:pos="6237"/>
        </w:tabs>
        <w:spacing w:before="60"/>
        <w:ind w:right="-23"/>
        <w:rPr>
          <w:rFonts w:cs="Arial"/>
          <w:b/>
          <w:sz w:val="18"/>
        </w:rPr>
      </w:pPr>
      <w:r>
        <w:rPr>
          <w:rFonts w:cs="Arial"/>
          <w:b/>
          <w:sz w:val="18"/>
        </w:rPr>
        <w:tab/>
        <w:t xml:space="preserve">Household A  </w:t>
      </w:r>
      <w:r>
        <w:rPr>
          <w:rFonts w:cs="Arial"/>
          <w:b/>
          <w:sz w:val="18"/>
        </w:rPr>
        <w:tab/>
        <w:t>Household B</w:t>
      </w:r>
    </w:p>
    <w:p w:rsidR="00C344CB" w:rsidRDefault="00EC0BE0" w:rsidP="00C344CB">
      <w:pPr>
        <w:rPr>
          <w:rFonts w:cs="Arial"/>
          <w:sz w:val="20"/>
        </w:rPr>
      </w:pPr>
      <w:r>
        <w:rPr>
          <w:noProof/>
          <w:lang w:val="en-US"/>
        </w:rPr>
        <w:drawing>
          <wp:anchor distT="0" distB="0" distL="114300" distR="114300" simplePos="0" relativeHeight="251672064" behindDoc="0" locked="0" layoutInCell="1" allowOverlap="1">
            <wp:simplePos x="0" y="0"/>
            <wp:positionH relativeFrom="column">
              <wp:align>left</wp:align>
            </wp:positionH>
            <wp:positionV relativeFrom="paragraph">
              <wp:posOffset>3810</wp:posOffset>
            </wp:positionV>
            <wp:extent cx="2733675" cy="1678940"/>
            <wp:effectExtent l="0" t="0" r="9525"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9"/>
                    <a:srcRect/>
                    <a:stretch>
                      <a:fillRect/>
                    </a:stretch>
                  </pic:blipFill>
                  <pic:spPr bwMode="auto">
                    <a:xfrm>
                      <a:off x="0" y="0"/>
                      <a:ext cx="2733675" cy="16789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1040" behindDoc="0" locked="0" layoutInCell="1" allowOverlap="1">
            <wp:simplePos x="0" y="0"/>
            <wp:positionH relativeFrom="column">
              <wp:align>right</wp:align>
            </wp:positionH>
            <wp:positionV relativeFrom="paragraph">
              <wp:posOffset>3810</wp:posOffset>
            </wp:positionV>
            <wp:extent cx="2686050" cy="165735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a:srcRect/>
                    <a:stretch>
                      <a:fillRect/>
                    </a:stretch>
                  </pic:blipFill>
                  <pic:spPr bwMode="auto">
                    <a:xfrm>
                      <a:off x="0" y="0"/>
                      <a:ext cx="2686050" cy="1657350"/>
                    </a:xfrm>
                    <a:prstGeom prst="rect">
                      <a:avLst/>
                    </a:prstGeom>
                    <a:noFill/>
                    <a:ln w="9525">
                      <a:noFill/>
                      <a:miter lim="800000"/>
                      <a:headEnd/>
                      <a:tailEnd/>
                    </a:ln>
                  </pic:spPr>
                </pic:pic>
              </a:graphicData>
            </a:graphic>
          </wp:anchor>
        </w:drawing>
      </w:r>
    </w:p>
    <w:p w:rsidR="00C344CB" w:rsidRDefault="00C344CB" w:rsidP="00C344CB">
      <w:pPr>
        <w:rPr>
          <w:rFonts w:cs="Arial"/>
          <w:sz w:val="20"/>
        </w:rPr>
      </w:pPr>
    </w:p>
    <w:p w:rsidR="00C344CB" w:rsidRPr="003E7029" w:rsidRDefault="00C344CB" w:rsidP="00C344CB">
      <w:pPr>
        <w:jc w:val="both"/>
        <w:rPr>
          <w:rFonts w:cs="Arial"/>
          <w:sz w:val="20"/>
        </w:rPr>
      </w:pPr>
      <w:r>
        <w:rPr>
          <w:rFonts w:cs="Arial"/>
          <w:sz w:val="20"/>
        </w:rPr>
        <w:t xml:space="preserve">By examining the relationship between those in </w:t>
      </w:r>
      <w:r w:rsidRPr="00FB7FE6">
        <w:rPr>
          <w:rFonts w:cs="Arial"/>
          <w:sz w:val="20"/>
          <w:u w:val="single"/>
        </w:rPr>
        <w:t>chronic poverty</w:t>
      </w:r>
      <w:r>
        <w:rPr>
          <w:rFonts w:cs="Arial"/>
          <w:sz w:val="20"/>
        </w:rPr>
        <w:t xml:space="preserve"> and those in </w:t>
      </w:r>
      <w:r w:rsidRPr="005A7912">
        <w:rPr>
          <w:rFonts w:cs="Arial"/>
          <w:sz w:val="20"/>
          <w:u w:val="single"/>
        </w:rPr>
        <w:t>current poverty</w:t>
      </w:r>
      <w:r>
        <w:rPr>
          <w:rFonts w:cs="Arial"/>
          <w:sz w:val="20"/>
        </w:rPr>
        <w:t xml:space="preserve"> in each wave, a useful set of findings emerges that has value in itself, but which also allows us to look at cross-sectional income poverty findings with longitudinal eyes. </w:t>
      </w:r>
    </w:p>
    <w:p w:rsidR="00C344CB" w:rsidRDefault="00C344CB" w:rsidP="00C344CB">
      <w:pPr>
        <w:rPr>
          <w:rFonts w:cs="Arial"/>
          <w:sz w:val="20"/>
        </w:rPr>
      </w:pPr>
    </w:p>
    <w:p w:rsidR="00904257" w:rsidRDefault="00904257" w:rsidP="00904257">
      <w:pPr>
        <w:rPr>
          <w:rFonts w:cs="Arial"/>
          <w:b/>
          <w:szCs w:val="22"/>
        </w:rPr>
      </w:pPr>
    </w:p>
    <w:p w:rsidR="00904257" w:rsidRDefault="00904257" w:rsidP="00904257">
      <w:pPr>
        <w:rPr>
          <w:rFonts w:cs="Arial"/>
          <w:b/>
          <w:szCs w:val="22"/>
        </w:rPr>
      </w:pPr>
    </w:p>
    <w:p w:rsidR="00904257" w:rsidRDefault="00904257" w:rsidP="00904257">
      <w:pPr>
        <w:rPr>
          <w:rFonts w:cs="Arial"/>
          <w:b/>
          <w:szCs w:val="22"/>
        </w:rPr>
      </w:pPr>
    </w:p>
    <w:p w:rsidR="00904257" w:rsidRDefault="00904257" w:rsidP="00904257">
      <w:pPr>
        <w:rPr>
          <w:rFonts w:cs="Arial"/>
          <w:b/>
          <w:szCs w:val="22"/>
        </w:rPr>
      </w:pPr>
    </w:p>
    <w:p w:rsidR="00904257" w:rsidRDefault="00C9649F" w:rsidP="00363D40">
      <w:pPr>
        <w:rPr>
          <w:rFonts w:cs="Arial"/>
          <w:b/>
          <w:szCs w:val="22"/>
        </w:rPr>
      </w:pPr>
      <w:r>
        <w:rPr>
          <w:rFonts w:cs="Arial"/>
          <w:b/>
          <w:sz w:val="20"/>
        </w:rPr>
        <w:br w:type="page"/>
      </w:r>
      <w:r w:rsidR="00904257" w:rsidRPr="002C21AB">
        <w:rPr>
          <w:rFonts w:cs="Arial"/>
          <w:b/>
          <w:szCs w:val="22"/>
        </w:rPr>
        <w:lastRenderedPageBreak/>
        <w:t xml:space="preserve">Selected findings on </w:t>
      </w:r>
      <w:r w:rsidR="00904257">
        <w:rPr>
          <w:rFonts w:cs="Arial"/>
          <w:b/>
          <w:szCs w:val="22"/>
        </w:rPr>
        <w:t>low-income persistence (poverty persistence)</w:t>
      </w:r>
    </w:p>
    <w:p w:rsidR="00904257" w:rsidRPr="002C21AB" w:rsidRDefault="00904257" w:rsidP="00904257">
      <w:pPr>
        <w:rPr>
          <w:rFonts w:cs="Arial"/>
          <w:sz w:val="20"/>
        </w:rPr>
      </w:pPr>
    </w:p>
    <w:p w:rsidR="00C9649F" w:rsidRDefault="004574EB" w:rsidP="009D094C">
      <w:pPr>
        <w:jc w:val="both"/>
        <w:rPr>
          <w:rFonts w:cs="Arial"/>
          <w:sz w:val="20"/>
        </w:rPr>
      </w:pPr>
      <w:r>
        <w:rPr>
          <w:rFonts w:cs="Arial"/>
          <w:sz w:val="20"/>
        </w:rPr>
        <w:t>Some of the findings in the income mobility section</w:t>
      </w:r>
      <w:r w:rsidR="00860710">
        <w:rPr>
          <w:rFonts w:cs="Arial"/>
          <w:sz w:val="20"/>
        </w:rPr>
        <w:t xml:space="preserve"> above</w:t>
      </w:r>
      <w:r>
        <w:rPr>
          <w:rFonts w:cs="Arial"/>
          <w:sz w:val="20"/>
        </w:rPr>
        <w:t xml:space="preserve"> are relevant in this one too (for example, </w:t>
      </w:r>
      <w:r w:rsidR="00785B91">
        <w:rPr>
          <w:rFonts w:cs="Arial"/>
          <w:sz w:val="20"/>
        </w:rPr>
        <w:t xml:space="preserve">the ones </w:t>
      </w:r>
      <w:r w:rsidR="00860710">
        <w:rPr>
          <w:rFonts w:cs="Arial"/>
          <w:sz w:val="20"/>
        </w:rPr>
        <w:t>under Table L.7 above</w:t>
      </w:r>
      <w:r w:rsidR="00785B91">
        <w:rPr>
          <w:rFonts w:cs="Arial"/>
          <w:sz w:val="20"/>
        </w:rPr>
        <w:t xml:space="preserve"> on the destination </w:t>
      </w:r>
      <w:r w:rsidR="00860710">
        <w:rPr>
          <w:rFonts w:cs="Arial"/>
          <w:sz w:val="20"/>
        </w:rPr>
        <w:t xml:space="preserve">after 7 waves </w:t>
      </w:r>
      <w:r w:rsidR="00785B91">
        <w:rPr>
          <w:rFonts w:cs="Arial"/>
          <w:sz w:val="20"/>
        </w:rPr>
        <w:t xml:space="preserve">of those </w:t>
      </w:r>
      <w:r w:rsidR="00860710">
        <w:rPr>
          <w:rFonts w:cs="Arial"/>
          <w:sz w:val="20"/>
        </w:rPr>
        <w:t>starting in</w:t>
      </w:r>
      <w:r w:rsidR="00785B91">
        <w:rPr>
          <w:rFonts w:cs="Arial"/>
          <w:sz w:val="20"/>
        </w:rPr>
        <w:t xml:space="preserve"> deciles 1-3).</w:t>
      </w:r>
    </w:p>
    <w:p w:rsidR="004574EB" w:rsidRDefault="004574EB" w:rsidP="009D094C">
      <w:pPr>
        <w:jc w:val="both"/>
        <w:rPr>
          <w:rFonts w:cs="Arial"/>
          <w:sz w:val="20"/>
        </w:rPr>
      </w:pPr>
    </w:p>
    <w:p w:rsidR="003C343C" w:rsidRPr="00402CF6" w:rsidRDefault="00705399" w:rsidP="009D094C">
      <w:pPr>
        <w:jc w:val="both"/>
        <w:rPr>
          <w:rFonts w:cs="Arial"/>
          <w:sz w:val="20"/>
          <w:u w:val="single"/>
        </w:rPr>
      </w:pPr>
      <w:r w:rsidRPr="00402CF6">
        <w:rPr>
          <w:rFonts w:cs="Arial"/>
          <w:sz w:val="20"/>
          <w:u w:val="single"/>
        </w:rPr>
        <w:t>Number of waves in low income (poverty)</w:t>
      </w:r>
    </w:p>
    <w:p w:rsidR="001971CD" w:rsidRDefault="001971CD" w:rsidP="009D094C">
      <w:pPr>
        <w:jc w:val="both"/>
        <w:rPr>
          <w:rFonts w:cs="Arial"/>
          <w:sz w:val="20"/>
        </w:rPr>
      </w:pPr>
    </w:p>
    <w:p w:rsidR="001971CD" w:rsidRDefault="001971CD" w:rsidP="009D094C">
      <w:pPr>
        <w:jc w:val="both"/>
        <w:rPr>
          <w:rFonts w:cs="Arial"/>
          <w:sz w:val="20"/>
        </w:rPr>
      </w:pPr>
      <w:r w:rsidRPr="00402CF6">
        <w:rPr>
          <w:rFonts w:cs="Arial"/>
          <w:b/>
          <w:sz w:val="20"/>
        </w:rPr>
        <w:t xml:space="preserve">Figure </w:t>
      </w:r>
      <w:r w:rsidR="00785B91">
        <w:rPr>
          <w:rFonts w:cs="Arial"/>
          <w:b/>
          <w:sz w:val="20"/>
        </w:rPr>
        <w:t>L.5</w:t>
      </w:r>
      <w:r>
        <w:rPr>
          <w:rFonts w:cs="Arial"/>
          <w:sz w:val="20"/>
        </w:rPr>
        <w:t xml:space="preserve"> shows the cumulative number of waves </w:t>
      </w:r>
      <w:r w:rsidR="00860710">
        <w:rPr>
          <w:rFonts w:cs="Arial"/>
          <w:sz w:val="20"/>
        </w:rPr>
        <w:t>that people were in low income (</w:t>
      </w:r>
      <w:r>
        <w:rPr>
          <w:rFonts w:cs="Arial"/>
          <w:sz w:val="20"/>
        </w:rPr>
        <w:t xml:space="preserve">poverty) over the seven waves, using both the </w:t>
      </w:r>
      <w:r w:rsidR="00860710">
        <w:rPr>
          <w:rFonts w:cs="Arial"/>
          <w:sz w:val="20"/>
        </w:rPr>
        <w:t>50%</w:t>
      </w:r>
      <w:r>
        <w:rPr>
          <w:rFonts w:cs="Arial"/>
          <w:sz w:val="20"/>
        </w:rPr>
        <w:t xml:space="preserve"> and </w:t>
      </w:r>
      <w:r w:rsidR="00860710">
        <w:rPr>
          <w:rFonts w:cs="Arial"/>
          <w:sz w:val="20"/>
        </w:rPr>
        <w:t>6</w:t>
      </w:r>
      <w:r>
        <w:rPr>
          <w:rFonts w:cs="Arial"/>
          <w:sz w:val="20"/>
        </w:rPr>
        <w:t>0% of gross median thresholds.</w:t>
      </w:r>
    </w:p>
    <w:p w:rsidR="001971CD" w:rsidRDefault="001971CD" w:rsidP="00904257">
      <w:pPr>
        <w:rPr>
          <w:rFonts w:cs="Arial"/>
          <w:sz w:val="20"/>
        </w:rPr>
      </w:pPr>
    </w:p>
    <w:p w:rsidR="001971CD" w:rsidRPr="007A38AA" w:rsidRDefault="001971CD" w:rsidP="001971CD">
      <w:pPr>
        <w:jc w:val="center"/>
        <w:rPr>
          <w:rFonts w:cs="Arial"/>
          <w:b/>
          <w:sz w:val="18"/>
          <w:szCs w:val="18"/>
        </w:rPr>
      </w:pPr>
      <w:r>
        <w:rPr>
          <w:rFonts w:cs="Arial"/>
          <w:b/>
          <w:sz w:val="18"/>
          <w:szCs w:val="18"/>
        </w:rPr>
        <w:t xml:space="preserve">Figure </w:t>
      </w:r>
      <w:r w:rsidR="00785B91">
        <w:rPr>
          <w:rFonts w:cs="Arial"/>
          <w:b/>
          <w:sz w:val="18"/>
          <w:szCs w:val="18"/>
        </w:rPr>
        <w:t>L.5</w:t>
      </w:r>
    </w:p>
    <w:p w:rsidR="001971CD" w:rsidRDefault="001971CD" w:rsidP="001971CD">
      <w:pPr>
        <w:jc w:val="center"/>
        <w:rPr>
          <w:rFonts w:cs="Arial"/>
          <w:sz w:val="20"/>
        </w:rPr>
      </w:pPr>
      <w:r>
        <w:rPr>
          <w:rFonts w:cs="Arial"/>
          <w:b/>
          <w:sz w:val="18"/>
          <w:szCs w:val="18"/>
        </w:rPr>
        <w:t>Cumulative number of waves in low income, whole population</w:t>
      </w:r>
    </w:p>
    <w:p w:rsidR="001971CD" w:rsidRPr="002C4C3C" w:rsidRDefault="00EC0BE0" w:rsidP="001971CD">
      <w:pPr>
        <w:jc w:val="center"/>
        <w:rPr>
          <w:rFonts w:cs="Arial"/>
          <w:sz w:val="20"/>
        </w:rPr>
      </w:pPr>
      <w:r>
        <w:rPr>
          <w:noProof/>
          <w:lang w:val="en-US"/>
        </w:rPr>
        <w:drawing>
          <wp:inline distT="0" distB="0" distL="0" distR="0">
            <wp:extent cx="2981325" cy="183832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srcRect/>
                    <a:stretch>
                      <a:fillRect/>
                    </a:stretch>
                  </pic:blipFill>
                  <pic:spPr bwMode="auto">
                    <a:xfrm>
                      <a:off x="0" y="0"/>
                      <a:ext cx="2981325" cy="1838325"/>
                    </a:xfrm>
                    <a:prstGeom prst="rect">
                      <a:avLst/>
                    </a:prstGeom>
                    <a:noFill/>
                    <a:ln w="9525">
                      <a:noFill/>
                      <a:miter lim="800000"/>
                      <a:headEnd/>
                      <a:tailEnd/>
                    </a:ln>
                  </pic:spPr>
                </pic:pic>
              </a:graphicData>
            </a:graphic>
          </wp:inline>
        </w:drawing>
      </w:r>
    </w:p>
    <w:p w:rsidR="00860710" w:rsidRDefault="00860710" w:rsidP="00860710">
      <w:pPr>
        <w:spacing w:before="60"/>
        <w:ind w:left="2410"/>
        <w:rPr>
          <w:rFonts w:cs="Arial"/>
          <w:sz w:val="20"/>
        </w:rPr>
      </w:pPr>
      <w:r>
        <w:rPr>
          <w:rFonts w:cs="Arial"/>
          <w:sz w:val="16"/>
          <w:szCs w:val="16"/>
        </w:rPr>
        <w:t>Source:  Derived from Tables 8 and 9 in UO.</w:t>
      </w:r>
    </w:p>
    <w:p w:rsidR="001971CD" w:rsidRDefault="001971CD" w:rsidP="00904257">
      <w:pPr>
        <w:rPr>
          <w:rFonts w:cs="Arial"/>
          <w:sz w:val="20"/>
        </w:rPr>
      </w:pPr>
    </w:p>
    <w:p w:rsidR="00705399" w:rsidRDefault="00CF1D8E" w:rsidP="00F9114A">
      <w:pPr>
        <w:jc w:val="both"/>
        <w:rPr>
          <w:rFonts w:cs="Arial"/>
          <w:sz w:val="20"/>
        </w:rPr>
      </w:pPr>
      <w:r>
        <w:rPr>
          <w:rFonts w:cs="Arial"/>
          <w:sz w:val="20"/>
        </w:rPr>
        <w:t>(As discussed above, it is preferable to use the figures generated using the 50% of gross median threshold when looking at income poverty persistence.)  Although</w:t>
      </w:r>
      <w:r w:rsidR="00402CF6">
        <w:rPr>
          <w:rFonts w:cs="Arial"/>
          <w:sz w:val="20"/>
        </w:rPr>
        <w:t xml:space="preserve"> only a </w:t>
      </w:r>
      <w:r>
        <w:rPr>
          <w:rFonts w:cs="Arial"/>
          <w:sz w:val="20"/>
        </w:rPr>
        <w:t>very</w:t>
      </w:r>
      <w:r w:rsidR="00402CF6">
        <w:rPr>
          <w:rFonts w:cs="Arial"/>
          <w:sz w:val="20"/>
        </w:rPr>
        <w:t xml:space="preserve"> sma</w:t>
      </w:r>
      <w:r>
        <w:rPr>
          <w:rFonts w:cs="Arial"/>
          <w:sz w:val="20"/>
        </w:rPr>
        <w:t>ll proportion were in poverty</w:t>
      </w:r>
      <w:r w:rsidR="00402CF6">
        <w:rPr>
          <w:rFonts w:cs="Arial"/>
          <w:sz w:val="20"/>
        </w:rPr>
        <w:t xml:space="preserve"> for all 7 waves (</w:t>
      </w:r>
      <w:r>
        <w:rPr>
          <w:rFonts w:cs="Arial"/>
          <w:sz w:val="20"/>
        </w:rPr>
        <w:t>2%</w:t>
      </w:r>
      <w:r w:rsidR="00402CF6">
        <w:rPr>
          <w:rFonts w:cs="Arial"/>
          <w:sz w:val="20"/>
        </w:rPr>
        <w:t xml:space="preserve">), Figure </w:t>
      </w:r>
      <w:r w:rsidR="00785B91">
        <w:rPr>
          <w:rFonts w:cs="Arial"/>
          <w:sz w:val="20"/>
        </w:rPr>
        <w:t>L.5</w:t>
      </w:r>
      <w:r w:rsidR="00402CF6">
        <w:rPr>
          <w:rFonts w:cs="Arial"/>
          <w:sz w:val="20"/>
        </w:rPr>
        <w:t xml:space="preserve"> shows that </w:t>
      </w:r>
      <w:r>
        <w:rPr>
          <w:rFonts w:cs="Arial"/>
          <w:sz w:val="20"/>
        </w:rPr>
        <w:t>40% of</w:t>
      </w:r>
      <w:r w:rsidR="00402CF6">
        <w:rPr>
          <w:rFonts w:cs="Arial"/>
          <w:sz w:val="20"/>
        </w:rPr>
        <w:t xml:space="preserve"> the population experienced </w:t>
      </w:r>
      <w:r>
        <w:rPr>
          <w:rFonts w:cs="Arial"/>
          <w:sz w:val="20"/>
        </w:rPr>
        <w:t>income poverty</w:t>
      </w:r>
      <w:r w:rsidR="00402CF6">
        <w:rPr>
          <w:rFonts w:cs="Arial"/>
          <w:sz w:val="20"/>
        </w:rPr>
        <w:t xml:space="preserve"> at least once in seven </w:t>
      </w:r>
      <w:r>
        <w:rPr>
          <w:rFonts w:cs="Arial"/>
          <w:sz w:val="20"/>
        </w:rPr>
        <w:t>the seven waves</w:t>
      </w:r>
      <w:r w:rsidR="00402CF6">
        <w:rPr>
          <w:rFonts w:cs="Arial"/>
          <w:sz w:val="20"/>
        </w:rPr>
        <w:t xml:space="preserve">.  This means that </w:t>
      </w:r>
      <w:r>
        <w:rPr>
          <w:rFonts w:cs="Arial"/>
          <w:sz w:val="20"/>
        </w:rPr>
        <w:t xml:space="preserve">more than </w:t>
      </w:r>
      <w:r w:rsidR="00402CF6">
        <w:rPr>
          <w:rFonts w:cs="Arial"/>
          <w:sz w:val="20"/>
        </w:rPr>
        <w:t xml:space="preserve">double the number who are reported as in </w:t>
      </w:r>
      <w:r>
        <w:rPr>
          <w:rFonts w:cs="Arial"/>
          <w:sz w:val="20"/>
        </w:rPr>
        <w:t>poverty</w:t>
      </w:r>
      <w:r w:rsidR="00402CF6">
        <w:rPr>
          <w:rFonts w:cs="Arial"/>
          <w:sz w:val="20"/>
        </w:rPr>
        <w:t xml:space="preserve"> in any one wave</w:t>
      </w:r>
      <w:r>
        <w:rPr>
          <w:rFonts w:cs="Arial"/>
          <w:sz w:val="20"/>
        </w:rPr>
        <w:t xml:space="preserve"> (15%)</w:t>
      </w:r>
      <w:r w:rsidR="00402CF6">
        <w:rPr>
          <w:rFonts w:cs="Arial"/>
          <w:sz w:val="20"/>
        </w:rPr>
        <w:t xml:space="preserve"> actually experience </w:t>
      </w:r>
      <w:r>
        <w:rPr>
          <w:rFonts w:cs="Arial"/>
          <w:sz w:val="20"/>
        </w:rPr>
        <w:t>poverty</w:t>
      </w:r>
      <w:r w:rsidR="00402CF6">
        <w:rPr>
          <w:rFonts w:cs="Arial"/>
          <w:sz w:val="20"/>
        </w:rPr>
        <w:t xml:space="preserve"> at least once in the seven </w:t>
      </w:r>
      <w:r>
        <w:rPr>
          <w:rFonts w:cs="Arial"/>
          <w:sz w:val="20"/>
        </w:rPr>
        <w:t>waves.</w:t>
      </w:r>
    </w:p>
    <w:p w:rsidR="00402CF6" w:rsidRDefault="00402CF6" w:rsidP="00F9114A">
      <w:pPr>
        <w:jc w:val="both"/>
        <w:rPr>
          <w:rFonts w:cs="Arial"/>
          <w:sz w:val="20"/>
        </w:rPr>
      </w:pPr>
    </w:p>
    <w:p w:rsidR="00402CF6" w:rsidRDefault="00402CF6" w:rsidP="00F9114A">
      <w:pPr>
        <w:jc w:val="both"/>
        <w:rPr>
          <w:rFonts w:cs="Arial"/>
          <w:sz w:val="20"/>
        </w:rPr>
      </w:pPr>
      <w:r>
        <w:rPr>
          <w:rFonts w:cs="Arial"/>
          <w:sz w:val="20"/>
        </w:rPr>
        <w:t xml:space="preserve">Findings of this sort are very common across countries like </w:t>
      </w:r>
      <w:smartTag w:uri="urn:schemas-microsoft-com:office:smarttags" w:element="country-region">
        <w:r>
          <w:rPr>
            <w:rFonts w:cs="Arial"/>
            <w:sz w:val="20"/>
          </w:rPr>
          <w:t>Australia</w:t>
        </w:r>
      </w:smartTag>
      <w:r>
        <w:rPr>
          <w:rFonts w:cs="Arial"/>
          <w:sz w:val="20"/>
        </w:rPr>
        <w:t xml:space="preserve">, </w:t>
      </w:r>
      <w:smartTag w:uri="urn:schemas-microsoft-com:office:smarttags" w:element="country-region">
        <w:r>
          <w:rPr>
            <w:rFonts w:cs="Arial"/>
            <w:sz w:val="20"/>
          </w:rPr>
          <w:t>Canada</w:t>
        </w:r>
      </w:smartTag>
      <w:r>
        <w:rPr>
          <w:rFonts w:cs="Arial"/>
          <w:sz w:val="20"/>
        </w:rPr>
        <w:t xml:space="preserve">, the </w:t>
      </w:r>
      <w:smartTag w:uri="urn:schemas-microsoft-com:office:smarttags" w:element="country-region">
        <w:r>
          <w:rPr>
            <w:rFonts w:cs="Arial"/>
            <w:sz w:val="20"/>
          </w:rPr>
          <w:t>UK</w:t>
        </w:r>
      </w:smartTag>
      <w:r>
        <w:rPr>
          <w:rFonts w:cs="Arial"/>
          <w:sz w:val="20"/>
        </w:rPr>
        <w:t xml:space="preserve">, </w:t>
      </w:r>
      <w:smartTag w:uri="urn:schemas-microsoft-com:office:smarttags" w:element="place">
        <w:smartTag w:uri="urn:schemas-microsoft-com:office:smarttags" w:element="country-region">
          <w:r>
            <w:rPr>
              <w:rFonts w:cs="Arial"/>
              <w:sz w:val="20"/>
            </w:rPr>
            <w:t>Germany</w:t>
          </w:r>
        </w:smartTag>
      </w:smartTag>
      <w:r w:rsidR="00785B91">
        <w:rPr>
          <w:rFonts w:cs="Arial"/>
          <w:sz w:val="20"/>
        </w:rPr>
        <w:t xml:space="preserve"> and others in the </w:t>
      </w:r>
      <w:r>
        <w:rPr>
          <w:rFonts w:cs="Arial"/>
          <w:sz w:val="20"/>
        </w:rPr>
        <w:t>OECD.  It arises from the fact that in any wave, out of those who are identified as poor or in low income there are two groups: those who are more permanently in low income</w:t>
      </w:r>
      <w:r w:rsidR="0040500E">
        <w:rPr>
          <w:rFonts w:cs="Arial"/>
          <w:sz w:val="20"/>
        </w:rPr>
        <w:t>,</w:t>
      </w:r>
      <w:r>
        <w:rPr>
          <w:rFonts w:cs="Arial"/>
          <w:sz w:val="20"/>
        </w:rPr>
        <w:t xml:space="preserve"> and those who are only temporarily or sometimes in </w:t>
      </w:r>
      <w:r w:rsidR="0040500E">
        <w:rPr>
          <w:rFonts w:cs="Arial"/>
          <w:sz w:val="20"/>
        </w:rPr>
        <w:t>low income.  This latter group becomes quite sizeable over seven waves and produces the finding above.</w:t>
      </w:r>
      <w:r w:rsidR="00785B91">
        <w:rPr>
          <w:rFonts w:cs="Arial"/>
          <w:sz w:val="20"/>
        </w:rPr>
        <w:t xml:space="preserve">  The section below on chronic low income picks up on this theme.</w:t>
      </w:r>
    </w:p>
    <w:p w:rsidR="00785B91" w:rsidRDefault="00785B91" w:rsidP="00F9114A">
      <w:pPr>
        <w:jc w:val="both"/>
        <w:rPr>
          <w:rFonts w:cs="Arial"/>
          <w:sz w:val="20"/>
        </w:rPr>
      </w:pPr>
    </w:p>
    <w:p w:rsidR="00705399" w:rsidRPr="0040500E" w:rsidRDefault="00705399" w:rsidP="00F9114A">
      <w:pPr>
        <w:jc w:val="both"/>
        <w:rPr>
          <w:rFonts w:cs="Arial"/>
          <w:sz w:val="20"/>
          <w:u w:val="single"/>
        </w:rPr>
      </w:pPr>
      <w:r w:rsidRPr="0040500E">
        <w:rPr>
          <w:rFonts w:cs="Arial"/>
          <w:sz w:val="20"/>
          <w:u w:val="single"/>
        </w:rPr>
        <w:t xml:space="preserve">Proportion in </w:t>
      </w:r>
      <w:r w:rsidR="0040500E" w:rsidRPr="0040500E">
        <w:rPr>
          <w:rFonts w:cs="Arial"/>
          <w:sz w:val="20"/>
          <w:u w:val="single"/>
        </w:rPr>
        <w:t>l</w:t>
      </w:r>
      <w:r w:rsidRPr="0040500E">
        <w:rPr>
          <w:rFonts w:cs="Arial"/>
          <w:sz w:val="20"/>
          <w:u w:val="single"/>
        </w:rPr>
        <w:t>ow income in w1 who are found in low income in subsequent waves</w:t>
      </w:r>
    </w:p>
    <w:p w:rsidR="0040500E" w:rsidRDefault="0040500E" w:rsidP="00F9114A">
      <w:pPr>
        <w:jc w:val="both"/>
        <w:rPr>
          <w:rFonts w:cs="Arial"/>
          <w:sz w:val="20"/>
        </w:rPr>
      </w:pPr>
    </w:p>
    <w:p w:rsidR="0040500E" w:rsidRDefault="0040500E" w:rsidP="00F9114A">
      <w:pPr>
        <w:jc w:val="both"/>
        <w:rPr>
          <w:rFonts w:cs="Arial"/>
          <w:sz w:val="20"/>
        </w:rPr>
      </w:pPr>
      <w:r w:rsidRPr="0040500E">
        <w:rPr>
          <w:rFonts w:cs="Arial"/>
          <w:b/>
          <w:sz w:val="20"/>
        </w:rPr>
        <w:t xml:space="preserve">Table </w:t>
      </w:r>
      <w:r w:rsidR="00785B91">
        <w:rPr>
          <w:rFonts w:cs="Arial"/>
          <w:b/>
          <w:sz w:val="20"/>
        </w:rPr>
        <w:t>L.</w:t>
      </w:r>
      <w:r w:rsidR="00BC5C99">
        <w:rPr>
          <w:rFonts w:cs="Arial"/>
          <w:b/>
          <w:sz w:val="20"/>
        </w:rPr>
        <w:t>8</w:t>
      </w:r>
      <w:r>
        <w:rPr>
          <w:rFonts w:cs="Arial"/>
          <w:sz w:val="20"/>
        </w:rPr>
        <w:t xml:space="preserve"> uses the bottom quintile to define low income, and shows the proportion still in low income in subsequent waves.  Just under half (45%) are still in or are back in low income after 7 waves and just over half (55%) have moved up.</w:t>
      </w:r>
    </w:p>
    <w:p w:rsidR="0040500E" w:rsidRDefault="0040500E" w:rsidP="00904257">
      <w:pPr>
        <w:rPr>
          <w:rFonts w:cs="Arial"/>
          <w:sz w:val="20"/>
        </w:rPr>
      </w:pPr>
    </w:p>
    <w:p w:rsidR="0040500E" w:rsidRPr="008D7740" w:rsidRDefault="0040500E" w:rsidP="0040500E">
      <w:pPr>
        <w:jc w:val="center"/>
        <w:rPr>
          <w:rFonts w:cs="Arial"/>
          <w:b/>
          <w:sz w:val="18"/>
          <w:szCs w:val="18"/>
        </w:rPr>
      </w:pPr>
      <w:r w:rsidRPr="008D7740">
        <w:rPr>
          <w:rFonts w:cs="Arial"/>
          <w:b/>
          <w:sz w:val="18"/>
          <w:szCs w:val="18"/>
        </w:rPr>
        <w:t>Table</w:t>
      </w:r>
      <w:r w:rsidR="00785B91">
        <w:rPr>
          <w:rFonts w:cs="Arial"/>
          <w:b/>
          <w:sz w:val="18"/>
          <w:szCs w:val="18"/>
        </w:rPr>
        <w:t xml:space="preserve"> L.</w:t>
      </w:r>
      <w:r w:rsidR="00BC5C99">
        <w:rPr>
          <w:rFonts w:cs="Arial"/>
          <w:b/>
          <w:sz w:val="18"/>
          <w:szCs w:val="18"/>
        </w:rPr>
        <w:t>8</w:t>
      </w:r>
    </w:p>
    <w:p w:rsidR="0040500E" w:rsidRDefault="0040500E" w:rsidP="0040500E">
      <w:pPr>
        <w:jc w:val="center"/>
        <w:rPr>
          <w:rFonts w:cs="Arial"/>
          <w:b/>
          <w:sz w:val="18"/>
          <w:szCs w:val="18"/>
        </w:rPr>
      </w:pPr>
      <w:r w:rsidRPr="009B7762">
        <w:rPr>
          <w:rFonts w:cs="Arial"/>
          <w:b/>
          <w:sz w:val="18"/>
          <w:szCs w:val="18"/>
        </w:rPr>
        <w:t xml:space="preserve">Persistence of low income for those in low income in </w:t>
      </w:r>
      <w:r>
        <w:rPr>
          <w:rFonts w:cs="Arial"/>
          <w:b/>
          <w:sz w:val="18"/>
          <w:szCs w:val="18"/>
        </w:rPr>
        <w:t xml:space="preserve">a </w:t>
      </w:r>
      <w:r w:rsidRPr="009B7762">
        <w:rPr>
          <w:rFonts w:cs="Arial"/>
          <w:b/>
          <w:sz w:val="18"/>
          <w:szCs w:val="18"/>
        </w:rPr>
        <w:t>starting wave</w:t>
      </w:r>
      <w:r>
        <w:rPr>
          <w:rFonts w:cs="Arial"/>
          <w:b/>
          <w:sz w:val="18"/>
          <w:szCs w:val="18"/>
        </w:rPr>
        <w:t xml:space="preserve">: </w:t>
      </w:r>
    </w:p>
    <w:p w:rsidR="0040500E" w:rsidRPr="009B7762" w:rsidRDefault="0040500E" w:rsidP="00860710">
      <w:pPr>
        <w:spacing w:after="120"/>
        <w:jc w:val="center"/>
        <w:rPr>
          <w:rFonts w:cs="Arial"/>
          <w:sz w:val="18"/>
          <w:szCs w:val="18"/>
        </w:rPr>
      </w:pPr>
      <w:r>
        <w:rPr>
          <w:rFonts w:cs="Arial"/>
          <w:b/>
          <w:sz w:val="18"/>
          <w:szCs w:val="18"/>
        </w:rPr>
        <w:t>(</w:t>
      </w:r>
      <w:r w:rsidRPr="009B7762">
        <w:rPr>
          <w:rFonts w:cs="Arial"/>
          <w:b/>
          <w:sz w:val="18"/>
          <w:szCs w:val="18"/>
        </w:rPr>
        <w:t xml:space="preserve">low income = </w:t>
      </w:r>
      <w:r>
        <w:rPr>
          <w:rFonts w:cs="Arial"/>
          <w:b/>
          <w:sz w:val="18"/>
          <w:szCs w:val="18"/>
        </w:rPr>
        <w:t>in bottom income quintile)</w:t>
      </w:r>
      <w:r w:rsidR="00860710">
        <w:rPr>
          <w:rFonts w:cs="Arial"/>
          <w:sz w:val="18"/>
          <w:szCs w:val="18"/>
        </w:rPr>
        <w:t xml:space="preserve">, </w:t>
      </w:r>
      <w:r w:rsidRPr="009B7762">
        <w:rPr>
          <w:rFonts w:cs="Arial"/>
          <w:b/>
          <w:sz w:val="18"/>
          <w:szCs w:val="18"/>
        </w:rPr>
        <w:t xml:space="preserve">all respondents </w:t>
      </w:r>
    </w:p>
    <w:tbl>
      <w:tblPr>
        <w:tblStyle w:val="TableGrid"/>
        <w:tblW w:w="0" w:type="auto"/>
        <w:jc w:val="center"/>
        <w:tblInd w:w="576" w:type="dxa"/>
        <w:tblLayout w:type="fixed"/>
        <w:tblLook w:val="01E0"/>
      </w:tblPr>
      <w:tblGrid>
        <w:gridCol w:w="1407"/>
        <w:gridCol w:w="615"/>
        <w:gridCol w:w="551"/>
        <w:gridCol w:w="551"/>
        <w:gridCol w:w="551"/>
        <w:gridCol w:w="551"/>
        <w:gridCol w:w="551"/>
        <w:gridCol w:w="551"/>
      </w:tblGrid>
      <w:tr w:rsidR="0040500E" w:rsidRPr="006F79D8">
        <w:trPr>
          <w:jc w:val="center"/>
        </w:trPr>
        <w:tc>
          <w:tcPr>
            <w:tcW w:w="1407" w:type="dxa"/>
            <w:vAlign w:val="center"/>
          </w:tcPr>
          <w:p w:rsidR="0040500E" w:rsidRPr="006F79D8" w:rsidRDefault="0040500E" w:rsidP="00E62AFD">
            <w:pPr>
              <w:spacing w:before="40" w:after="40"/>
              <w:jc w:val="center"/>
              <w:rPr>
                <w:rFonts w:cs="Arial"/>
                <w:sz w:val="14"/>
                <w:szCs w:val="16"/>
              </w:rPr>
            </w:pPr>
          </w:p>
        </w:tc>
        <w:tc>
          <w:tcPr>
            <w:tcW w:w="615" w:type="dxa"/>
            <w:vAlign w:val="center"/>
          </w:tcPr>
          <w:p w:rsidR="0040500E" w:rsidRPr="006F79D8" w:rsidRDefault="0040500E" w:rsidP="00E62AFD">
            <w:pPr>
              <w:spacing w:before="40" w:after="40"/>
              <w:jc w:val="center"/>
              <w:rPr>
                <w:rFonts w:cs="Arial"/>
                <w:sz w:val="14"/>
                <w:szCs w:val="16"/>
              </w:rPr>
            </w:pPr>
          </w:p>
        </w:tc>
        <w:tc>
          <w:tcPr>
            <w:tcW w:w="3306" w:type="dxa"/>
            <w:gridSpan w:val="6"/>
            <w:tcBorders>
              <w:bottom w:val="single" w:sz="4" w:space="0" w:color="auto"/>
            </w:tcBorders>
            <w:vAlign w:val="center"/>
          </w:tcPr>
          <w:p w:rsidR="0040500E" w:rsidRPr="003518DB" w:rsidRDefault="0040500E" w:rsidP="00E62AFD">
            <w:pPr>
              <w:spacing w:before="40" w:after="40"/>
              <w:jc w:val="center"/>
              <w:rPr>
                <w:rFonts w:cs="Arial"/>
                <w:b/>
                <w:sz w:val="14"/>
                <w:szCs w:val="16"/>
              </w:rPr>
            </w:pPr>
            <w:r w:rsidRPr="003518DB">
              <w:rPr>
                <w:rFonts w:cs="Arial"/>
                <w:b/>
                <w:sz w:val="14"/>
                <w:szCs w:val="16"/>
              </w:rPr>
              <w:t xml:space="preserve">In low income in this </w:t>
            </w:r>
            <w:r>
              <w:rPr>
                <w:rFonts w:cs="Arial"/>
                <w:b/>
                <w:sz w:val="14"/>
                <w:szCs w:val="16"/>
              </w:rPr>
              <w:t>subsequent</w:t>
            </w:r>
            <w:r w:rsidRPr="003518DB">
              <w:rPr>
                <w:rFonts w:cs="Arial"/>
                <w:b/>
                <w:sz w:val="14"/>
                <w:szCs w:val="16"/>
              </w:rPr>
              <w:t xml:space="preserve"> wave</w:t>
            </w:r>
          </w:p>
        </w:tc>
      </w:tr>
      <w:tr w:rsidR="0040500E" w:rsidRPr="006F79D8">
        <w:trPr>
          <w:jc w:val="center"/>
        </w:trPr>
        <w:tc>
          <w:tcPr>
            <w:tcW w:w="1407" w:type="dxa"/>
            <w:tcBorders>
              <w:bottom w:val="single" w:sz="4" w:space="0" w:color="auto"/>
            </w:tcBorders>
            <w:vAlign w:val="center"/>
          </w:tcPr>
          <w:p w:rsidR="0040500E" w:rsidRPr="006F79D8" w:rsidRDefault="0040500E" w:rsidP="00E62AFD">
            <w:pPr>
              <w:spacing w:before="40" w:after="40"/>
              <w:jc w:val="center"/>
              <w:rPr>
                <w:rFonts w:cs="Arial"/>
                <w:sz w:val="14"/>
                <w:szCs w:val="16"/>
              </w:rPr>
            </w:pPr>
          </w:p>
        </w:tc>
        <w:tc>
          <w:tcPr>
            <w:tcW w:w="615" w:type="dxa"/>
            <w:tcBorders>
              <w:bottom w:val="single" w:sz="4" w:space="0" w:color="auto"/>
            </w:tcBorders>
            <w:vAlign w:val="center"/>
          </w:tcPr>
          <w:p w:rsidR="0040500E" w:rsidRPr="006F79D8" w:rsidRDefault="0040500E" w:rsidP="00E62AFD">
            <w:pPr>
              <w:spacing w:before="40" w:after="40"/>
              <w:jc w:val="center"/>
              <w:rPr>
                <w:rFonts w:cs="Arial"/>
                <w:sz w:val="14"/>
                <w:szCs w:val="16"/>
              </w:rPr>
            </w:pP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2</w:t>
            </w: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3</w:t>
            </w: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4</w:t>
            </w: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5</w:t>
            </w: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6</w:t>
            </w:r>
          </w:p>
        </w:tc>
        <w:tc>
          <w:tcPr>
            <w:tcW w:w="551" w:type="dxa"/>
            <w:tcBorders>
              <w:bottom w:val="single" w:sz="4" w:space="0" w:color="auto"/>
            </w:tcBorders>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7</w:t>
            </w:r>
          </w:p>
        </w:tc>
      </w:tr>
      <w:tr w:rsidR="0040500E" w:rsidRPr="006F79D8">
        <w:trPr>
          <w:jc w:val="center"/>
        </w:trPr>
        <w:tc>
          <w:tcPr>
            <w:tcW w:w="1407" w:type="dxa"/>
            <w:vMerge w:val="restart"/>
            <w:shd w:val="clear" w:color="auto" w:fill="auto"/>
            <w:vAlign w:val="center"/>
          </w:tcPr>
          <w:p w:rsidR="0040500E" w:rsidRPr="006F79D8" w:rsidRDefault="0040500E" w:rsidP="00E62AFD">
            <w:pPr>
              <w:spacing w:before="40" w:after="40"/>
              <w:jc w:val="center"/>
              <w:rPr>
                <w:rFonts w:cs="Arial"/>
                <w:b/>
                <w:sz w:val="14"/>
                <w:szCs w:val="16"/>
              </w:rPr>
            </w:pPr>
            <w:r w:rsidRPr="006F79D8">
              <w:rPr>
                <w:rFonts w:cs="Arial"/>
                <w:b/>
                <w:sz w:val="14"/>
                <w:szCs w:val="16"/>
              </w:rPr>
              <w:t xml:space="preserve">In low income in this </w:t>
            </w:r>
            <w:r>
              <w:rPr>
                <w:rFonts w:cs="Arial"/>
                <w:b/>
                <w:sz w:val="14"/>
                <w:szCs w:val="16"/>
              </w:rPr>
              <w:t>starting wave</w:t>
            </w: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1</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62</w:t>
            </w:r>
          </w:p>
        </w:tc>
        <w:tc>
          <w:tcPr>
            <w:tcW w:w="551" w:type="dxa"/>
            <w:tcBorders>
              <w:bottom w:val="single" w:sz="4" w:space="0" w:color="auto"/>
            </w:tcBorders>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57</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51</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49</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46</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45</w:t>
            </w:r>
          </w:p>
        </w:tc>
      </w:tr>
      <w:tr w:rsidR="0040500E" w:rsidRPr="006F79D8">
        <w:trPr>
          <w:jc w:val="center"/>
        </w:trPr>
        <w:tc>
          <w:tcPr>
            <w:tcW w:w="1407" w:type="dxa"/>
            <w:vMerge/>
            <w:shd w:val="clear" w:color="auto" w:fill="auto"/>
            <w:vAlign w:val="center"/>
          </w:tcPr>
          <w:p w:rsidR="0040500E" w:rsidRPr="006F79D8" w:rsidRDefault="0040500E" w:rsidP="00E62AFD">
            <w:pPr>
              <w:spacing w:before="40" w:after="40"/>
              <w:jc w:val="center"/>
              <w:rPr>
                <w:rFonts w:cs="Arial"/>
                <w:sz w:val="14"/>
                <w:szCs w:val="16"/>
              </w:rPr>
            </w:pP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2</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65</w:t>
            </w:r>
          </w:p>
        </w:tc>
        <w:tc>
          <w:tcPr>
            <w:tcW w:w="551" w:type="dxa"/>
            <w:tcBorders>
              <w:bottom w:val="single" w:sz="4" w:space="0" w:color="auto"/>
            </w:tcBorders>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r>
      <w:tr w:rsidR="0040500E" w:rsidRPr="006F79D8">
        <w:trPr>
          <w:jc w:val="center"/>
        </w:trPr>
        <w:tc>
          <w:tcPr>
            <w:tcW w:w="1407" w:type="dxa"/>
            <w:vMerge/>
            <w:shd w:val="clear" w:color="auto" w:fill="auto"/>
            <w:vAlign w:val="center"/>
          </w:tcPr>
          <w:p w:rsidR="0040500E" w:rsidRPr="006F79D8" w:rsidRDefault="0040500E" w:rsidP="00E62AFD">
            <w:pPr>
              <w:spacing w:before="40" w:after="40"/>
              <w:jc w:val="center"/>
              <w:rPr>
                <w:rFonts w:cs="Arial"/>
                <w:sz w:val="14"/>
                <w:szCs w:val="16"/>
              </w:rPr>
            </w:pP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3</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66</w:t>
            </w:r>
          </w:p>
        </w:tc>
        <w:tc>
          <w:tcPr>
            <w:tcW w:w="551" w:type="dxa"/>
            <w:tcBorders>
              <w:bottom w:val="single" w:sz="4" w:space="0" w:color="auto"/>
            </w:tcBorders>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r>
      <w:tr w:rsidR="0040500E" w:rsidRPr="006F79D8">
        <w:trPr>
          <w:jc w:val="center"/>
        </w:trPr>
        <w:tc>
          <w:tcPr>
            <w:tcW w:w="1407" w:type="dxa"/>
            <w:vMerge/>
            <w:shd w:val="clear" w:color="auto" w:fill="auto"/>
            <w:vAlign w:val="center"/>
          </w:tcPr>
          <w:p w:rsidR="0040500E" w:rsidRPr="006F79D8" w:rsidRDefault="0040500E" w:rsidP="00E62AFD">
            <w:pPr>
              <w:spacing w:before="40" w:after="40"/>
              <w:jc w:val="center"/>
              <w:rPr>
                <w:rFonts w:cs="Arial"/>
                <w:sz w:val="14"/>
                <w:szCs w:val="16"/>
              </w:rPr>
            </w:pP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4</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66</w:t>
            </w:r>
          </w:p>
        </w:tc>
        <w:tc>
          <w:tcPr>
            <w:tcW w:w="551" w:type="dxa"/>
            <w:tcBorders>
              <w:bottom w:val="single" w:sz="4" w:space="0" w:color="auto"/>
            </w:tcBorders>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r>
      <w:tr w:rsidR="0040500E" w:rsidRPr="006F79D8">
        <w:trPr>
          <w:jc w:val="center"/>
        </w:trPr>
        <w:tc>
          <w:tcPr>
            <w:tcW w:w="1407" w:type="dxa"/>
            <w:vMerge/>
            <w:shd w:val="clear" w:color="auto" w:fill="auto"/>
            <w:vAlign w:val="center"/>
          </w:tcPr>
          <w:p w:rsidR="0040500E" w:rsidRPr="006F79D8" w:rsidRDefault="0040500E" w:rsidP="00E62AFD">
            <w:pPr>
              <w:spacing w:before="40" w:after="40"/>
              <w:jc w:val="center"/>
              <w:rPr>
                <w:rFonts w:cs="Arial"/>
                <w:sz w:val="14"/>
                <w:szCs w:val="16"/>
              </w:rPr>
            </w:pP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5</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66</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t>
            </w:r>
          </w:p>
        </w:tc>
      </w:tr>
      <w:tr w:rsidR="0040500E" w:rsidRPr="006F79D8">
        <w:trPr>
          <w:jc w:val="center"/>
        </w:trPr>
        <w:tc>
          <w:tcPr>
            <w:tcW w:w="1407" w:type="dxa"/>
            <w:vMerge/>
            <w:shd w:val="clear" w:color="auto" w:fill="auto"/>
            <w:vAlign w:val="center"/>
          </w:tcPr>
          <w:p w:rsidR="0040500E" w:rsidRPr="006F79D8" w:rsidRDefault="0040500E" w:rsidP="00E62AFD">
            <w:pPr>
              <w:spacing w:before="40" w:after="40"/>
              <w:jc w:val="center"/>
              <w:rPr>
                <w:rFonts w:cs="Arial"/>
                <w:sz w:val="14"/>
                <w:szCs w:val="16"/>
              </w:rPr>
            </w:pPr>
          </w:p>
        </w:tc>
        <w:tc>
          <w:tcPr>
            <w:tcW w:w="615" w:type="dxa"/>
            <w:shd w:val="clear" w:color="auto" w:fill="auto"/>
            <w:vAlign w:val="center"/>
          </w:tcPr>
          <w:p w:rsidR="0040500E" w:rsidRPr="006F79D8" w:rsidRDefault="0040500E" w:rsidP="00E62AFD">
            <w:pPr>
              <w:spacing w:before="40" w:after="40"/>
              <w:jc w:val="center"/>
              <w:rPr>
                <w:rFonts w:cs="Arial"/>
                <w:sz w:val="14"/>
                <w:szCs w:val="16"/>
              </w:rPr>
            </w:pPr>
            <w:r w:rsidRPr="006F79D8">
              <w:rPr>
                <w:rFonts w:cs="Arial"/>
                <w:sz w:val="14"/>
                <w:szCs w:val="16"/>
              </w:rPr>
              <w:t>w</w:t>
            </w:r>
            <w:r>
              <w:rPr>
                <w:rFonts w:cs="Arial"/>
                <w:sz w:val="14"/>
                <w:szCs w:val="16"/>
              </w:rPr>
              <w:t>6</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w:t>
            </w:r>
          </w:p>
        </w:tc>
        <w:tc>
          <w:tcPr>
            <w:tcW w:w="551" w:type="dxa"/>
            <w:tcBorders>
              <w:bottom w:val="single" w:sz="4" w:space="0" w:color="auto"/>
            </w:tcBorders>
            <w:shd w:val="clear" w:color="auto" w:fill="auto"/>
            <w:vAlign w:val="center"/>
          </w:tcPr>
          <w:p w:rsidR="0040500E" w:rsidRPr="006F79D8" w:rsidRDefault="0040500E" w:rsidP="00E62AFD">
            <w:pPr>
              <w:spacing w:before="40" w:after="40"/>
              <w:jc w:val="center"/>
              <w:rPr>
                <w:rFonts w:cs="Arial"/>
                <w:sz w:val="14"/>
                <w:szCs w:val="16"/>
              </w:rPr>
            </w:pPr>
            <w:r>
              <w:rPr>
                <w:rFonts w:cs="Arial"/>
                <w:sz w:val="14"/>
                <w:szCs w:val="16"/>
              </w:rPr>
              <w:t>66</w:t>
            </w:r>
          </w:p>
        </w:tc>
      </w:tr>
    </w:tbl>
    <w:p w:rsidR="00860710" w:rsidRDefault="00860710" w:rsidP="00860710">
      <w:pPr>
        <w:spacing w:before="120"/>
        <w:ind w:left="1701"/>
        <w:rPr>
          <w:rFonts w:cs="Arial"/>
          <w:sz w:val="20"/>
        </w:rPr>
      </w:pPr>
      <w:r>
        <w:rPr>
          <w:rFonts w:cs="Arial"/>
          <w:sz w:val="16"/>
          <w:szCs w:val="16"/>
        </w:rPr>
        <w:t>Source:  Author’s calculations based on unpublished tables provided by UO.</w:t>
      </w:r>
    </w:p>
    <w:p w:rsidR="00705399" w:rsidRPr="0040500E" w:rsidRDefault="00860710" w:rsidP="00904257">
      <w:pPr>
        <w:rPr>
          <w:rFonts w:cs="Arial"/>
          <w:sz w:val="20"/>
          <w:u w:val="single"/>
        </w:rPr>
      </w:pPr>
      <w:r>
        <w:rPr>
          <w:rFonts w:cs="Arial"/>
          <w:sz w:val="20"/>
          <w:u w:val="single"/>
        </w:rPr>
        <w:br w:type="page"/>
      </w:r>
      <w:r w:rsidR="00705399" w:rsidRPr="0040500E">
        <w:rPr>
          <w:rFonts w:cs="Arial"/>
          <w:sz w:val="20"/>
          <w:u w:val="single"/>
        </w:rPr>
        <w:lastRenderedPageBreak/>
        <w:t>Chronic</w:t>
      </w:r>
      <w:r w:rsidR="0040500E">
        <w:rPr>
          <w:rFonts w:cs="Arial"/>
          <w:sz w:val="20"/>
          <w:u w:val="single"/>
        </w:rPr>
        <w:t xml:space="preserve"> low income</w:t>
      </w:r>
    </w:p>
    <w:p w:rsidR="0040500E" w:rsidRDefault="0040500E" w:rsidP="00904257">
      <w:pPr>
        <w:rPr>
          <w:rFonts w:cs="Arial"/>
          <w:sz w:val="20"/>
        </w:rPr>
      </w:pPr>
    </w:p>
    <w:p w:rsidR="0040500E" w:rsidRDefault="0040500E" w:rsidP="008146D2">
      <w:pPr>
        <w:jc w:val="both"/>
        <w:rPr>
          <w:rFonts w:cs="Arial"/>
          <w:sz w:val="20"/>
        </w:rPr>
      </w:pPr>
      <w:r>
        <w:rPr>
          <w:rFonts w:cs="Arial"/>
          <w:sz w:val="20"/>
        </w:rPr>
        <w:t>To be in chronic low income, an individual’s average household income over the seven waves must be less then the average low-income rate over that time</w:t>
      </w:r>
      <w:r w:rsidR="008146D2">
        <w:rPr>
          <w:rFonts w:cs="Arial"/>
          <w:sz w:val="20"/>
        </w:rPr>
        <w:t xml:space="preserve"> (see Figure L.4 above)</w:t>
      </w:r>
      <w:r>
        <w:rPr>
          <w:rFonts w:cs="Arial"/>
          <w:sz w:val="20"/>
        </w:rPr>
        <w:t xml:space="preserve">.  </w:t>
      </w:r>
      <w:r w:rsidRPr="001D27B9">
        <w:rPr>
          <w:rFonts w:cs="Arial"/>
          <w:b/>
          <w:sz w:val="20"/>
        </w:rPr>
        <w:t>Table L.</w:t>
      </w:r>
      <w:r w:rsidR="00BC5C99">
        <w:rPr>
          <w:rFonts w:cs="Arial"/>
          <w:b/>
          <w:sz w:val="20"/>
        </w:rPr>
        <w:t>9</w:t>
      </w:r>
      <w:r>
        <w:rPr>
          <w:rFonts w:cs="Arial"/>
          <w:sz w:val="20"/>
        </w:rPr>
        <w:t xml:space="preserve"> compares the current and chronic poverty rates for the whole population, children and Maori.</w:t>
      </w:r>
      <w:r w:rsidR="002C3FE2">
        <w:rPr>
          <w:rFonts w:cs="Arial"/>
          <w:sz w:val="20"/>
        </w:rPr>
        <w:t xml:space="preserve">  The chronic poverty rate is typically around </w:t>
      </w:r>
      <w:r w:rsidR="001D27B9">
        <w:rPr>
          <w:rFonts w:cs="Arial"/>
          <w:sz w:val="20"/>
        </w:rPr>
        <w:t>80% of the current poverty rate, a little higher for Maori.</w:t>
      </w:r>
    </w:p>
    <w:p w:rsidR="003C343C" w:rsidRDefault="003C343C" w:rsidP="00904257">
      <w:pPr>
        <w:rPr>
          <w:rFonts w:cs="Arial"/>
          <w:sz w:val="20"/>
        </w:rPr>
      </w:pPr>
    </w:p>
    <w:p w:rsidR="009A4701" w:rsidRPr="007A38AA" w:rsidRDefault="009A4701" w:rsidP="007A38AA">
      <w:pPr>
        <w:jc w:val="center"/>
        <w:rPr>
          <w:rFonts w:cs="Arial"/>
          <w:b/>
          <w:sz w:val="18"/>
          <w:szCs w:val="18"/>
        </w:rPr>
      </w:pPr>
      <w:r w:rsidRPr="007A38AA">
        <w:rPr>
          <w:rFonts w:cs="Arial"/>
          <w:b/>
          <w:sz w:val="18"/>
          <w:szCs w:val="18"/>
        </w:rPr>
        <w:t>Table L.</w:t>
      </w:r>
      <w:r w:rsidR="00BC5C99">
        <w:rPr>
          <w:rFonts w:cs="Arial"/>
          <w:b/>
          <w:sz w:val="18"/>
          <w:szCs w:val="18"/>
        </w:rPr>
        <w:t>9</w:t>
      </w:r>
    </w:p>
    <w:p w:rsidR="009A4701" w:rsidRPr="007A38AA" w:rsidRDefault="009A4701" w:rsidP="007A38AA">
      <w:pPr>
        <w:spacing w:after="120"/>
        <w:jc w:val="center"/>
        <w:rPr>
          <w:rFonts w:cs="Arial"/>
          <w:b/>
          <w:sz w:val="18"/>
          <w:szCs w:val="18"/>
        </w:rPr>
      </w:pPr>
      <w:r w:rsidRPr="007A38AA">
        <w:rPr>
          <w:rFonts w:cs="Arial"/>
          <w:b/>
          <w:sz w:val="18"/>
          <w:szCs w:val="18"/>
        </w:rPr>
        <w:t>Current and chronic low-income rates</w:t>
      </w:r>
    </w:p>
    <w:tbl>
      <w:tblPr>
        <w:tblStyle w:val="TableGrid"/>
        <w:tblW w:w="0" w:type="auto"/>
        <w:tblInd w:w="1809" w:type="dxa"/>
        <w:tblLook w:val="01E0"/>
      </w:tblPr>
      <w:tblGrid>
        <w:gridCol w:w="2694"/>
        <w:gridCol w:w="1346"/>
        <w:gridCol w:w="1346"/>
      </w:tblGrid>
      <w:tr w:rsidR="007A38AA">
        <w:tc>
          <w:tcPr>
            <w:tcW w:w="2694" w:type="dxa"/>
          </w:tcPr>
          <w:p w:rsidR="007A38AA" w:rsidRPr="007A38AA" w:rsidRDefault="007A38AA" w:rsidP="007A38AA">
            <w:pPr>
              <w:spacing w:before="20" w:after="20"/>
              <w:rPr>
                <w:rFonts w:cs="Arial"/>
                <w:sz w:val="16"/>
                <w:szCs w:val="16"/>
              </w:rPr>
            </w:pPr>
          </w:p>
        </w:tc>
        <w:tc>
          <w:tcPr>
            <w:tcW w:w="1346" w:type="dxa"/>
          </w:tcPr>
          <w:p w:rsidR="007A38AA" w:rsidRPr="007A38AA" w:rsidRDefault="007A38AA" w:rsidP="007A38AA">
            <w:pPr>
              <w:spacing w:before="20" w:after="20"/>
              <w:rPr>
                <w:rFonts w:cs="Arial"/>
                <w:b/>
                <w:sz w:val="16"/>
                <w:szCs w:val="16"/>
              </w:rPr>
            </w:pPr>
            <w:r w:rsidRPr="007A38AA">
              <w:rPr>
                <w:rFonts w:cs="Arial"/>
                <w:b/>
                <w:sz w:val="16"/>
                <w:szCs w:val="16"/>
              </w:rPr>
              <w:t>current (%)</w:t>
            </w:r>
          </w:p>
        </w:tc>
        <w:tc>
          <w:tcPr>
            <w:tcW w:w="1346" w:type="dxa"/>
          </w:tcPr>
          <w:p w:rsidR="007A38AA" w:rsidRPr="007A38AA" w:rsidRDefault="007A38AA" w:rsidP="007A38AA">
            <w:pPr>
              <w:spacing w:before="20" w:after="20"/>
              <w:rPr>
                <w:rFonts w:cs="Arial"/>
                <w:b/>
                <w:sz w:val="16"/>
                <w:szCs w:val="16"/>
              </w:rPr>
            </w:pPr>
            <w:r w:rsidRPr="007A38AA">
              <w:rPr>
                <w:rFonts w:cs="Arial"/>
                <w:b/>
                <w:sz w:val="16"/>
                <w:szCs w:val="16"/>
              </w:rPr>
              <w:t>chronic (%)</w:t>
            </w:r>
          </w:p>
        </w:tc>
      </w:tr>
      <w:tr w:rsidR="006C574F">
        <w:tc>
          <w:tcPr>
            <w:tcW w:w="2694" w:type="dxa"/>
          </w:tcPr>
          <w:p w:rsidR="006C574F" w:rsidRPr="007A38AA" w:rsidRDefault="006C574F" w:rsidP="00252E7D">
            <w:pPr>
              <w:spacing w:before="20" w:after="20"/>
              <w:ind w:left="318" w:hanging="318"/>
              <w:rPr>
                <w:rFonts w:cs="Arial"/>
                <w:b/>
                <w:sz w:val="16"/>
                <w:szCs w:val="16"/>
              </w:rPr>
            </w:pPr>
            <w:r w:rsidRPr="007A38AA">
              <w:rPr>
                <w:rFonts w:cs="Arial"/>
                <w:b/>
                <w:sz w:val="16"/>
                <w:szCs w:val="16"/>
              </w:rPr>
              <w:t>50% of gross median</w:t>
            </w:r>
          </w:p>
        </w:tc>
        <w:tc>
          <w:tcPr>
            <w:tcW w:w="1346" w:type="dxa"/>
          </w:tcPr>
          <w:p w:rsidR="006C574F" w:rsidRPr="007A38AA" w:rsidRDefault="006C574F" w:rsidP="00252E7D">
            <w:pPr>
              <w:spacing w:before="20" w:after="20"/>
              <w:jc w:val="center"/>
              <w:rPr>
                <w:rFonts w:cs="Arial"/>
                <w:sz w:val="16"/>
                <w:szCs w:val="16"/>
              </w:rPr>
            </w:pPr>
          </w:p>
        </w:tc>
        <w:tc>
          <w:tcPr>
            <w:tcW w:w="1346" w:type="dxa"/>
          </w:tcPr>
          <w:p w:rsidR="006C574F" w:rsidRPr="007A38AA" w:rsidRDefault="006C574F" w:rsidP="00252E7D">
            <w:pPr>
              <w:spacing w:before="20" w:after="20"/>
              <w:jc w:val="center"/>
              <w:rPr>
                <w:rFonts w:cs="Arial"/>
                <w:sz w:val="16"/>
                <w:szCs w:val="16"/>
              </w:rPr>
            </w:pPr>
          </w:p>
        </w:tc>
      </w:tr>
      <w:tr w:rsidR="006C574F">
        <w:tc>
          <w:tcPr>
            <w:tcW w:w="2694" w:type="dxa"/>
          </w:tcPr>
          <w:p w:rsidR="006C574F" w:rsidRPr="007A38AA" w:rsidRDefault="006C574F" w:rsidP="00252E7D">
            <w:pPr>
              <w:spacing w:before="20" w:after="20"/>
              <w:ind w:left="318" w:hanging="318"/>
              <w:rPr>
                <w:rFonts w:cs="Arial"/>
                <w:sz w:val="16"/>
                <w:szCs w:val="16"/>
              </w:rPr>
            </w:pPr>
            <w:r>
              <w:rPr>
                <w:rFonts w:cs="Arial"/>
                <w:sz w:val="16"/>
                <w:szCs w:val="16"/>
              </w:rPr>
              <w:tab/>
            </w:r>
            <w:r w:rsidRPr="007A38AA">
              <w:rPr>
                <w:rFonts w:cs="Arial"/>
                <w:sz w:val="16"/>
                <w:szCs w:val="16"/>
              </w:rPr>
              <w:t>whole population</w:t>
            </w:r>
          </w:p>
        </w:tc>
        <w:tc>
          <w:tcPr>
            <w:tcW w:w="1346" w:type="dxa"/>
          </w:tcPr>
          <w:p w:rsidR="006C574F" w:rsidRPr="007A38AA" w:rsidRDefault="006C574F" w:rsidP="00252E7D">
            <w:pPr>
              <w:spacing w:before="20" w:after="20"/>
              <w:jc w:val="center"/>
              <w:rPr>
                <w:rFonts w:cs="Arial"/>
                <w:sz w:val="16"/>
                <w:szCs w:val="16"/>
              </w:rPr>
            </w:pPr>
            <w:r>
              <w:rPr>
                <w:rFonts w:cs="Arial"/>
                <w:sz w:val="16"/>
                <w:szCs w:val="16"/>
              </w:rPr>
              <w:t>15</w:t>
            </w:r>
          </w:p>
        </w:tc>
        <w:tc>
          <w:tcPr>
            <w:tcW w:w="1346" w:type="dxa"/>
          </w:tcPr>
          <w:p w:rsidR="006C574F" w:rsidRPr="007A38AA" w:rsidRDefault="006C574F" w:rsidP="00252E7D">
            <w:pPr>
              <w:spacing w:before="20" w:after="20"/>
              <w:jc w:val="center"/>
              <w:rPr>
                <w:rFonts w:cs="Arial"/>
                <w:sz w:val="16"/>
                <w:szCs w:val="16"/>
              </w:rPr>
            </w:pPr>
            <w:r>
              <w:rPr>
                <w:rFonts w:cs="Arial"/>
                <w:sz w:val="16"/>
                <w:szCs w:val="16"/>
              </w:rPr>
              <w:t>11</w:t>
            </w:r>
          </w:p>
        </w:tc>
      </w:tr>
      <w:tr w:rsidR="006C574F">
        <w:tc>
          <w:tcPr>
            <w:tcW w:w="2694" w:type="dxa"/>
          </w:tcPr>
          <w:p w:rsidR="006C574F" w:rsidRPr="007A38AA" w:rsidRDefault="006C574F" w:rsidP="00252E7D">
            <w:pPr>
              <w:spacing w:before="20" w:after="20"/>
              <w:ind w:left="318" w:hanging="318"/>
              <w:rPr>
                <w:rFonts w:cs="Arial"/>
                <w:sz w:val="16"/>
                <w:szCs w:val="16"/>
              </w:rPr>
            </w:pPr>
            <w:r>
              <w:rPr>
                <w:rFonts w:cs="Arial"/>
                <w:sz w:val="16"/>
                <w:szCs w:val="16"/>
              </w:rPr>
              <w:tab/>
            </w:r>
            <w:r w:rsidRPr="007A38AA">
              <w:rPr>
                <w:rFonts w:cs="Arial"/>
                <w:sz w:val="16"/>
                <w:szCs w:val="16"/>
              </w:rPr>
              <w:t>children(0-11 yrs in w1)</w:t>
            </w:r>
          </w:p>
        </w:tc>
        <w:tc>
          <w:tcPr>
            <w:tcW w:w="1346" w:type="dxa"/>
          </w:tcPr>
          <w:p w:rsidR="006C574F" w:rsidRPr="007A38AA" w:rsidRDefault="006C574F" w:rsidP="00252E7D">
            <w:pPr>
              <w:spacing w:before="20" w:after="20"/>
              <w:jc w:val="center"/>
              <w:rPr>
                <w:rFonts w:cs="Arial"/>
                <w:sz w:val="16"/>
                <w:szCs w:val="16"/>
              </w:rPr>
            </w:pPr>
            <w:r>
              <w:rPr>
                <w:rFonts w:cs="Arial"/>
                <w:sz w:val="16"/>
                <w:szCs w:val="16"/>
              </w:rPr>
              <w:t>19</w:t>
            </w:r>
          </w:p>
        </w:tc>
        <w:tc>
          <w:tcPr>
            <w:tcW w:w="1346" w:type="dxa"/>
          </w:tcPr>
          <w:p w:rsidR="006C574F" w:rsidRPr="007A38AA" w:rsidRDefault="006C574F" w:rsidP="00252E7D">
            <w:pPr>
              <w:spacing w:before="20" w:after="20"/>
              <w:jc w:val="center"/>
              <w:rPr>
                <w:rFonts w:cs="Arial"/>
                <w:sz w:val="16"/>
                <w:szCs w:val="16"/>
              </w:rPr>
            </w:pPr>
            <w:r>
              <w:rPr>
                <w:rFonts w:cs="Arial"/>
                <w:sz w:val="16"/>
                <w:szCs w:val="16"/>
              </w:rPr>
              <w:t>1</w:t>
            </w:r>
            <w:r w:rsidR="008146D2">
              <w:rPr>
                <w:rFonts w:cs="Arial"/>
                <w:sz w:val="16"/>
                <w:szCs w:val="16"/>
              </w:rPr>
              <w:t>6</w:t>
            </w:r>
          </w:p>
        </w:tc>
      </w:tr>
      <w:tr w:rsidR="006C574F">
        <w:tc>
          <w:tcPr>
            <w:tcW w:w="2694" w:type="dxa"/>
          </w:tcPr>
          <w:p w:rsidR="006C574F" w:rsidRPr="007A38AA" w:rsidRDefault="006C574F" w:rsidP="007A38AA">
            <w:pPr>
              <w:spacing w:before="20" w:after="20"/>
              <w:ind w:left="318" w:hanging="318"/>
              <w:rPr>
                <w:rFonts w:cs="Arial"/>
                <w:b/>
                <w:sz w:val="16"/>
                <w:szCs w:val="16"/>
              </w:rPr>
            </w:pPr>
            <w:r w:rsidRPr="007A38AA">
              <w:rPr>
                <w:rFonts w:cs="Arial"/>
                <w:b/>
                <w:sz w:val="16"/>
                <w:szCs w:val="16"/>
              </w:rPr>
              <w:t>60% of gross median</w:t>
            </w:r>
          </w:p>
        </w:tc>
        <w:tc>
          <w:tcPr>
            <w:tcW w:w="1346" w:type="dxa"/>
          </w:tcPr>
          <w:p w:rsidR="006C574F" w:rsidRPr="007A38AA" w:rsidRDefault="006C574F" w:rsidP="007A38AA">
            <w:pPr>
              <w:spacing w:before="20" w:after="20"/>
              <w:rPr>
                <w:rFonts w:cs="Arial"/>
                <w:sz w:val="16"/>
                <w:szCs w:val="16"/>
              </w:rPr>
            </w:pPr>
          </w:p>
        </w:tc>
        <w:tc>
          <w:tcPr>
            <w:tcW w:w="1346" w:type="dxa"/>
          </w:tcPr>
          <w:p w:rsidR="006C574F" w:rsidRPr="007A38AA" w:rsidRDefault="006C574F" w:rsidP="007A38AA">
            <w:pPr>
              <w:spacing w:before="20" w:after="20"/>
              <w:rPr>
                <w:rFonts w:cs="Arial"/>
                <w:sz w:val="16"/>
                <w:szCs w:val="16"/>
              </w:rPr>
            </w:pPr>
          </w:p>
        </w:tc>
      </w:tr>
      <w:tr w:rsidR="006C574F">
        <w:tc>
          <w:tcPr>
            <w:tcW w:w="2694" w:type="dxa"/>
          </w:tcPr>
          <w:p w:rsidR="006C574F" w:rsidRPr="007A38AA" w:rsidRDefault="006C574F" w:rsidP="007A38AA">
            <w:pPr>
              <w:spacing w:before="20" w:after="20"/>
              <w:ind w:left="318" w:hanging="318"/>
              <w:rPr>
                <w:rFonts w:cs="Arial"/>
                <w:sz w:val="16"/>
                <w:szCs w:val="16"/>
              </w:rPr>
            </w:pPr>
            <w:r>
              <w:rPr>
                <w:rFonts w:cs="Arial"/>
                <w:sz w:val="16"/>
                <w:szCs w:val="16"/>
              </w:rPr>
              <w:tab/>
            </w:r>
            <w:r w:rsidRPr="007A38AA">
              <w:rPr>
                <w:rFonts w:cs="Arial"/>
                <w:sz w:val="16"/>
                <w:szCs w:val="16"/>
              </w:rPr>
              <w:t>whole population</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26</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21</w:t>
            </w:r>
          </w:p>
        </w:tc>
      </w:tr>
      <w:tr w:rsidR="006C574F">
        <w:tc>
          <w:tcPr>
            <w:tcW w:w="2694" w:type="dxa"/>
          </w:tcPr>
          <w:p w:rsidR="006C574F" w:rsidRPr="007A38AA" w:rsidRDefault="006C574F" w:rsidP="007A38AA">
            <w:pPr>
              <w:spacing w:before="20" w:after="20"/>
              <w:ind w:left="318" w:hanging="318"/>
              <w:rPr>
                <w:rFonts w:cs="Arial"/>
                <w:sz w:val="16"/>
                <w:szCs w:val="16"/>
              </w:rPr>
            </w:pPr>
            <w:r>
              <w:rPr>
                <w:rFonts w:cs="Arial"/>
                <w:sz w:val="16"/>
                <w:szCs w:val="16"/>
              </w:rPr>
              <w:tab/>
            </w:r>
            <w:r w:rsidRPr="007A38AA">
              <w:rPr>
                <w:rFonts w:cs="Arial"/>
                <w:sz w:val="16"/>
                <w:szCs w:val="16"/>
              </w:rPr>
              <w:t>children (0-17 yrs in w1)</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29</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24</w:t>
            </w:r>
          </w:p>
        </w:tc>
      </w:tr>
      <w:tr w:rsidR="006C574F">
        <w:tc>
          <w:tcPr>
            <w:tcW w:w="2694" w:type="dxa"/>
          </w:tcPr>
          <w:p w:rsidR="006C574F" w:rsidRPr="007A38AA" w:rsidRDefault="006C574F" w:rsidP="007A38AA">
            <w:pPr>
              <w:spacing w:before="20" w:after="20"/>
              <w:ind w:left="318" w:hanging="318"/>
              <w:rPr>
                <w:rFonts w:cs="Arial"/>
                <w:sz w:val="16"/>
                <w:szCs w:val="16"/>
              </w:rPr>
            </w:pPr>
            <w:r>
              <w:rPr>
                <w:rFonts w:cs="Arial"/>
                <w:sz w:val="16"/>
                <w:szCs w:val="16"/>
              </w:rPr>
              <w:tab/>
            </w:r>
            <w:r w:rsidRPr="007A38AA">
              <w:rPr>
                <w:rFonts w:cs="Arial"/>
                <w:sz w:val="16"/>
                <w:szCs w:val="16"/>
              </w:rPr>
              <w:t>Maori</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36</w:t>
            </w:r>
          </w:p>
        </w:tc>
        <w:tc>
          <w:tcPr>
            <w:tcW w:w="1346" w:type="dxa"/>
          </w:tcPr>
          <w:p w:rsidR="006C574F" w:rsidRPr="007A38AA" w:rsidRDefault="006C574F" w:rsidP="007A38AA">
            <w:pPr>
              <w:spacing w:before="20" w:after="20"/>
              <w:jc w:val="center"/>
              <w:rPr>
                <w:rFonts w:cs="Arial"/>
                <w:sz w:val="16"/>
                <w:szCs w:val="16"/>
              </w:rPr>
            </w:pPr>
            <w:r>
              <w:rPr>
                <w:rFonts w:cs="Arial"/>
                <w:sz w:val="16"/>
                <w:szCs w:val="16"/>
              </w:rPr>
              <w:t>32</w:t>
            </w:r>
          </w:p>
        </w:tc>
      </w:tr>
    </w:tbl>
    <w:p w:rsidR="009A4701" w:rsidRDefault="009A4701" w:rsidP="00904257">
      <w:pPr>
        <w:rPr>
          <w:rFonts w:cs="Arial"/>
          <w:sz w:val="20"/>
        </w:rPr>
      </w:pPr>
    </w:p>
    <w:p w:rsidR="002C5FC2" w:rsidRPr="00806B46" w:rsidRDefault="001D27B9" w:rsidP="002C5FC2">
      <w:pPr>
        <w:jc w:val="both"/>
        <w:rPr>
          <w:rFonts w:cs="Arial"/>
          <w:sz w:val="20"/>
        </w:rPr>
      </w:pPr>
      <w:r>
        <w:rPr>
          <w:rFonts w:cs="Arial"/>
          <w:sz w:val="20"/>
        </w:rPr>
        <w:t xml:space="preserve">However, </w:t>
      </w:r>
      <w:r w:rsidR="00EB74CC">
        <w:rPr>
          <w:rFonts w:cs="Arial"/>
          <w:sz w:val="20"/>
        </w:rPr>
        <w:t xml:space="preserve">those in chronic low income do not form a subset of those in current low income.  As shown in </w:t>
      </w:r>
      <w:r w:rsidR="00EB74CC" w:rsidRPr="00EB74CC">
        <w:rPr>
          <w:rFonts w:cs="Arial"/>
          <w:b/>
          <w:sz w:val="20"/>
        </w:rPr>
        <w:t>Figure L.6</w:t>
      </w:r>
      <w:r w:rsidR="00EB74CC">
        <w:rPr>
          <w:rFonts w:cs="Arial"/>
          <w:sz w:val="20"/>
        </w:rPr>
        <w:t xml:space="preserve"> </w:t>
      </w:r>
      <w:r w:rsidR="008146D2">
        <w:rPr>
          <w:rFonts w:cs="Arial"/>
          <w:sz w:val="20"/>
        </w:rPr>
        <w:t xml:space="preserve">(ovals) </w:t>
      </w:r>
      <w:r w:rsidR="00EB74CC">
        <w:rPr>
          <w:rFonts w:cs="Arial"/>
          <w:sz w:val="20"/>
        </w:rPr>
        <w:t>s</w:t>
      </w:r>
      <w:r>
        <w:rPr>
          <w:rFonts w:cs="Arial"/>
          <w:sz w:val="20"/>
        </w:rPr>
        <w:t xml:space="preserve">ome who are </w:t>
      </w:r>
      <w:r w:rsidR="009B5F9A">
        <w:rPr>
          <w:rFonts w:cs="Arial"/>
          <w:sz w:val="20"/>
        </w:rPr>
        <w:t>in current</w:t>
      </w:r>
      <w:r>
        <w:rPr>
          <w:rFonts w:cs="Arial"/>
          <w:sz w:val="20"/>
        </w:rPr>
        <w:t xml:space="preserve"> low income in a</w:t>
      </w:r>
      <w:r w:rsidR="009B5F9A">
        <w:rPr>
          <w:rFonts w:cs="Arial"/>
          <w:sz w:val="20"/>
        </w:rPr>
        <w:t xml:space="preserve"> particular</w:t>
      </w:r>
      <w:r>
        <w:rPr>
          <w:rFonts w:cs="Arial"/>
          <w:sz w:val="20"/>
        </w:rPr>
        <w:t xml:space="preserve"> wave are not in chronic low income.  Similarly, some who </w:t>
      </w:r>
      <w:r w:rsidR="009B5F9A">
        <w:rPr>
          <w:rFonts w:cs="Arial"/>
          <w:sz w:val="20"/>
        </w:rPr>
        <w:t xml:space="preserve">are </w:t>
      </w:r>
      <w:r>
        <w:rPr>
          <w:rFonts w:cs="Arial"/>
          <w:sz w:val="20"/>
        </w:rPr>
        <w:t xml:space="preserve">in chronic low income are not in current </w:t>
      </w:r>
      <w:r w:rsidR="009B5F9A">
        <w:rPr>
          <w:rFonts w:cs="Arial"/>
          <w:sz w:val="20"/>
        </w:rPr>
        <w:t xml:space="preserve">low </w:t>
      </w:r>
      <w:r>
        <w:rPr>
          <w:rFonts w:cs="Arial"/>
          <w:sz w:val="20"/>
        </w:rPr>
        <w:t xml:space="preserve">income in every wave.  </w:t>
      </w:r>
      <w:r w:rsidR="00EB74CC" w:rsidRPr="00EB74CC">
        <w:rPr>
          <w:rFonts w:cs="Arial"/>
          <w:sz w:val="20"/>
        </w:rPr>
        <w:t>The rectan</w:t>
      </w:r>
      <w:r w:rsidR="00EB74CC">
        <w:rPr>
          <w:rFonts w:cs="Arial"/>
          <w:sz w:val="20"/>
        </w:rPr>
        <w:t>gles</w:t>
      </w:r>
      <w:r w:rsidR="00EB74CC" w:rsidRPr="00EB74CC">
        <w:rPr>
          <w:rFonts w:cs="Arial"/>
          <w:sz w:val="20"/>
        </w:rPr>
        <w:t xml:space="preserve"> show the full compositional and rate picture (chronic and current) using the 50% of gross threshold.</w:t>
      </w:r>
      <w:r w:rsidR="00EB74CC">
        <w:rPr>
          <w:rFonts w:cs="Arial"/>
          <w:b/>
          <w:sz w:val="20"/>
        </w:rPr>
        <w:t xml:space="preserve">  </w:t>
      </w:r>
      <w:r w:rsidR="002C5FC2" w:rsidRPr="00806B46">
        <w:rPr>
          <w:rFonts w:cs="Arial"/>
          <w:sz w:val="20"/>
        </w:rPr>
        <w:t>The ‘+20%’</w:t>
      </w:r>
      <w:r w:rsidR="002C5FC2">
        <w:rPr>
          <w:rFonts w:cs="Arial"/>
          <w:sz w:val="20"/>
        </w:rPr>
        <w:t xml:space="preserve"> in the upper rectangle is the proportion in ‘chronic only’ compared with the number in ‘current’.</w:t>
      </w:r>
    </w:p>
    <w:p w:rsidR="009A4701" w:rsidRDefault="009A4701" w:rsidP="00904257">
      <w:pPr>
        <w:rPr>
          <w:rFonts w:cs="Arial"/>
          <w:sz w:val="20"/>
        </w:rPr>
      </w:pPr>
    </w:p>
    <w:p w:rsidR="00373730" w:rsidRPr="007A38AA" w:rsidRDefault="00373730" w:rsidP="00373730">
      <w:pPr>
        <w:jc w:val="center"/>
        <w:rPr>
          <w:rFonts w:cs="Arial"/>
          <w:b/>
          <w:sz w:val="18"/>
          <w:szCs w:val="18"/>
        </w:rPr>
      </w:pPr>
      <w:r>
        <w:rPr>
          <w:rFonts w:cs="Arial"/>
          <w:b/>
          <w:sz w:val="18"/>
          <w:szCs w:val="18"/>
        </w:rPr>
        <w:t xml:space="preserve">Figure </w:t>
      </w:r>
      <w:r w:rsidR="00EB74CC">
        <w:rPr>
          <w:rFonts w:cs="Arial"/>
          <w:b/>
          <w:sz w:val="18"/>
          <w:szCs w:val="18"/>
        </w:rPr>
        <w:t>L.6</w:t>
      </w:r>
    </w:p>
    <w:p w:rsidR="00373730" w:rsidRDefault="00373730" w:rsidP="00373730">
      <w:pPr>
        <w:spacing w:after="120"/>
        <w:jc w:val="center"/>
        <w:rPr>
          <w:rFonts w:cs="Arial"/>
          <w:b/>
          <w:sz w:val="18"/>
          <w:szCs w:val="18"/>
        </w:rPr>
      </w:pPr>
      <w:r w:rsidRPr="007A38AA">
        <w:rPr>
          <w:rFonts w:cs="Arial"/>
          <w:b/>
          <w:sz w:val="18"/>
          <w:szCs w:val="18"/>
        </w:rPr>
        <w:t>Current and chronic low-income rates</w:t>
      </w:r>
      <w:r>
        <w:rPr>
          <w:rFonts w:cs="Arial"/>
          <w:b/>
          <w:sz w:val="18"/>
          <w:szCs w:val="18"/>
        </w:rPr>
        <w:t>, and overlap:  population, 50% gross threshold</w:t>
      </w:r>
    </w:p>
    <w:p w:rsidR="00373730" w:rsidRDefault="00373730" w:rsidP="00373730">
      <w:pPr>
        <w:spacing w:after="120"/>
        <w:jc w:val="both"/>
        <w:rPr>
          <w:rFonts w:cs="Arial"/>
          <w:b/>
          <w:sz w:val="18"/>
          <w:szCs w:val="18"/>
        </w:rPr>
      </w:pPr>
      <w:r>
        <w:rPr>
          <w:rFonts w:cs="Arial"/>
          <w:noProof/>
          <w:sz w:val="20"/>
          <w:lang w:val="en-AU" w:eastAsia="en-AU"/>
        </w:rPr>
        <w:pict>
          <v:oval id="_x0000_s1281" style="position:absolute;left:0;text-align:left;margin-left:170.65pt;margin-top:12.7pt;width:169pt;height:86.05pt;z-index:251687424" filled="f" strokecolor="blue" strokeweight="1pt"/>
        </w:pict>
      </w:r>
      <w:r>
        <w:rPr>
          <w:rFonts w:cs="Arial"/>
          <w:noProof/>
          <w:sz w:val="20"/>
          <w:lang w:val="en-AU" w:eastAsia="en-AU"/>
        </w:rPr>
        <w:pict>
          <v:oval id="_x0000_s1280" style="position:absolute;left:0;text-align:left;margin-left:104.25pt;margin-top:.25pt;width:189.25pt;height:114.55pt;z-index:251686400" filled="f" strokecolor="red" strokeweight="1pt"/>
        </w:pict>
      </w:r>
    </w:p>
    <w:p w:rsidR="00373730" w:rsidRDefault="00373730" w:rsidP="00373730">
      <w:pPr>
        <w:spacing w:after="120"/>
        <w:jc w:val="both"/>
        <w:rPr>
          <w:rFonts w:cs="Arial"/>
          <w:b/>
          <w:sz w:val="18"/>
          <w:szCs w:val="18"/>
        </w:rPr>
      </w:pPr>
    </w:p>
    <w:p w:rsidR="00373730" w:rsidRDefault="00373730" w:rsidP="00373730">
      <w:pPr>
        <w:spacing w:after="120"/>
        <w:jc w:val="both"/>
        <w:rPr>
          <w:rFonts w:cs="Arial"/>
          <w:b/>
          <w:sz w:val="18"/>
          <w:szCs w:val="18"/>
        </w:rPr>
      </w:pPr>
      <w:r>
        <w:rPr>
          <w:rFonts w:cs="Arial"/>
          <w:b/>
          <w:noProof/>
          <w:sz w:val="18"/>
          <w:szCs w:val="18"/>
          <w:lang w:val="en-AU" w:eastAsia="en-AU"/>
        </w:rPr>
        <w:pict>
          <v:shape id="_x0000_s1285" type="#_x0000_t202" style="position:absolute;left:0;text-align:left;margin-left:194.6pt;margin-top:8.9pt;width:69pt;height:30.75pt;z-index:251691520" stroked="f">
            <v:textbox style="mso-next-textbox:#_x0000_s1285">
              <w:txbxContent>
                <w:p w:rsidR="00373730" w:rsidRPr="00963B30" w:rsidRDefault="00373730" w:rsidP="00373730">
                  <w:pPr>
                    <w:spacing w:before="40"/>
                    <w:jc w:val="center"/>
                    <w:rPr>
                      <w:b/>
                      <w:sz w:val="18"/>
                      <w:szCs w:val="18"/>
                      <w:lang w:val="en-NZ"/>
                    </w:rPr>
                  </w:pPr>
                  <w:r w:rsidRPr="00963B30">
                    <w:rPr>
                      <w:b/>
                      <w:sz w:val="18"/>
                      <w:szCs w:val="18"/>
                      <w:lang w:val="en-NZ"/>
                    </w:rPr>
                    <w:t>current and chronic</w:t>
                  </w:r>
                </w:p>
              </w:txbxContent>
            </v:textbox>
          </v:shape>
        </w:pict>
      </w:r>
      <w:r>
        <w:rPr>
          <w:rFonts w:cs="Arial"/>
          <w:b/>
          <w:noProof/>
          <w:sz w:val="18"/>
          <w:szCs w:val="18"/>
          <w:lang w:val="en-AU" w:eastAsia="en-AU"/>
        </w:rPr>
        <w:pict>
          <v:shape id="_x0000_s1286" type="#_x0000_t202" style="position:absolute;left:0;text-align:left;margin-left:117.35pt;margin-top:8.85pt;width:51.75pt;height:30.75pt;z-index:251692544" filled="f" stroked="f">
            <v:textbox style="mso-next-textbox:#_x0000_s1286">
              <w:txbxContent>
                <w:p w:rsidR="00373730" w:rsidRPr="00963B30" w:rsidRDefault="00373730" w:rsidP="00373730">
                  <w:pPr>
                    <w:spacing w:before="40"/>
                    <w:jc w:val="center"/>
                    <w:rPr>
                      <w:b/>
                      <w:sz w:val="18"/>
                      <w:szCs w:val="18"/>
                      <w:lang w:val="en-NZ"/>
                    </w:rPr>
                  </w:pPr>
                  <w:r w:rsidRPr="00963B30">
                    <w:rPr>
                      <w:b/>
                      <w:sz w:val="18"/>
                      <w:szCs w:val="18"/>
                      <w:lang w:val="en-NZ"/>
                    </w:rPr>
                    <w:t>current only</w:t>
                  </w:r>
                </w:p>
              </w:txbxContent>
            </v:textbox>
          </v:shape>
        </w:pict>
      </w:r>
      <w:r>
        <w:rPr>
          <w:rFonts w:cs="Arial"/>
          <w:b/>
          <w:noProof/>
          <w:sz w:val="18"/>
          <w:szCs w:val="18"/>
          <w:lang w:val="en-AU" w:eastAsia="en-AU"/>
        </w:rPr>
        <w:pict>
          <v:shape id="_x0000_s1287" type="#_x0000_t202" style="position:absolute;left:0;text-align:left;margin-left:293.05pt;margin-top:8.3pt;width:48.55pt;height:31.9pt;z-index:251693568" filled="f" stroked="f">
            <v:textbox style="mso-next-textbox:#_x0000_s1287">
              <w:txbxContent>
                <w:p w:rsidR="00373730" w:rsidRPr="00963B30" w:rsidRDefault="00373730" w:rsidP="00373730">
                  <w:pPr>
                    <w:spacing w:before="40"/>
                    <w:jc w:val="center"/>
                    <w:rPr>
                      <w:b/>
                      <w:sz w:val="18"/>
                      <w:szCs w:val="18"/>
                      <w:lang w:val="en-NZ"/>
                    </w:rPr>
                  </w:pPr>
                  <w:r w:rsidRPr="00963B30">
                    <w:rPr>
                      <w:b/>
                      <w:sz w:val="18"/>
                      <w:szCs w:val="18"/>
                      <w:lang w:val="en-NZ"/>
                    </w:rPr>
                    <w:t>chronic only</w:t>
                  </w:r>
                </w:p>
              </w:txbxContent>
            </v:textbox>
          </v:shape>
        </w:pict>
      </w:r>
    </w:p>
    <w:p w:rsidR="00373730" w:rsidRDefault="00373730" w:rsidP="00373730">
      <w:pPr>
        <w:spacing w:after="120"/>
        <w:jc w:val="both"/>
        <w:rPr>
          <w:rFonts w:cs="Arial"/>
          <w:b/>
          <w:sz w:val="18"/>
          <w:szCs w:val="18"/>
        </w:rPr>
      </w:pPr>
    </w:p>
    <w:p w:rsidR="00373730" w:rsidRDefault="00373730" w:rsidP="00373730">
      <w:pPr>
        <w:spacing w:after="120"/>
        <w:jc w:val="both"/>
        <w:rPr>
          <w:rFonts w:cs="Arial"/>
          <w:b/>
          <w:sz w:val="18"/>
          <w:szCs w:val="18"/>
        </w:rPr>
      </w:pPr>
    </w:p>
    <w:p w:rsidR="00373730" w:rsidRDefault="00373730" w:rsidP="00373730">
      <w:pPr>
        <w:spacing w:after="120"/>
        <w:jc w:val="both"/>
        <w:rPr>
          <w:rFonts w:cs="Arial"/>
          <w:b/>
          <w:sz w:val="18"/>
          <w:szCs w:val="18"/>
        </w:rPr>
      </w:pPr>
    </w:p>
    <w:p w:rsidR="00373730" w:rsidRDefault="00373730" w:rsidP="00373730">
      <w:pPr>
        <w:spacing w:after="120"/>
        <w:jc w:val="both"/>
        <w:rPr>
          <w:rFonts w:cs="Arial"/>
          <w:b/>
          <w:sz w:val="18"/>
          <w:szCs w:val="18"/>
        </w:rPr>
      </w:pPr>
    </w:p>
    <w:p w:rsidR="00373730" w:rsidRDefault="00373730" w:rsidP="00373730">
      <w:pPr>
        <w:spacing w:after="120"/>
        <w:jc w:val="both"/>
        <w:rPr>
          <w:rFonts w:cs="Arial"/>
          <w:b/>
          <w:sz w:val="18"/>
          <w:szCs w:val="18"/>
        </w:rPr>
      </w:pPr>
      <w:r>
        <w:rPr>
          <w:rFonts w:cs="Arial"/>
          <w:b/>
          <w:noProof/>
          <w:sz w:val="18"/>
          <w:szCs w:val="18"/>
          <w:lang w:val="en-AU" w:eastAsia="en-AU"/>
        </w:rPr>
        <w:pict>
          <v:shape id="_x0000_s1290" type="#_x0000_t202" style="position:absolute;left:0;text-align:left;margin-left:345.35pt;margin-top:1.95pt;width:87.75pt;height:27.75pt;z-index:251696640" stroked="f">
            <v:textbox style="mso-next-textbox:#_x0000_s1290">
              <w:txbxContent>
                <w:p w:rsidR="00373730" w:rsidRPr="009A4701" w:rsidRDefault="00373730" w:rsidP="00373730">
                  <w:pPr>
                    <w:rPr>
                      <w:b/>
                      <w:sz w:val="16"/>
                      <w:szCs w:val="16"/>
                      <w:lang w:val="en-NZ"/>
                    </w:rPr>
                  </w:pPr>
                  <w:r w:rsidRPr="009A4701">
                    <w:rPr>
                      <w:b/>
                      <w:sz w:val="16"/>
                      <w:szCs w:val="16"/>
                      <w:lang w:val="en-NZ"/>
                    </w:rPr>
                    <w:t>composition, (current = 100%)</w:t>
                  </w:r>
                </w:p>
              </w:txbxContent>
            </v:textbox>
          </v:shape>
        </w:pict>
      </w:r>
      <w:r>
        <w:rPr>
          <w:rFonts w:cs="Arial"/>
          <w:b/>
          <w:noProof/>
          <w:sz w:val="18"/>
          <w:szCs w:val="18"/>
          <w:lang w:val="en-AU" w:eastAsia="en-AU"/>
        </w:rPr>
        <w:pict>
          <v:line id="_x0000_s1283" style="position:absolute;left:0;text-align:left;z-index:251689472" from="192pt,4.3pt" to="192.05pt,23.3pt"/>
        </w:pict>
      </w:r>
      <w:r>
        <w:rPr>
          <w:rFonts w:cs="Arial"/>
          <w:b/>
          <w:noProof/>
          <w:sz w:val="18"/>
          <w:szCs w:val="18"/>
          <w:lang w:val="en-AU" w:eastAsia="en-AU"/>
        </w:rPr>
        <w:pict>
          <v:shape id="_x0000_s1282" type="#_x0000_t202" style="position:absolute;left:0;text-align:left;margin-left:97.5pt;margin-top:4.3pt;width:236.15pt;height:19.65pt;z-index:251688448">
            <v:textbox style="mso-next-textbox:#_x0000_s1282" inset=",0,1mm">
              <w:txbxContent>
                <w:p w:rsidR="00373730" w:rsidRPr="00295946" w:rsidRDefault="00373730" w:rsidP="00373730">
                  <w:pPr>
                    <w:tabs>
                      <w:tab w:val="left" w:pos="709"/>
                      <w:tab w:val="left" w:pos="2410"/>
                      <w:tab w:val="left" w:pos="3969"/>
                    </w:tabs>
                    <w:spacing w:before="80"/>
                    <w:rPr>
                      <w:b/>
                      <w:sz w:val="16"/>
                      <w:szCs w:val="16"/>
                      <w:lang w:val="en-NZ"/>
                    </w:rPr>
                  </w:pPr>
                  <w:r w:rsidRPr="00C878E1">
                    <w:rPr>
                      <w:b/>
                      <w:lang w:val="en-NZ"/>
                    </w:rPr>
                    <w:tab/>
                  </w:r>
                  <w:r>
                    <w:rPr>
                      <w:b/>
                      <w:sz w:val="16"/>
                      <w:szCs w:val="16"/>
                      <w:lang w:val="en-NZ"/>
                    </w:rPr>
                    <w:t>50</w:t>
                  </w:r>
                  <w:r w:rsidRPr="00295946">
                    <w:rPr>
                      <w:b/>
                      <w:sz w:val="16"/>
                      <w:szCs w:val="16"/>
                      <w:lang w:val="en-NZ"/>
                    </w:rPr>
                    <w:t>%</w:t>
                  </w:r>
                  <w:r>
                    <w:rPr>
                      <w:b/>
                      <w:sz w:val="16"/>
                      <w:szCs w:val="16"/>
                      <w:lang w:val="en-NZ"/>
                    </w:rPr>
                    <w:tab/>
                    <w:t>50</w:t>
                  </w:r>
                  <w:r w:rsidRPr="00295946">
                    <w:rPr>
                      <w:b/>
                      <w:sz w:val="16"/>
                      <w:szCs w:val="16"/>
                      <w:lang w:val="en-NZ"/>
                    </w:rPr>
                    <w:t>%</w:t>
                  </w:r>
                  <w:r>
                    <w:rPr>
                      <w:b/>
                      <w:sz w:val="16"/>
                      <w:szCs w:val="16"/>
                      <w:lang w:val="en-NZ"/>
                    </w:rPr>
                    <w:tab/>
                  </w:r>
                  <w:r w:rsidRPr="00295946">
                    <w:rPr>
                      <w:b/>
                      <w:sz w:val="16"/>
                      <w:szCs w:val="16"/>
                      <w:lang w:val="en-NZ"/>
                    </w:rPr>
                    <w:t>+</w:t>
                  </w:r>
                  <w:r>
                    <w:rPr>
                      <w:b/>
                      <w:sz w:val="16"/>
                      <w:szCs w:val="16"/>
                      <w:lang w:val="en-NZ"/>
                    </w:rPr>
                    <w:t>20</w:t>
                  </w:r>
                  <w:r w:rsidRPr="00295946">
                    <w:rPr>
                      <w:b/>
                      <w:sz w:val="16"/>
                      <w:szCs w:val="16"/>
                      <w:lang w:val="en-NZ"/>
                    </w:rPr>
                    <w:t>%</w:t>
                  </w:r>
                  <w:r w:rsidRPr="00295946">
                    <w:rPr>
                      <w:b/>
                      <w:sz w:val="16"/>
                      <w:szCs w:val="16"/>
                      <w:lang w:val="en-NZ"/>
                    </w:rPr>
                    <w:tab/>
                  </w:r>
                  <w:r w:rsidRPr="00295946">
                    <w:rPr>
                      <w:b/>
                      <w:sz w:val="16"/>
                      <w:szCs w:val="16"/>
                      <w:lang w:val="en-NZ"/>
                    </w:rPr>
                    <w:tab/>
                  </w:r>
                  <w:r w:rsidRPr="00295946">
                    <w:rPr>
                      <w:b/>
                      <w:sz w:val="16"/>
                      <w:szCs w:val="16"/>
                      <w:lang w:val="en-NZ"/>
                    </w:rPr>
                    <w:tab/>
                  </w:r>
                </w:p>
              </w:txbxContent>
            </v:textbox>
          </v:shape>
        </w:pict>
      </w:r>
      <w:r>
        <w:rPr>
          <w:rFonts w:cs="Arial"/>
          <w:b/>
          <w:noProof/>
          <w:sz w:val="18"/>
          <w:szCs w:val="18"/>
          <w:lang w:val="en-AU" w:eastAsia="en-AU"/>
        </w:rPr>
        <w:pict>
          <v:line id="_x0000_s1289" style="position:absolute;left:0;text-align:left;z-index:251695616" from="286.55pt,34.6pt" to="286.6pt,53.6pt"/>
        </w:pict>
      </w:r>
      <w:r>
        <w:rPr>
          <w:rFonts w:cs="Arial"/>
          <w:b/>
          <w:noProof/>
          <w:sz w:val="18"/>
          <w:szCs w:val="18"/>
          <w:lang w:val="en-AU" w:eastAsia="en-AU"/>
        </w:rPr>
        <w:pict>
          <v:line id="_x0000_s1284" style="position:absolute;left:0;text-align:left;z-index:251690496" from="286.55pt,4.6pt" to="286.6pt,23.6pt"/>
        </w:pict>
      </w:r>
      <w:r>
        <w:rPr>
          <w:rFonts w:cs="Arial"/>
          <w:b/>
          <w:noProof/>
          <w:sz w:val="18"/>
          <w:szCs w:val="18"/>
          <w:lang w:val="en-AU" w:eastAsia="en-AU"/>
        </w:rPr>
        <w:pict>
          <v:shape id="_x0000_s1288" type="#_x0000_t202" style="position:absolute;left:0;text-align:left;margin-left:99.05pt;margin-top:33.1pt;width:234.65pt;height:19.65pt;z-index:251694592">
            <v:textbox style="mso-next-textbox:#_x0000_s1288" inset=",0,1mm">
              <w:txbxContent>
                <w:p w:rsidR="00373730" w:rsidRPr="00295946" w:rsidRDefault="00373730" w:rsidP="00373730">
                  <w:pPr>
                    <w:tabs>
                      <w:tab w:val="left" w:pos="426"/>
                      <w:tab w:val="left" w:pos="2410"/>
                      <w:tab w:val="left" w:pos="3969"/>
                    </w:tabs>
                    <w:spacing w:before="80"/>
                    <w:rPr>
                      <w:b/>
                      <w:sz w:val="16"/>
                      <w:szCs w:val="16"/>
                      <w:lang w:val="en-NZ"/>
                    </w:rPr>
                  </w:pPr>
                  <w:r w:rsidRPr="00C878E1">
                    <w:rPr>
                      <w:b/>
                      <w:lang w:val="en-NZ"/>
                    </w:rPr>
                    <w:tab/>
                  </w:r>
                  <w:r w:rsidRPr="00295946">
                    <w:rPr>
                      <w:sz w:val="16"/>
                      <w:szCs w:val="16"/>
                      <w:lang w:val="en-NZ"/>
                    </w:rPr>
                    <w:t>Current low income rate =</w:t>
                  </w:r>
                  <w:r w:rsidRPr="00295946">
                    <w:rPr>
                      <w:b/>
                      <w:sz w:val="16"/>
                      <w:szCs w:val="16"/>
                      <w:lang w:val="en-NZ"/>
                    </w:rPr>
                    <w:t xml:space="preserve"> </w:t>
                  </w:r>
                  <w:r>
                    <w:rPr>
                      <w:b/>
                      <w:sz w:val="16"/>
                      <w:szCs w:val="16"/>
                      <w:lang w:val="en-NZ"/>
                    </w:rPr>
                    <w:t>15</w:t>
                  </w:r>
                  <w:r w:rsidRPr="00295946">
                    <w:rPr>
                      <w:b/>
                      <w:sz w:val="16"/>
                      <w:szCs w:val="16"/>
                      <w:lang w:val="en-NZ"/>
                    </w:rPr>
                    <w:t>%</w:t>
                  </w:r>
                  <w:r>
                    <w:rPr>
                      <w:b/>
                      <w:sz w:val="16"/>
                      <w:szCs w:val="16"/>
                      <w:lang w:val="en-NZ"/>
                    </w:rPr>
                    <w:tab/>
                  </w:r>
                  <w:r w:rsidRPr="00295946">
                    <w:rPr>
                      <w:b/>
                      <w:sz w:val="16"/>
                      <w:szCs w:val="16"/>
                      <w:lang w:val="en-NZ"/>
                    </w:rPr>
                    <w:t>+4%</w:t>
                  </w:r>
                  <w:r w:rsidRPr="00295946">
                    <w:rPr>
                      <w:b/>
                      <w:sz w:val="16"/>
                      <w:szCs w:val="16"/>
                      <w:lang w:val="en-NZ"/>
                    </w:rPr>
                    <w:tab/>
                  </w:r>
                  <w:r w:rsidRPr="00295946">
                    <w:rPr>
                      <w:b/>
                      <w:sz w:val="16"/>
                      <w:szCs w:val="16"/>
                      <w:lang w:val="en-NZ"/>
                    </w:rPr>
                    <w:tab/>
                  </w:r>
                </w:p>
              </w:txbxContent>
            </v:textbox>
          </v:shape>
        </w:pict>
      </w:r>
    </w:p>
    <w:p w:rsidR="00373730" w:rsidRDefault="008146D2" w:rsidP="00373730">
      <w:pPr>
        <w:spacing w:after="120"/>
        <w:jc w:val="both"/>
        <w:rPr>
          <w:rFonts w:cs="Arial"/>
          <w:b/>
          <w:sz w:val="18"/>
          <w:szCs w:val="18"/>
        </w:rPr>
      </w:pPr>
      <w:r>
        <w:rPr>
          <w:rFonts w:cs="Arial"/>
          <w:b/>
          <w:noProof/>
          <w:sz w:val="18"/>
          <w:szCs w:val="18"/>
          <w:lang w:val="en-AU" w:eastAsia="en-AU"/>
        </w:rPr>
        <w:pict>
          <v:shape id="_x0000_s1291" type="#_x0000_t202" style="position:absolute;left:0;text-align:left;margin-left:346.55pt;margin-top:12.6pt;width:87.75pt;height:27pt;z-index:251697664" stroked="f">
            <v:textbox style="mso-next-textbox:#_x0000_s1291">
              <w:txbxContent>
                <w:p w:rsidR="00373730" w:rsidRPr="009A4701" w:rsidRDefault="00373730" w:rsidP="00373730">
                  <w:pPr>
                    <w:rPr>
                      <w:b/>
                      <w:sz w:val="16"/>
                      <w:szCs w:val="16"/>
                      <w:lang w:val="en-NZ"/>
                    </w:rPr>
                  </w:pPr>
                  <w:r w:rsidRPr="009A4701">
                    <w:rPr>
                      <w:b/>
                      <w:sz w:val="16"/>
                      <w:szCs w:val="16"/>
                      <w:lang w:val="en-NZ"/>
                    </w:rPr>
                    <w:t>rate</w:t>
                  </w:r>
                  <w:r w:rsidR="008146D2">
                    <w:rPr>
                      <w:b/>
                      <w:sz w:val="16"/>
                      <w:szCs w:val="16"/>
                      <w:lang w:val="en-NZ"/>
                    </w:rPr>
                    <w:t xml:space="preserve"> of low income in population</w:t>
                  </w:r>
                </w:p>
              </w:txbxContent>
            </v:textbox>
          </v:shape>
        </w:pict>
      </w:r>
    </w:p>
    <w:p w:rsidR="00373730" w:rsidRDefault="00373730" w:rsidP="00373730">
      <w:pPr>
        <w:spacing w:after="120"/>
        <w:jc w:val="both"/>
        <w:rPr>
          <w:rFonts w:cs="Arial"/>
          <w:b/>
          <w:sz w:val="18"/>
          <w:szCs w:val="18"/>
        </w:rPr>
      </w:pPr>
    </w:p>
    <w:p w:rsidR="007A38AA" w:rsidRDefault="007A38AA" w:rsidP="007A38AA">
      <w:pPr>
        <w:spacing w:after="120"/>
        <w:jc w:val="both"/>
        <w:rPr>
          <w:rFonts w:cs="Arial"/>
          <w:b/>
          <w:sz w:val="18"/>
          <w:szCs w:val="18"/>
        </w:rPr>
      </w:pPr>
    </w:p>
    <w:p w:rsidR="00047C29" w:rsidRDefault="008146D2" w:rsidP="008146D2">
      <w:pPr>
        <w:jc w:val="both"/>
        <w:rPr>
          <w:rFonts w:cs="Arial"/>
          <w:sz w:val="20"/>
        </w:rPr>
      </w:pPr>
      <w:r w:rsidRPr="006F3412">
        <w:rPr>
          <w:rFonts w:cs="Arial"/>
          <w:b/>
          <w:sz w:val="20"/>
        </w:rPr>
        <w:t>Table L.</w:t>
      </w:r>
      <w:r>
        <w:rPr>
          <w:rFonts w:cs="Arial"/>
          <w:b/>
          <w:sz w:val="20"/>
        </w:rPr>
        <w:t>10</w:t>
      </w:r>
      <w:r>
        <w:rPr>
          <w:rFonts w:cs="Arial"/>
          <w:sz w:val="20"/>
        </w:rPr>
        <w:t xml:space="preserve"> reports</w:t>
      </w:r>
      <w:r w:rsidR="004363D8">
        <w:rPr>
          <w:rFonts w:cs="Arial"/>
          <w:sz w:val="20"/>
        </w:rPr>
        <w:t xml:space="preserve"> the</w:t>
      </w:r>
      <w:r>
        <w:rPr>
          <w:rFonts w:cs="Arial"/>
          <w:sz w:val="20"/>
        </w:rPr>
        <w:t xml:space="preserve"> ‘rectangle’ findings (Figure L.6) for the whole population</w:t>
      </w:r>
      <w:r w:rsidR="00320FD8">
        <w:rPr>
          <w:rFonts w:cs="Arial"/>
          <w:sz w:val="20"/>
        </w:rPr>
        <w:t xml:space="preserve"> and children</w:t>
      </w:r>
      <w:r>
        <w:rPr>
          <w:rFonts w:cs="Arial"/>
          <w:sz w:val="20"/>
        </w:rPr>
        <w:t xml:space="preserve"> using</w:t>
      </w:r>
      <w:r w:rsidR="004363D8">
        <w:rPr>
          <w:rFonts w:cs="Arial"/>
          <w:sz w:val="20"/>
        </w:rPr>
        <w:t xml:space="preserve"> the</w:t>
      </w:r>
      <w:r>
        <w:rPr>
          <w:rFonts w:cs="Arial"/>
          <w:sz w:val="20"/>
        </w:rPr>
        <w:t xml:space="preserve"> 50% and 60% of </w:t>
      </w:r>
      <w:r w:rsidR="00047C29">
        <w:rPr>
          <w:rFonts w:cs="Arial"/>
          <w:sz w:val="20"/>
        </w:rPr>
        <w:t xml:space="preserve">gross </w:t>
      </w:r>
      <w:r>
        <w:rPr>
          <w:rFonts w:cs="Arial"/>
          <w:sz w:val="20"/>
        </w:rPr>
        <w:t>median thresholds, and for Maori</w:t>
      </w:r>
      <w:r w:rsidR="00047C29">
        <w:rPr>
          <w:rFonts w:cs="Arial"/>
          <w:sz w:val="20"/>
        </w:rPr>
        <w:t xml:space="preserve"> using the 60% threshold.</w:t>
      </w:r>
    </w:p>
    <w:p w:rsidR="008146D2" w:rsidRDefault="008146D2" w:rsidP="008146D2">
      <w:pPr>
        <w:jc w:val="both"/>
        <w:rPr>
          <w:rFonts w:cs="Arial"/>
          <w:b/>
          <w:sz w:val="18"/>
          <w:szCs w:val="18"/>
        </w:rPr>
      </w:pPr>
      <w:r>
        <w:rPr>
          <w:rFonts w:cs="Arial"/>
          <w:sz w:val="20"/>
        </w:rPr>
        <w:t xml:space="preserve"> </w:t>
      </w:r>
    </w:p>
    <w:p w:rsidR="007A38AA" w:rsidRPr="007A38AA" w:rsidRDefault="007A38AA" w:rsidP="007A38AA">
      <w:pPr>
        <w:jc w:val="center"/>
        <w:rPr>
          <w:rFonts w:cs="Arial"/>
          <w:b/>
          <w:sz w:val="18"/>
          <w:szCs w:val="18"/>
        </w:rPr>
      </w:pPr>
      <w:r w:rsidRPr="007A38AA">
        <w:rPr>
          <w:rFonts w:cs="Arial"/>
          <w:b/>
          <w:sz w:val="18"/>
          <w:szCs w:val="18"/>
        </w:rPr>
        <w:t>Table L.</w:t>
      </w:r>
      <w:r w:rsidR="00BC5C99">
        <w:rPr>
          <w:rFonts w:cs="Arial"/>
          <w:b/>
          <w:sz w:val="18"/>
          <w:szCs w:val="18"/>
        </w:rPr>
        <w:t>10</w:t>
      </w:r>
    </w:p>
    <w:p w:rsidR="007A38AA" w:rsidRPr="007A38AA" w:rsidRDefault="00082913" w:rsidP="007A38AA">
      <w:pPr>
        <w:spacing w:after="120"/>
        <w:jc w:val="center"/>
        <w:rPr>
          <w:rFonts w:cs="Arial"/>
          <w:b/>
          <w:sz w:val="18"/>
          <w:szCs w:val="18"/>
        </w:rPr>
      </w:pPr>
      <w:r>
        <w:rPr>
          <w:rFonts w:cs="Arial"/>
          <w:b/>
          <w:sz w:val="18"/>
          <w:szCs w:val="18"/>
        </w:rPr>
        <w:t>Composition for c</w:t>
      </w:r>
      <w:r w:rsidR="007A38AA" w:rsidRPr="007A38AA">
        <w:rPr>
          <w:rFonts w:cs="Arial"/>
          <w:b/>
          <w:sz w:val="18"/>
          <w:szCs w:val="18"/>
        </w:rPr>
        <w:t>urrent</w:t>
      </w:r>
      <w:r>
        <w:rPr>
          <w:rFonts w:cs="Arial"/>
          <w:b/>
          <w:sz w:val="18"/>
          <w:szCs w:val="18"/>
        </w:rPr>
        <w:t xml:space="preserve"> only, chronic only and both, and rates for current (total) and chronic only</w:t>
      </w:r>
    </w:p>
    <w:tbl>
      <w:tblPr>
        <w:tblStyle w:val="TableGrid"/>
        <w:tblW w:w="0" w:type="auto"/>
        <w:tblInd w:w="534" w:type="dxa"/>
        <w:tblLook w:val="01E0"/>
      </w:tblPr>
      <w:tblGrid>
        <w:gridCol w:w="2126"/>
        <w:gridCol w:w="1077"/>
        <w:gridCol w:w="1077"/>
        <w:gridCol w:w="1077"/>
        <w:gridCol w:w="1077"/>
        <w:gridCol w:w="1078"/>
      </w:tblGrid>
      <w:tr w:rsidR="00F70BA8">
        <w:tc>
          <w:tcPr>
            <w:tcW w:w="2126" w:type="dxa"/>
            <w:vAlign w:val="center"/>
          </w:tcPr>
          <w:p w:rsidR="00F70BA8" w:rsidRPr="007A38AA" w:rsidRDefault="00F70BA8" w:rsidP="00DC10A9">
            <w:pPr>
              <w:spacing w:before="20" w:after="20"/>
              <w:rPr>
                <w:rFonts w:cs="Arial"/>
                <w:sz w:val="16"/>
                <w:szCs w:val="16"/>
              </w:rPr>
            </w:pPr>
          </w:p>
        </w:tc>
        <w:tc>
          <w:tcPr>
            <w:tcW w:w="3231" w:type="dxa"/>
            <w:gridSpan w:val="3"/>
            <w:tcBorders>
              <w:right w:val="single" w:sz="12" w:space="0" w:color="auto"/>
            </w:tcBorders>
            <w:vAlign w:val="center"/>
          </w:tcPr>
          <w:p w:rsidR="00F70BA8" w:rsidRDefault="00F70BA8" w:rsidP="00F70BA8">
            <w:pPr>
              <w:spacing w:before="20" w:after="20"/>
              <w:jc w:val="center"/>
              <w:rPr>
                <w:rFonts w:cs="Arial"/>
                <w:b/>
                <w:sz w:val="16"/>
                <w:szCs w:val="16"/>
              </w:rPr>
            </w:pPr>
            <w:r>
              <w:rPr>
                <w:rFonts w:cs="Arial"/>
                <w:b/>
                <w:sz w:val="16"/>
                <w:szCs w:val="16"/>
              </w:rPr>
              <w:t>composition (% of current)</w:t>
            </w:r>
          </w:p>
        </w:tc>
        <w:tc>
          <w:tcPr>
            <w:tcW w:w="2155" w:type="dxa"/>
            <w:gridSpan w:val="2"/>
            <w:tcBorders>
              <w:left w:val="single" w:sz="12" w:space="0" w:color="auto"/>
            </w:tcBorders>
            <w:vAlign w:val="center"/>
          </w:tcPr>
          <w:p w:rsidR="00F70BA8" w:rsidRDefault="00F70BA8" w:rsidP="00F70BA8">
            <w:pPr>
              <w:spacing w:before="20" w:after="20"/>
              <w:jc w:val="center"/>
              <w:rPr>
                <w:rFonts w:cs="Arial"/>
                <w:b/>
                <w:sz w:val="16"/>
                <w:szCs w:val="16"/>
              </w:rPr>
            </w:pPr>
            <w:r>
              <w:rPr>
                <w:rFonts w:cs="Arial"/>
                <w:b/>
                <w:sz w:val="16"/>
                <w:szCs w:val="16"/>
              </w:rPr>
              <w:t>rate (as % of group)</w:t>
            </w:r>
          </w:p>
        </w:tc>
      </w:tr>
      <w:tr w:rsidR="00F70BA8">
        <w:tc>
          <w:tcPr>
            <w:tcW w:w="2126" w:type="dxa"/>
            <w:vAlign w:val="center"/>
          </w:tcPr>
          <w:p w:rsidR="00082913" w:rsidRPr="007A38AA" w:rsidRDefault="00082913" w:rsidP="00DC10A9">
            <w:pPr>
              <w:spacing w:before="20" w:after="20"/>
              <w:rPr>
                <w:rFonts w:cs="Arial"/>
                <w:sz w:val="16"/>
                <w:szCs w:val="16"/>
              </w:rPr>
            </w:pPr>
          </w:p>
        </w:tc>
        <w:tc>
          <w:tcPr>
            <w:tcW w:w="1077" w:type="dxa"/>
            <w:tcBorders>
              <w:right w:val="dashed" w:sz="4" w:space="0" w:color="auto"/>
            </w:tcBorders>
            <w:vAlign w:val="center"/>
          </w:tcPr>
          <w:p w:rsidR="00082913" w:rsidRPr="007A38AA" w:rsidRDefault="00082913" w:rsidP="00F70BA8">
            <w:pPr>
              <w:spacing w:before="20" w:after="20"/>
              <w:jc w:val="center"/>
              <w:rPr>
                <w:rFonts w:cs="Arial"/>
                <w:b/>
                <w:sz w:val="16"/>
                <w:szCs w:val="16"/>
              </w:rPr>
            </w:pPr>
            <w:r w:rsidRPr="007A38AA">
              <w:rPr>
                <w:rFonts w:cs="Arial"/>
                <w:b/>
                <w:sz w:val="16"/>
                <w:szCs w:val="16"/>
              </w:rPr>
              <w:t>current</w:t>
            </w:r>
            <w:r>
              <w:rPr>
                <w:rFonts w:cs="Arial"/>
                <w:b/>
                <w:sz w:val="16"/>
                <w:szCs w:val="16"/>
              </w:rPr>
              <w:t xml:space="preserve"> only</w:t>
            </w:r>
            <w:r w:rsidRPr="007A38AA">
              <w:rPr>
                <w:rFonts w:cs="Arial"/>
                <w:b/>
                <w:sz w:val="16"/>
                <w:szCs w:val="16"/>
              </w:rPr>
              <w:t xml:space="preserve"> </w:t>
            </w:r>
          </w:p>
        </w:tc>
        <w:tc>
          <w:tcPr>
            <w:tcW w:w="1077" w:type="dxa"/>
            <w:tcBorders>
              <w:left w:val="dashed" w:sz="4" w:space="0" w:color="auto"/>
            </w:tcBorders>
            <w:tcMar>
              <w:left w:w="28" w:type="dxa"/>
              <w:right w:w="28" w:type="dxa"/>
            </w:tcMar>
            <w:vAlign w:val="center"/>
          </w:tcPr>
          <w:p w:rsidR="00082913" w:rsidRPr="007A38AA" w:rsidRDefault="00F70BA8" w:rsidP="00F70BA8">
            <w:pPr>
              <w:spacing w:before="20" w:after="20"/>
              <w:jc w:val="center"/>
              <w:rPr>
                <w:rFonts w:cs="Arial"/>
                <w:b/>
                <w:sz w:val="16"/>
                <w:szCs w:val="16"/>
              </w:rPr>
            </w:pPr>
            <w:r>
              <w:rPr>
                <w:rFonts w:cs="Arial"/>
                <w:b/>
                <w:sz w:val="16"/>
                <w:szCs w:val="16"/>
              </w:rPr>
              <w:t>overlap</w:t>
            </w:r>
          </w:p>
        </w:tc>
        <w:tc>
          <w:tcPr>
            <w:tcW w:w="1077" w:type="dxa"/>
            <w:tcBorders>
              <w:right w:val="single" w:sz="12" w:space="0" w:color="auto"/>
            </w:tcBorders>
            <w:vAlign w:val="center"/>
          </w:tcPr>
          <w:p w:rsidR="00082913" w:rsidRPr="007A38AA" w:rsidRDefault="00082913" w:rsidP="00F70BA8">
            <w:pPr>
              <w:spacing w:before="20" w:after="20"/>
              <w:jc w:val="center"/>
              <w:rPr>
                <w:rFonts w:cs="Arial"/>
                <w:b/>
                <w:sz w:val="16"/>
                <w:szCs w:val="16"/>
              </w:rPr>
            </w:pPr>
            <w:r>
              <w:rPr>
                <w:rFonts w:cs="Arial"/>
                <w:b/>
                <w:sz w:val="16"/>
                <w:szCs w:val="16"/>
              </w:rPr>
              <w:t>chronic only</w:t>
            </w:r>
          </w:p>
        </w:tc>
        <w:tc>
          <w:tcPr>
            <w:tcW w:w="1077" w:type="dxa"/>
            <w:tcBorders>
              <w:left w:val="single" w:sz="12" w:space="0" w:color="auto"/>
            </w:tcBorders>
            <w:vAlign w:val="center"/>
          </w:tcPr>
          <w:p w:rsidR="00082913" w:rsidRDefault="00082913" w:rsidP="00F70BA8">
            <w:pPr>
              <w:spacing w:before="20" w:after="20"/>
              <w:jc w:val="center"/>
              <w:rPr>
                <w:rFonts w:cs="Arial"/>
                <w:b/>
                <w:sz w:val="16"/>
                <w:szCs w:val="16"/>
              </w:rPr>
            </w:pPr>
            <w:r>
              <w:rPr>
                <w:rFonts w:cs="Arial"/>
                <w:b/>
                <w:sz w:val="16"/>
                <w:szCs w:val="16"/>
              </w:rPr>
              <w:t>current (total)</w:t>
            </w:r>
          </w:p>
        </w:tc>
        <w:tc>
          <w:tcPr>
            <w:tcW w:w="1078" w:type="dxa"/>
            <w:vAlign w:val="center"/>
          </w:tcPr>
          <w:p w:rsidR="00082913" w:rsidRDefault="00082913" w:rsidP="00F70BA8">
            <w:pPr>
              <w:spacing w:before="20" w:after="20"/>
              <w:jc w:val="center"/>
              <w:rPr>
                <w:rFonts w:cs="Arial"/>
                <w:b/>
                <w:sz w:val="16"/>
                <w:szCs w:val="16"/>
              </w:rPr>
            </w:pPr>
            <w:r>
              <w:rPr>
                <w:rFonts w:cs="Arial"/>
                <w:b/>
                <w:sz w:val="16"/>
                <w:szCs w:val="16"/>
              </w:rPr>
              <w:t>chronic only</w:t>
            </w:r>
          </w:p>
        </w:tc>
      </w:tr>
      <w:tr w:rsidR="00F70BA8">
        <w:tc>
          <w:tcPr>
            <w:tcW w:w="2126" w:type="dxa"/>
            <w:vAlign w:val="center"/>
          </w:tcPr>
          <w:p w:rsidR="00082913" w:rsidRPr="007A38AA" w:rsidRDefault="00082913" w:rsidP="00DC10A9">
            <w:pPr>
              <w:spacing w:before="20" w:after="20"/>
              <w:ind w:left="318" w:hanging="318"/>
              <w:rPr>
                <w:rFonts w:cs="Arial"/>
                <w:b/>
                <w:sz w:val="16"/>
                <w:szCs w:val="16"/>
              </w:rPr>
            </w:pPr>
            <w:r>
              <w:rPr>
                <w:rFonts w:cs="Arial"/>
                <w:b/>
                <w:sz w:val="16"/>
                <w:szCs w:val="16"/>
              </w:rPr>
              <w:t>Whole population</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p>
        </w:tc>
        <w:tc>
          <w:tcPr>
            <w:tcW w:w="1077" w:type="dxa"/>
            <w:tcBorders>
              <w:right w:val="single" w:sz="12" w:space="0" w:color="auto"/>
            </w:tcBorders>
            <w:vAlign w:val="center"/>
          </w:tcPr>
          <w:p w:rsidR="00082913" w:rsidRPr="007A38AA" w:rsidRDefault="00082913" w:rsidP="00F70BA8">
            <w:pPr>
              <w:spacing w:before="20" w:after="20"/>
              <w:jc w:val="center"/>
              <w:rPr>
                <w:rFonts w:cs="Arial"/>
                <w:sz w:val="16"/>
                <w:szCs w:val="16"/>
              </w:rPr>
            </w:pPr>
          </w:p>
        </w:tc>
        <w:tc>
          <w:tcPr>
            <w:tcW w:w="1077" w:type="dxa"/>
            <w:tcBorders>
              <w:left w:val="single" w:sz="12" w:space="0" w:color="auto"/>
            </w:tcBorders>
            <w:vAlign w:val="center"/>
          </w:tcPr>
          <w:p w:rsidR="00082913" w:rsidRPr="007A38AA" w:rsidRDefault="00082913" w:rsidP="00F70BA8">
            <w:pPr>
              <w:spacing w:before="20" w:after="20"/>
              <w:jc w:val="center"/>
              <w:rPr>
                <w:rFonts w:cs="Arial"/>
                <w:sz w:val="16"/>
                <w:szCs w:val="16"/>
              </w:rPr>
            </w:pPr>
          </w:p>
        </w:tc>
        <w:tc>
          <w:tcPr>
            <w:tcW w:w="1078" w:type="dxa"/>
            <w:vAlign w:val="center"/>
          </w:tcPr>
          <w:p w:rsidR="00082913" w:rsidRPr="007A38AA" w:rsidRDefault="00082913" w:rsidP="00F70BA8">
            <w:pPr>
              <w:spacing w:before="20" w:after="20"/>
              <w:jc w:val="center"/>
              <w:rPr>
                <w:rFonts w:cs="Arial"/>
                <w:sz w:val="16"/>
                <w:szCs w:val="16"/>
              </w:rPr>
            </w:pPr>
          </w:p>
        </w:tc>
      </w:tr>
      <w:tr w:rsidR="00F70BA8" w:rsidTr="00320FD8">
        <w:tc>
          <w:tcPr>
            <w:tcW w:w="2126" w:type="dxa"/>
            <w:tcBorders>
              <w:bottom w:val="single" w:sz="4" w:space="0" w:color="auto"/>
            </w:tcBorders>
            <w:vAlign w:val="center"/>
          </w:tcPr>
          <w:p w:rsidR="00082913" w:rsidRPr="007A38AA" w:rsidRDefault="00082913" w:rsidP="00DC10A9">
            <w:pPr>
              <w:spacing w:before="20" w:after="20"/>
              <w:ind w:left="318" w:hanging="318"/>
              <w:rPr>
                <w:rFonts w:cs="Arial"/>
                <w:sz w:val="16"/>
                <w:szCs w:val="16"/>
              </w:rPr>
            </w:pPr>
            <w:r>
              <w:rPr>
                <w:rFonts w:cs="Arial"/>
                <w:sz w:val="16"/>
                <w:szCs w:val="16"/>
              </w:rPr>
              <w:tab/>
              <w:t>60% gross</w:t>
            </w:r>
          </w:p>
        </w:tc>
        <w:tc>
          <w:tcPr>
            <w:tcW w:w="1077" w:type="dxa"/>
            <w:tcBorders>
              <w:bottom w:val="single" w:sz="4" w:space="0" w:color="auto"/>
              <w:right w:val="dashed" w:sz="4" w:space="0" w:color="auto"/>
            </w:tcBorders>
            <w:vAlign w:val="center"/>
          </w:tcPr>
          <w:p w:rsidR="00082913" w:rsidRPr="007A38AA" w:rsidRDefault="00082913" w:rsidP="00F70BA8">
            <w:pPr>
              <w:spacing w:before="20" w:after="20"/>
              <w:jc w:val="center"/>
              <w:rPr>
                <w:rFonts w:cs="Arial"/>
                <w:sz w:val="16"/>
                <w:szCs w:val="16"/>
              </w:rPr>
            </w:pPr>
            <w:r>
              <w:rPr>
                <w:rFonts w:cs="Arial"/>
                <w:sz w:val="16"/>
                <w:szCs w:val="16"/>
              </w:rPr>
              <w:t>35</w:t>
            </w:r>
          </w:p>
        </w:tc>
        <w:tc>
          <w:tcPr>
            <w:tcW w:w="1077" w:type="dxa"/>
            <w:tcBorders>
              <w:left w:val="dashed" w:sz="4" w:space="0" w:color="auto"/>
              <w:bottom w:val="single"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r>
              <w:rPr>
                <w:rFonts w:cs="Arial"/>
                <w:sz w:val="16"/>
                <w:szCs w:val="16"/>
              </w:rPr>
              <w:t>65</w:t>
            </w:r>
          </w:p>
        </w:tc>
        <w:tc>
          <w:tcPr>
            <w:tcW w:w="1077" w:type="dxa"/>
            <w:tcBorders>
              <w:bottom w:val="single" w:sz="4" w:space="0" w:color="auto"/>
              <w:righ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+15</w:t>
            </w:r>
          </w:p>
        </w:tc>
        <w:tc>
          <w:tcPr>
            <w:tcW w:w="1077" w:type="dxa"/>
            <w:tcBorders>
              <w:left w:val="single" w:sz="12" w:space="0" w:color="auto"/>
              <w:bottom w:val="single" w:sz="4" w:space="0" w:color="auto"/>
            </w:tcBorders>
            <w:vAlign w:val="center"/>
          </w:tcPr>
          <w:p w:rsidR="00082913" w:rsidRDefault="00082913" w:rsidP="00F70BA8">
            <w:pPr>
              <w:spacing w:before="20" w:after="20"/>
              <w:jc w:val="center"/>
              <w:rPr>
                <w:rFonts w:cs="Arial"/>
                <w:sz w:val="16"/>
                <w:szCs w:val="16"/>
              </w:rPr>
            </w:pPr>
            <w:r>
              <w:rPr>
                <w:rFonts w:cs="Arial"/>
                <w:sz w:val="16"/>
                <w:szCs w:val="16"/>
              </w:rPr>
              <w:t>26</w:t>
            </w:r>
          </w:p>
        </w:tc>
        <w:tc>
          <w:tcPr>
            <w:tcW w:w="1078" w:type="dxa"/>
            <w:tcBorders>
              <w:bottom w:val="single" w:sz="4" w:space="0" w:color="auto"/>
            </w:tcBorders>
            <w:vAlign w:val="center"/>
          </w:tcPr>
          <w:p w:rsidR="00082913" w:rsidRDefault="00082913" w:rsidP="00F70BA8">
            <w:pPr>
              <w:spacing w:before="20" w:after="20"/>
              <w:jc w:val="center"/>
              <w:rPr>
                <w:rFonts w:cs="Arial"/>
                <w:sz w:val="16"/>
                <w:szCs w:val="16"/>
              </w:rPr>
            </w:pPr>
            <w:r>
              <w:rPr>
                <w:rFonts w:cs="Arial"/>
                <w:sz w:val="16"/>
                <w:szCs w:val="16"/>
              </w:rPr>
              <w:t>4</w:t>
            </w:r>
          </w:p>
        </w:tc>
      </w:tr>
      <w:tr w:rsidR="00F70BA8" w:rsidTr="00320FD8">
        <w:tc>
          <w:tcPr>
            <w:tcW w:w="2126" w:type="dxa"/>
            <w:shd w:val="clear" w:color="auto" w:fill="D9D9D9"/>
            <w:vAlign w:val="center"/>
          </w:tcPr>
          <w:p w:rsidR="00082913" w:rsidRPr="007A38AA" w:rsidRDefault="00082913" w:rsidP="00DC10A9">
            <w:pPr>
              <w:spacing w:before="20" w:after="20"/>
              <w:ind w:left="318" w:hanging="318"/>
              <w:rPr>
                <w:rFonts w:cs="Arial"/>
                <w:sz w:val="16"/>
                <w:szCs w:val="16"/>
              </w:rPr>
            </w:pPr>
            <w:r>
              <w:rPr>
                <w:rFonts w:cs="Arial"/>
                <w:sz w:val="16"/>
                <w:szCs w:val="16"/>
              </w:rPr>
              <w:tab/>
              <w:t>50% gross</w:t>
            </w:r>
          </w:p>
        </w:tc>
        <w:tc>
          <w:tcPr>
            <w:tcW w:w="1077" w:type="dxa"/>
            <w:tcBorders>
              <w:right w:val="dashed" w:sz="4" w:space="0" w:color="auto"/>
            </w:tcBorders>
            <w:shd w:val="clear" w:color="auto" w:fill="D9D9D9"/>
            <w:vAlign w:val="center"/>
          </w:tcPr>
          <w:p w:rsidR="00082913" w:rsidRPr="007A38AA" w:rsidRDefault="00082913" w:rsidP="00F70BA8">
            <w:pPr>
              <w:spacing w:before="20" w:after="20"/>
              <w:jc w:val="center"/>
              <w:rPr>
                <w:rFonts w:cs="Arial"/>
                <w:sz w:val="16"/>
                <w:szCs w:val="16"/>
              </w:rPr>
            </w:pPr>
            <w:r>
              <w:rPr>
                <w:rFonts w:cs="Arial"/>
                <w:sz w:val="16"/>
                <w:szCs w:val="16"/>
              </w:rPr>
              <w:t>50</w:t>
            </w:r>
          </w:p>
        </w:tc>
        <w:tc>
          <w:tcPr>
            <w:tcW w:w="1077" w:type="dxa"/>
            <w:tcBorders>
              <w:left w:val="dashed" w:sz="4" w:space="0" w:color="auto"/>
            </w:tcBorders>
            <w:shd w:val="clear" w:color="auto" w:fill="D9D9D9"/>
            <w:tcMar>
              <w:left w:w="28" w:type="dxa"/>
              <w:right w:w="28" w:type="dxa"/>
            </w:tcMar>
            <w:vAlign w:val="center"/>
          </w:tcPr>
          <w:p w:rsidR="00082913" w:rsidRPr="007A38AA" w:rsidRDefault="00082913" w:rsidP="00F70BA8">
            <w:pPr>
              <w:spacing w:before="20" w:after="20"/>
              <w:jc w:val="center"/>
              <w:rPr>
                <w:rFonts w:cs="Arial"/>
                <w:sz w:val="16"/>
                <w:szCs w:val="16"/>
              </w:rPr>
            </w:pPr>
            <w:r>
              <w:rPr>
                <w:rFonts w:cs="Arial"/>
                <w:sz w:val="16"/>
                <w:szCs w:val="16"/>
              </w:rPr>
              <w:t>50</w:t>
            </w:r>
          </w:p>
        </w:tc>
        <w:tc>
          <w:tcPr>
            <w:tcW w:w="1077" w:type="dxa"/>
            <w:tcBorders>
              <w:right w:val="single" w:sz="12" w:space="0" w:color="auto"/>
            </w:tcBorders>
            <w:shd w:val="clear" w:color="auto" w:fill="D9D9D9"/>
            <w:vAlign w:val="center"/>
          </w:tcPr>
          <w:p w:rsidR="00082913" w:rsidRDefault="00082913" w:rsidP="00F70BA8">
            <w:pPr>
              <w:spacing w:before="20" w:after="20"/>
              <w:jc w:val="center"/>
              <w:rPr>
                <w:rFonts w:cs="Arial"/>
                <w:sz w:val="16"/>
                <w:szCs w:val="16"/>
              </w:rPr>
            </w:pPr>
            <w:r>
              <w:rPr>
                <w:rFonts w:cs="Arial"/>
                <w:sz w:val="16"/>
                <w:szCs w:val="16"/>
              </w:rPr>
              <w:t>+20</w:t>
            </w:r>
          </w:p>
        </w:tc>
        <w:tc>
          <w:tcPr>
            <w:tcW w:w="1077" w:type="dxa"/>
            <w:tcBorders>
              <w:left w:val="single" w:sz="12" w:space="0" w:color="auto"/>
            </w:tcBorders>
            <w:shd w:val="clear" w:color="auto" w:fill="D9D9D9"/>
            <w:vAlign w:val="center"/>
          </w:tcPr>
          <w:p w:rsidR="00082913" w:rsidRDefault="00082913" w:rsidP="00F70BA8">
            <w:pPr>
              <w:spacing w:before="20" w:after="20"/>
              <w:jc w:val="center"/>
              <w:rPr>
                <w:rFonts w:cs="Arial"/>
                <w:sz w:val="16"/>
                <w:szCs w:val="16"/>
              </w:rPr>
            </w:pPr>
            <w:r>
              <w:rPr>
                <w:rFonts w:cs="Arial"/>
                <w:sz w:val="16"/>
                <w:szCs w:val="16"/>
              </w:rPr>
              <w:t>15</w:t>
            </w:r>
          </w:p>
        </w:tc>
        <w:tc>
          <w:tcPr>
            <w:tcW w:w="1078" w:type="dxa"/>
            <w:shd w:val="clear" w:color="auto" w:fill="D9D9D9"/>
            <w:vAlign w:val="center"/>
          </w:tcPr>
          <w:p w:rsidR="00082913" w:rsidRDefault="008146D2" w:rsidP="00F70BA8">
            <w:pPr>
              <w:spacing w:before="20" w:after="20"/>
              <w:jc w:val="center"/>
              <w:rPr>
                <w:rFonts w:cs="Arial"/>
                <w:sz w:val="16"/>
                <w:szCs w:val="16"/>
              </w:rPr>
            </w:pPr>
            <w:r>
              <w:rPr>
                <w:rFonts w:cs="Arial"/>
                <w:sz w:val="16"/>
                <w:szCs w:val="16"/>
              </w:rPr>
              <w:t>4</w:t>
            </w:r>
          </w:p>
        </w:tc>
      </w:tr>
      <w:tr w:rsidR="00F70BA8">
        <w:tc>
          <w:tcPr>
            <w:tcW w:w="2126" w:type="dxa"/>
            <w:vAlign w:val="center"/>
          </w:tcPr>
          <w:p w:rsidR="00082913" w:rsidRPr="007A38AA" w:rsidRDefault="00082913" w:rsidP="00DC10A9">
            <w:pPr>
              <w:spacing w:before="20" w:after="20"/>
              <w:ind w:left="318" w:hanging="318"/>
              <w:rPr>
                <w:rFonts w:cs="Arial"/>
                <w:b/>
                <w:sz w:val="16"/>
                <w:szCs w:val="16"/>
              </w:rPr>
            </w:pPr>
            <w:r>
              <w:rPr>
                <w:rFonts w:cs="Arial"/>
                <w:b/>
                <w:sz w:val="16"/>
                <w:szCs w:val="16"/>
              </w:rPr>
              <w:t>Children</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p>
        </w:tc>
        <w:tc>
          <w:tcPr>
            <w:tcW w:w="1077" w:type="dxa"/>
            <w:tcBorders>
              <w:right w:val="single" w:sz="12" w:space="0" w:color="auto"/>
            </w:tcBorders>
            <w:vAlign w:val="center"/>
          </w:tcPr>
          <w:p w:rsidR="00082913" w:rsidRPr="007A38AA" w:rsidRDefault="00082913" w:rsidP="00F70BA8">
            <w:pPr>
              <w:spacing w:before="20" w:after="20"/>
              <w:jc w:val="center"/>
              <w:rPr>
                <w:rFonts w:cs="Arial"/>
                <w:sz w:val="16"/>
                <w:szCs w:val="16"/>
              </w:rPr>
            </w:pPr>
          </w:p>
        </w:tc>
        <w:tc>
          <w:tcPr>
            <w:tcW w:w="1077" w:type="dxa"/>
            <w:tcBorders>
              <w:left w:val="single" w:sz="12" w:space="0" w:color="auto"/>
            </w:tcBorders>
            <w:vAlign w:val="center"/>
          </w:tcPr>
          <w:p w:rsidR="00082913" w:rsidRPr="007A38AA" w:rsidRDefault="00082913" w:rsidP="00F70BA8">
            <w:pPr>
              <w:spacing w:before="20" w:after="20"/>
              <w:jc w:val="center"/>
              <w:rPr>
                <w:rFonts w:cs="Arial"/>
                <w:sz w:val="16"/>
                <w:szCs w:val="16"/>
              </w:rPr>
            </w:pPr>
          </w:p>
        </w:tc>
        <w:tc>
          <w:tcPr>
            <w:tcW w:w="1078" w:type="dxa"/>
            <w:vAlign w:val="center"/>
          </w:tcPr>
          <w:p w:rsidR="00082913" w:rsidRPr="007A38AA" w:rsidRDefault="00082913" w:rsidP="00F70BA8">
            <w:pPr>
              <w:spacing w:before="20" w:after="20"/>
              <w:jc w:val="center"/>
              <w:rPr>
                <w:rFonts w:cs="Arial"/>
                <w:sz w:val="16"/>
                <w:szCs w:val="16"/>
              </w:rPr>
            </w:pPr>
          </w:p>
        </w:tc>
      </w:tr>
      <w:tr w:rsidR="00F70BA8">
        <w:tc>
          <w:tcPr>
            <w:tcW w:w="2126" w:type="dxa"/>
            <w:vAlign w:val="center"/>
          </w:tcPr>
          <w:p w:rsidR="00082913" w:rsidRPr="007A38AA" w:rsidRDefault="00082913" w:rsidP="00DC10A9">
            <w:pPr>
              <w:spacing w:before="20" w:after="20"/>
              <w:ind w:left="318" w:hanging="318"/>
              <w:rPr>
                <w:rFonts w:cs="Arial"/>
                <w:sz w:val="16"/>
                <w:szCs w:val="16"/>
              </w:rPr>
            </w:pPr>
            <w:r>
              <w:rPr>
                <w:rFonts w:cs="Arial"/>
                <w:sz w:val="16"/>
                <w:szCs w:val="16"/>
              </w:rPr>
              <w:tab/>
              <w:t>60% gross (0-17, w1)</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r>
              <w:rPr>
                <w:rFonts w:cs="Arial"/>
                <w:sz w:val="16"/>
                <w:szCs w:val="16"/>
              </w:rPr>
              <w:t>35</w:t>
            </w: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r>
              <w:rPr>
                <w:rFonts w:cs="Arial"/>
                <w:sz w:val="16"/>
                <w:szCs w:val="16"/>
              </w:rPr>
              <w:t>65</w:t>
            </w:r>
          </w:p>
        </w:tc>
        <w:tc>
          <w:tcPr>
            <w:tcW w:w="1077" w:type="dxa"/>
            <w:tcBorders>
              <w:righ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+18</w:t>
            </w:r>
          </w:p>
        </w:tc>
        <w:tc>
          <w:tcPr>
            <w:tcW w:w="1077" w:type="dxa"/>
            <w:tcBorders>
              <w:lef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29</w:t>
            </w:r>
          </w:p>
        </w:tc>
        <w:tc>
          <w:tcPr>
            <w:tcW w:w="1078" w:type="dxa"/>
            <w:vAlign w:val="center"/>
          </w:tcPr>
          <w:p w:rsidR="00082913" w:rsidRDefault="00082913" w:rsidP="00F70BA8">
            <w:pPr>
              <w:spacing w:before="20" w:after="20"/>
              <w:jc w:val="center"/>
              <w:rPr>
                <w:rFonts w:cs="Arial"/>
                <w:sz w:val="16"/>
                <w:szCs w:val="16"/>
              </w:rPr>
            </w:pPr>
            <w:r>
              <w:rPr>
                <w:rFonts w:cs="Arial"/>
                <w:sz w:val="16"/>
                <w:szCs w:val="16"/>
              </w:rPr>
              <w:t>5</w:t>
            </w:r>
          </w:p>
        </w:tc>
      </w:tr>
      <w:tr w:rsidR="00F70BA8">
        <w:tc>
          <w:tcPr>
            <w:tcW w:w="2126" w:type="dxa"/>
            <w:vAlign w:val="center"/>
          </w:tcPr>
          <w:p w:rsidR="00082913" w:rsidRPr="007A38AA" w:rsidRDefault="00082913" w:rsidP="00DC10A9">
            <w:pPr>
              <w:spacing w:before="20" w:after="20"/>
              <w:ind w:left="318" w:hanging="318"/>
              <w:rPr>
                <w:rFonts w:cs="Arial"/>
                <w:sz w:val="16"/>
                <w:szCs w:val="16"/>
              </w:rPr>
            </w:pPr>
            <w:r>
              <w:rPr>
                <w:rFonts w:cs="Arial"/>
                <w:sz w:val="16"/>
                <w:szCs w:val="16"/>
              </w:rPr>
              <w:tab/>
              <w:t>50% gross (0-11, w1)</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r>
              <w:rPr>
                <w:rFonts w:cs="Arial"/>
                <w:sz w:val="16"/>
                <w:szCs w:val="16"/>
              </w:rPr>
              <w:t>40</w:t>
            </w: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r>
              <w:rPr>
                <w:rFonts w:cs="Arial"/>
                <w:sz w:val="16"/>
                <w:szCs w:val="16"/>
              </w:rPr>
              <w:t>60</w:t>
            </w:r>
          </w:p>
        </w:tc>
        <w:tc>
          <w:tcPr>
            <w:tcW w:w="1077" w:type="dxa"/>
            <w:tcBorders>
              <w:righ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+20</w:t>
            </w:r>
          </w:p>
        </w:tc>
        <w:tc>
          <w:tcPr>
            <w:tcW w:w="1077" w:type="dxa"/>
            <w:tcBorders>
              <w:lef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18</w:t>
            </w:r>
          </w:p>
        </w:tc>
        <w:tc>
          <w:tcPr>
            <w:tcW w:w="1078" w:type="dxa"/>
            <w:vAlign w:val="center"/>
          </w:tcPr>
          <w:p w:rsidR="00082913" w:rsidRDefault="00082913" w:rsidP="00F70BA8">
            <w:pPr>
              <w:spacing w:before="20" w:after="20"/>
              <w:jc w:val="center"/>
              <w:rPr>
                <w:rFonts w:cs="Arial"/>
                <w:sz w:val="16"/>
                <w:szCs w:val="16"/>
              </w:rPr>
            </w:pPr>
            <w:r>
              <w:rPr>
                <w:rFonts w:cs="Arial"/>
                <w:sz w:val="16"/>
                <w:szCs w:val="16"/>
              </w:rPr>
              <w:t>4</w:t>
            </w:r>
          </w:p>
        </w:tc>
      </w:tr>
      <w:tr w:rsidR="00F70BA8">
        <w:tc>
          <w:tcPr>
            <w:tcW w:w="2126" w:type="dxa"/>
            <w:vAlign w:val="center"/>
          </w:tcPr>
          <w:p w:rsidR="00082913" w:rsidRPr="00082913" w:rsidRDefault="00082913" w:rsidP="00DC10A9">
            <w:pPr>
              <w:spacing w:before="20" w:after="20"/>
              <w:ind w:left="318" w:hanging="318"/>
              <w:rPr>
                <w:rFonts w:cs="Arial"/>
                <w:b/>
                <w:sz w:val="16"/>
                <w:szCs w:val="16"/>
              </w:rPr>
            </w:pPr>
            <w:r w:rsidRPr="00082913">
              <w:rPr>
                <w:rFonts w:cs="Arial"/>
                <w:b/>
                <w:sz w:val="16"/>
                <w:szCs w:val="16"/>
              </w:rPr>
              <w:t>Maori</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p>
        </w:tc>
        <w:tc>
          <w:tcPr>
            <w:tcW w:w="1077" w:type="dxa"/>
            <w:tcBorders>
              <w:right w:val="single" w:sz="12" w:space="0" w:color="auto"/>
            </w:tcBorders>
            <w:vAlign w:val="center"/>
          </w:tcPr>
          <w:p w:rsidR="00082913" w:rsidRDefault="00082913" w:rsidP="00F70BA8">
            <w:pPr>
              <w:spacing w:before="20" w:after="20"/>
              <w:jc w:val="center"/>
              <w:rPr>
                <w:rFonts w:cs="Arial"/>
                <w:sz w:val="16"/>
                <w:szCs w:val="16"/>
              </w:rPr>
            </w:pPr>
          </w:p>
        </w:tc>
        <w:tc>
          <w:tcPr>
            <w:tcW w:w="1077" w:type="dxa"/>
            <w:tcBorders>
              <w:left w:val="single" w:sz="12" w:space="0" w:color="auto"/>
            </w:tcBorders>
            <w:vAlign w:val="center"/>
          </w:tcPr>
          <w:p w:rsidR="00082913" w:rsidRDefault="00082913" w:rsidP="00F70BA8">
            <w:pPr>
              <w:spacing w:before="20" w:after="20"/>
              <w:jc w:val="center"/>
              <w:rPr>
                <w:rFonts w:cs="Arial"/>
                <w:sz w:val="16"/>
                <w:szCs w:val="16"/>
              </w:rPr>
            </w:pPr>
          </w:p>
        </w:tc>
        <w:tc>
          <w:tcPr>
            <w:tcW w:w="1078" w:type="dxa"/>
            <w:vAlign w:val="center"/>
          </w:tcPr>
          <w:p w:rsidR="00082913" w:rsidRDefault="00082913" w:rsidP="00F70BA8">
            <w:pPr>
              <w:spacing w:before="20" w:after="20"/>
              <w:jc w:val="center"/>
              <w:rPr>
                <w:rFonts w:cs="Arial"/>
                <w:sz w:val="16"/>
                <w:szCs w:val="16"/>
              </w:rPr>
            </w:pPr>
          </w:p>
        </w:tc>
      </w:tr>
      <w:tr w:rsidR="00F70BA8">
        <w:tc>
          <w:tcPr>
            <w:tcW w:w="2126" w:type="dxa"/>
            <w:vAlign w:val="center"/>
          </w:tcPr>
          <w:p w:rsidR="00082913" w:rsidRDefault="00082913" w:rsidP="00DC10A9">
            <w:pPr>
              <w:spacing w:before="20" w:after="20"/>
              <w:ind w:left="318" w:hanging="318"/>
              <w:rPr>
                <w:rFonts w:cs="Arial"/>
                <w:sz w:val="16"/>
                <w:szCs w:val="16"/>
              </w:rPr>
            </w:pPr>
            <w:r>
              <w:rPr>
                <w:rFonts w:cs="Arial"/>
                <w:sz w:val="16"/>
                <w:szCs w:val="16"/>
              </w:rPr>
              <w:tab/>
              <w:t>60% gross</w:t>
            </w:r>
          </w:p>
        </w:tc>
        <w:tc>
          <w:tcPr>
            <w:tcW w:w="1077" w:type="dxa"/>
            <w:tcBorders>
              <w:right w:val="dashed" w:sz="4" w:space="0" w:color="auto"/>
            </w:tcBorders>
            <w:vAlign w:val="center"/>
          </w:tcPr>
          <w:p w:rsidR="00082913" w:rsidRPr="007A38AA" w:rsidRDefault="00082913" w:rsidP="00F70BA8">
            <w:pPr>
              <w:spacing w:before="20" w:after="20"/>
              <w:jc w:val="center"/>
              <w:rPr>
                <w:rFonts w:cs="Arial"/>
                <w:sz w:val="16"/>
                <w:szCs w:val="16"/>
              </w:rPr>
            </w:pPr>
            <w:r>
              <w:rPr>
                <w:rFonts w:cs="Arial"/>
                <w:sz w:val="16"/>
                <w:szCs w:val="16"/>
              </w:rPr>
              <w:t>25</w:t>
            </w:r>
          </w:p>
        </w:tc>
        <w:tc>
          <w:tcPr>
            <w:tcW w:w="1077" w:type="dxa"/>
            <w:tcBorders>
              <w:left w:val="dashed" w:sz="4" w:space="0" w:color="auto"/>
            </w:tcBorders>
            <w:tcMar>
              <w:left w:w="28" w:type="dxa"/>
              <w:right w:w="28" w:type="dxa"/>
            </w:tcMar>
            <w:vAlign w:val="center"/>
          </w:tcPr>
          <w:p w:rsidR="00082913" w:rsidRPr="007A38AA" w:rsidRDefault="00082913" w:rsidP="00F70BA8">
            <w:pPr>
              <w:spacing w:before="20" w:after="20"/>
              <w:jc w:val="center"/>
              <w:rPr>
                <w:rFonts w:cs="Arial"/>
                <w:sz w:val="16"/>
                <w:szCs w:val="16"/>
              </w:rPr>
            </w:pPr>
            <w:r>
              <w:rPr>
                <w:rFonts w:cs="Arial"/>
                <w:sz w:val="16"/>
                <w:szCs w:val="16"/>
              </w:rPr>
              <w:t>75</w:t>
            </w:r>
          </w:p>
        </w:tc>
        <w:tc>
          <w:tcPr>
            <w:tcW w:w="1077" w:type="dxa"/>
            <w:tcBorders>
              <w:righ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+16</w:t>
            </w:r>
          </w:p>
        </w:tc>
        <w:tc>
          <w:tcPr>
            <w:tcW w:w="1077" w:type="dxa"/>
            <w:tcBorders>
              <w:left w:val="single" w:sz="12" w:space="0" w:color="auto"/>
            </w:tcBorders>
            <w:vAlign w:val="center"/>
          </w:tcPr>
          <w:p w:rsidR="00082913" w:rsidRDefault="00082913" w:rsidP="00F70BA8">
            <w:pPr>
              <w:spacing w:before="20" w:after="20"/>
              <w:jc w:val="center"/>
              <w:rPr>
                <w:rFonts w:cs="Arial"/>
                <w:sz w:val="16"/>
                <w:szCs w:val="16"/>
              </w:rPr>
            </w:pPr>
            <w:r>
              <w:rPr>
                <w:rFonts w:cs="Arial"/>
                <w:sz w:val="16"/>
                <w:szCs w:val="16"/>
              </w:rPr>
              <w:t>36</w:t>
            </w:r>
          </w:p>
        </w:tc>
        <w:tc>
          <w:tcPr>
            <w:tcW w:w="1078" w:type="dxa"/>
            <w:vAlign w:val="center"/>
          </w:tcPr>
          <w:p w:rsidR="00082913" w:rsidRDefault="00082913" w:rsidP="00F70BA8">
            <w:pPr>
              <w:spacing w:before="20" w:after="20"/>
              <w:jc w:val="center"/>
              <w:rPr>
                <w:rFonts w:cs="Arial"/>
                <w:sz w:val="16"/>
                <w:szCs w:val="16"/>
              </w:rPr>
            </w:pPr>
            <w:r>
              <w:rPr>
                <w:rFonts w:cs="Arial"/>
                <w:sz w:val="16"/>
                <w:szCs w:val="16"/>
              </w:rPr>
              <w:t>6</w:t>
            </w:r>
          </w:p>
        </w:tc>
      </w:tr>
    </w:tbl>
    <w:p w:rsidR="00C344CB" w:rsidRDefault="00121400" w:rsidP="00121400">
      <w:pPr>
        <w:ind w:left="153"/>
        <w:jc w:val="both"/>
        <w:rPr>
          <w:rFonts w:cs="Arial"/>
          <w:sz w:val="20"/>
        </w:rPr>
      </w:pPr>
      <w:r>
        <w:rPr>
          <w:rFonts w:cs="Arial"/>
          <w:sz w:val="20"/>
        </w:rPr>
        <w:br w:type="page"/>
      </w:r>
      <w:r w:rsidR="00373730">
        <w:rPr>
          <w:rFonts w:cs="Arial"/>
          <w:sz w:val="20"/>
        </w:rPr>
        <w:lastRenderedPageBreak/>
        <w:t>Using the 50% of gross median</w:t>
      </w:r>
      <w:r w:rsidR="00C344CB">
        <w:rPr>
          <w:rFonts w:cs="Arial"/>
          <w:sz w:val="20"/>
        </w:rPr>
        <w:t xml:space="preserve"> threshold that gives a current or cross-sectional population poverty rate of 15%:</w:t>
      </w:r>
    </w:p>
    <w:p w:rsidR="00C344CB"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in any wave, half are in both chronic poverty and current poverty, the other half being only in current poverty (ie more temporary or transient poverty)</w:t>
      </w:r>
    </w:p>
    <w:p w:rsidR="00C344CB"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 xml:space="preserve">the people in this more transient group change a lot over seven waves which is why it turns out that the number in </w:t>
      </w:r>
      <w:r w:rsidR="00373730">
        <w:rPr>
          <w:rFonts w:cs="Arial"/>
          <w:sz w:val="20"/>
        </w:rPr>
        <w:t>poverty</w:t>
      </w:r>
      <w:r>
        <w:rPr>
          <w:rFonts w:cs="Arial"/>
          <w:sz w:val="20"/>
        </w:rPr>
        <w:t xml:space="preserve"> at least once in seven waves</w:t>
      </w:r>
      <w:r w:rsidR="00373730">
        <w:rPr>
          <w:rFonts w:cs="Arial"/>
          <w:sz w:val="20"/>
        </w:rPr>
        <w:t xml:space="preserve"> (40%)</w:t>
      </w:r>
      <w:r>
        <w:rPr>
          <w:rFonts w:cs="Arial"/>
          <w:sz w:val="20"/>
        </w:rPr>
        <w:t xml:space="preserve"> is more than double the number in low income at any one time (</w:t>
      </w:r>
      <w:r w:rsidR="00373730">
        <w:rPr>
          <w:rFonts w:cs="Arial"/>
          <w:sz w:val="20"/>
        </w:rPr>
        <w:t>15%</w:t>
      </w:r>
      <w:r>
        <w:rPr>
          <w:rFonts w:cs="Arial"/>
          <w:sz w:val="20"/>
        </w:rPr>
        <w:t>)</w:t>
      </w:r>
    </w:p>
    <w:p w:rsidR="00C344CB"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 xml:space="preserve">in addition to those identified as being in current poverty in a wave there is another one in five (ie </w:t>
      </w:r>
      <w:r w:rsidR="00373730">
        <w:rPr>
          <w:rFonts w:cs="Arial"/>
          <w:sz w:val="20"/>
        </w:rPr>
        <w:t>3</w:t>
      </w:r>
      <w:r>
        <w:rPr>
          <w:rFonts w:cs="Arial"/>
          <w:sz w:val="20"/>
        </w:rPr>
        <w:t>% of the whole population</w:t>
      </w:r>
      <w:r w:rsidR="00373730">
        <w:rPr>
          <w:rFonts w:cs="Arial"/>
          <w:sz w:val="20"/>
        </w:rPr>
        <w:t xml:space="preserve"> (20% of 15%)</w:t>
      </w:r>
      <w:r>
        <w:rPr>
          <w:rFonts w:cs="Arial"/>
          <w:sz w:val="20"/>
        </w:rPr>
        <w:t xml:space="preserve">) who are in chronic but not current poverty </w:t>
      </w:r>
    </w:p>
    <w:p w:rsidR="00C344CB"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for children, 60% of those in current poverty are also in chronic poverty, and there are another one in five in chronic but not current poverty at each wave</w:t>
      </w:r>
    </w:p>
    <w:p w:rsidR="00C344CB"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when a higher threshold is used</w:t>
      </w:r>
      <w:r w:rsidR="00373730">
        <w:rPr>
          <w:rFonts w:cs="Arial"/>
          <w:sz w:val="20"/>
        </w:rPr>
        <w:t xml:space="preserve"> (60% of median gross income)</w:t>
      </w:r>
      <w:r>
        <w:rPr>
          <w:rFonts w:cs="Arial"/>
          <w:sz w:val="20"/>
        </w:rPr>
        <w:t>, the proportion of those in low-income households who are also in chronic low income increases (eg to two thirds when looking at the lower 25%)</w:t>
      </w:r>
    </w:p>
    <w:p w:rsidR="00C344CB" w:rsidRPr="003E7029" w:rsidRDefault="00C344CB" w:rsidP="00E62AFD">
      <w:pPr>
        <w:numPr>
          <w:ilvl w:val="0"/>
          <w:numId w:val="127"/>
        </w:numPr>
        <w:tabs>
          <w:tab w:val="clear" w:pos="1494"/>
          <w:tab w:val="num" w:pos="993"/>
        </w:tabs>
        <w:spacing w:before="120"/>
        <w:ind w:left="992" w:hanging="425"/>
        <w:jc w:val="both"/>
        <w:rPr>
          <w:rFonts w:cs="Arial"/>
          <w:sz w:val="20"/>
        </w:rPr>
      </w:pPr>
      <w:r>
        <w:rPr>
          <w:rFonts w:cs="Arial"/>
          <w:sz w:val="20"/>
        </w:rPr>
        <w:t xml:space="preserve">very similar findings have been produced for the </w:t>
      </w:r>
      <w:smartTag w:uri="urn:schemas-microsoft-com:office:smarttags" w:element="country-region">
        <w:r>
          <w:rPr>
            <w:rFonts w:cs="Arial"/>
            <w:sz w:val="20"/>
          </w:rPr>
          <w:t>UK</w:t>
        </w:r>
      </w:smartTag>
      <w:r>
        <w:rPr>
          <w:rFonts w:cs="Arial"/>
          <w:sz w:val="20"/>
        </w:rPr>
        <w:t xml:space="preserve"> and </w:t>
      </w:r>
      <w:smartTag w:uri="urn:schemas-microsoft-com:office:smarttags" w:element="place">
        <w:smartTag w:uri="urn:schemas-microsoft-com:office:smarttags" w:element="country-region">
          <w:r>
            <w:rPr>
              <w:rFonts w:cs="Arial"/>
              <w:sz w:val="20"/>
            </w:rPr>
            <w:t>Australia</w:t>
          </w:r>
        </w:smartTag>
      </w:smartTag>
      <w:r>
        <w:rPr>
          <w:rFonts w:cs="Arial"/>
          <w:sz w:val="20"/>
        </w:rPr>
        <w:t>.</w:t>
      </w:r>
    </w:p>
    <w:p w:rsidR="00BA7C33" w:rsidRDefault="00BA7C33" w:rsidP="00BA7C33">
      <w:pPr>
        <w:ind w:left="153"/>
        <w:jc w:val="both"/>
        <w:rPr>
          <w:rFonts w:cs="Arial"/>
          <w:sz w:val="20"/>
        </w:rPr>
      </w:pPr>
    </w:p>
    <w:p w:rsidR="00C344CB" w:rsidRDefault="00C344CB" w:rsidP="00BA7C33">
      <w:pPr>
        <w:ind w:left="153"/>
        <w:jc w:val="both"/>
        <w:rPr>
          <w:rFonts w:cs="Arial"/>
          <w:sz w:val="20"/>
        </w:rPr>
      </w:pPr>
      <w:r w:rsidRPr="003E7029">
        <w:rPr>
          <w:rFonts w:cs="Arial"/>
          <w:sz w:val="20"/>
        </w:rPr>
        <w:t>This picture is in some ways similar to the one we have of beneficiary numbers.  At any given time, a majority of those on benefit will have been on benefit for many years. A smaller number are new entrants or fairly temporary recipients.  Over several years the number who have been on benefit at any time is much greater than the number on benefit at a particular point in time because of the cumulative effect of these temporary recipients.</w:t>
      </w:r>
    </w:p>
    <w:p w:rsidR="00614C04" w:rsidRDefault="00614C04" w:rsidP="00614C04">
      <w:pPr>
        <w:rPr>
          <w:rFonts w:cs="Arial"/>
          <w:sz w:val="20"/>
        </w:rPr>
      </w:pPr>
    </w:p>
    <w:p w:rsidR="00614C04" w:rsidRDefault="00614C04" w:rsidP="00614C04">
      <w:pPr>
        <w:rPr>
          <w:rFonts w:cs="Arial"/>
          <w:sz w:val="20"/>
        </w:rPr>
      </w:pPr>
    </w:p>
    <w:p w:rsidR="00614C04" w:rsidRDefault="00614C04" w:rsidP="00614C04">
      <w:pPr>
        <w:rPr>
          <w:rFonts w:cs="Arial"/>
          <w:sz w:val="20"/>
        </w:rPr>
      </w:pPr>
    </w:p>
    <w:p w:rsidR="00614C04" w:rsidRDefault="00614C04" w:rsidP="00614C04">
      <w:pPr>
        <w:rPr>
          <w:rFonts w:cs="Arial"/>
          <w:sz w:val="20"/>
        </w:rPr>
      </w:pPr>
    </w:p>
    <w:p w:rsidR="00614C04" w:rsidRPr="00F82214" w:rsidRDefault="00614C04" w:rsidP="00614C04">
      <w:pPr>
        <w:rPr>
          <w:rFonts w:cs="Arial"/>
          <w:sz w:val="20"/>
        </w:rPr>
      </w:pPr>
    </w:p>
    <w:p w:rsidR="00EE3232" w:rsidRPr="008C09B1" w:rsidRDefault="003E780E" w:rsidP="00EE3232">
      <w:pPr>
        <w:spacing w:after="60"/>
        <w:jc w:val="both"/>
        <w:rPr>
          <w:sz w:val="20"/>
        </w:rPr>
        <w:sectPr w:rsidR="00EE3232" w:rsidRPr="008C09B1" w:rsidSect="005A3E8C">
          <w:headerReference w:type="default" r:id="rId132"/>
          <w:pgSz w:w="11909" w:h="16834" w:code="9"/>
          <w:pgMar w:top="1440" w:right="1584" w:bottom="1440" w:left="1584" w:header="706" w:footer="706" w:gutter="0"/>
          <w:cols w:space="720"/>
        </w:sectPr>
      </w:pPr>
      <w:r>
        <w:rPr>
          <w:sz w:val="20"/>
        </w:rPr>
        <w:br w:type="page"/>
      </w:r>
    </w:p>
    <w:p w:rsidR="00EE3232" w:rsidRPr="00E00C66" w:rsidRDefault="00EE3232" w:rsidP="00EE3232">
      <w:pPr>
        <w:jc w:val="both"/>
        <w:rPr>
          <w:color w:val="FF0000"/>
          <w:szCs w:val="22"/>
        </w:rPr>
      </w:pPr>
      <w:r w:rsidRPr="007575C6">
        <w:rPr>
          <w:b/>
          <w:sz w:val="36"/>
          <w:szCs w:val="36"/>
        </w:rPr>
        <w:lastRenderedPageBreak/>
        <w:t>References</w:t>
      </w:r>
    </w:p>
    <w:p w:rsidR="00EE3232" w:rsidRPr="00B60081" w:rsidRDefault="00EE3232" w:rsidP="00EE3232">
      <w:pPr>
        <w:widowControl w:val="0"/>
        <w:autoSpaceDE w:val="0"/>
        <w:autoSpaceDN w:val="0"/>
        <w:adjustRightInd w:val="0"/>
        <w:rPr>
          <w:rFonts w:cs="Arial"/>
          <w:szCs w:val="22"/>
        </w:rPr>
      </w:pPr>
    </w:p>
    <w:p w:rsidR="00EE3232" w:rsidRDefault="00EE3232" w:rsidP="00EE3232">
      <w:pPr>
        <w:widowControl w:val="0"/>
        <w:autoSpaceDE w:val="0"/>
        <w:autoSpaceDN w:val="0"/>
        <w:adjustRightInd w:val="0"/>
        <w:jc w:val="center"/>
        <w:rPr>
          <w:rFonts w:cs="Arial"/>
          <w:sz w:val="20"/>
        </w:rPr>
      </w:pPr>
    </w:p>
    <w:p w:rsidR="00B64D40" w:rsidRDefault="00843F8F" w:rsidP="00B055C3">
      <w:pPr>
        <w:widowControl w:val="0"/>
        <w:autoSpaceDE w:val="0"/>
        <w:autoSpaceDN w:val="0"/>
        <w:adjustRightInd w:val="0"/>
        <w:spacing w:after="240"/>
        <w:ind w:left="720" w:hanging="720"/>
        <w:rPr>
          <w:rFonts w:eastAsia="Arial Unicode MS" w:cs="Arial"/>
          <w:color w:val="000000"/>
          <w:sz w:val="20"/>
        </w:rPr>
      </w:pPr>
      <w:r w:rsidRPr="00B055C3">
        <w:rPr>
          <w:rStyle w:val="gwt-inlinelabeltextv"/>
          <w:rFonts w:eastAsia="Arial Unicode MS" w:cs="Arial"/>
          <w:color w:val="000000"/>
          <w:sz w:val="20"/>
        </w:rPr>
        <w:t>Alvaredo, F</w:t>
      </w:r>
      <w:r w:rsidR="00B64D40">
        <w:rPr>
          <w:rStyle w:val="gwt-inlinelabeltextv"/>
          <w:rFonts w:eastAsia="Arial Unicode MS" w:cs="Arial"/>
          <w:color w:val="000000"/>
          <w:sz w:val="20"/>
        </w:rPr>
        <w:t>.</w:t>
      </w:r>
      <w:r w:rsidRPr="00B055C3">
        <w:rPr>
          <w:rStyle w:val="gwt-inlinelabeltextv"/>
          <w:rFonts w:eastAsia="Arial Unicode MS" w:cs="Arial"/>
          <w:color w:val="000000"/>
          <w:sz w:val="20"/>
        </w:rPr>
        <w:t>, Atkinson</w:t>
      </w:r>
      <w:r w:rsidR="00B64D40">
        <w:rPr>
          <w:rStyle w:val="gwt-inlinelabeltextv"/>
          <w:rFonts w:eastAsia="Arial Unicode MS" w:cs="Arial"/>
          <w:color w:val="000000"/>
          <w:sz w:val="20"/>
        </w:rPr>
        <w:t>, A.</w:t>
      </w:r>
      <w:r w:rsidRPr="00B055C3">
        <w:rPr>
          <w:rStyle w:val="gwt-inlinelabeltextv"/>
          <w:rFonts w:eastAsia="Arial Unicode MS" w:cs="Arial"/>
          <w:color w:val="000000"/>
          <w:sz w:val="20"/>
        </w:rPr>
        <w:t>, Piketty</w:t>
      </w:r>
      <w:r w:rsidR="00B64D40">
        <w:rPr>
          <w:rStyle w:val="gwt-inlinelabeltextv"/>
          <w:rFonts w:eastAsia="Arial Unicode MS" w:cs="Arial"/>
          <w:color w:val="000000"/>
          <w:sz w:val="20"/>
        </w:rPr>
        <w:t>, T</w:t>
      </w:r>
      <w:r w:rsidRPr="00B055C3">
        <w:rPr>
          <w:rStyle w:val="gwt-inlinelabeltextv"/>
          <w:rFonts w:eastAsia="Arial Unicode MS" w:cs="Arial"/>
          <w:color w:val="000000"/>
          <w:sz w:val="20"/>
        </w:rPr>
        <w:t xml:space="preserve"> </w:t>
      </w:r>
      <w:r w:rsidR="00B64D40">
        <w:rPr>
          <w:rStyle w:val="gwt-inlinelabeltextv"/>
          <w:rFonts w:eastAsia="Arial Unicode MS" w:cs="Arial"/>
          <w:color w:val="000000"/>
          <w:sz w:val="20"/>
        </w:rPr>
        <w:t>&amp; Saez, E. (2012).</w:t>
      </w:r>
      <w:r w:rsidRPr="00B055C3">
        <w:rPr>
          <w:rStyle w:val="gwt-inlinelabeltextv"/>
          <w:rFonts w:eastAsia="Arial Unicode MS" w:cs="Arial"/>
          <w:color w:val="000000"/>
          <w:sz w:val="20"/>
        </w:rPr>
        <w:t xml:space="preserve"> </w:t>
      </w:r>
      <w:r w:rsidR="00B64D40">
        <w:rPr>
          <w:rStyle w:val="gwt-inlinelabeltextv"/>
          <w:rFonts w:eastAsia="Arial Unicode MS" w:cs="Arial"/>
          <w:color w:val="000000"/>
          <w:sz w:val="20"/>
        </w:rPr>
        <w:t>‘</w:t>
      </w:r>
      <w:r w:rsidRPr="00B055C3">
        <w:rPr>
          <w:rStyle w:val="gwt-inlinelabeltextv"/>
          <w:rFonts w:eastAsia="Arial Unicode MS" w:cs="Arial"/>
          <w:color w:val="000000"/>
          <w:sz w:val="20"/>
        </w:rPr>
        <w:t>The World Top Incomes Database</w:t>
      </w:r>
      <w:r w:rsidR="00B64D40">
        <w:rPr>
          <w:rStyle w:val="gwt-inlinelabeltextv"/>
          <w:rFonts w:eastAsia="Arial Unicode MS" w:cs="Arial"/>
          <w:color w:val="000000"/>
          <w:sz w:val="20"/>
        </w:rPr>
        <w:t>’</w:t>
      </w:r>
      <w:r w:rsidRPr="00B055C3">
        <w:rPr>
          <w:rStyle w:val="gwt-inlinelabeltextv"/>
          <w:rFonts w:eastAsia="Arial Unicode MS" w:cs="Arial"/>
          <w:color w:val="000000"/>
          <w:sz w:val="20"/>
        </w:rPr>
        <w:t xml:space="preserve">, http://g-mond.parisschoolofeconomics.eu/topincomes, </w:t>
      </w:r>
      <w:r w:rsidR="00B64D40">
        <w:rPr>
          <w:rStyle w:val="gwt-inlinelabeltextv"/>
          <w:rFonts w:eastAsia="Arial Unicode MS" w:cs="Arial"/>
          <w:color w:val="000000"/>
          <w:sz w:val="20"/>
        </w:rPr>
        <w:t>12</w:t>
      </w:r>
      <w:r w:rsidRPr="00B055C3">
        <w:rPr>
          <w:rStyle w:val="gwt-inlinelabeltextv"/>
          <w:rFonts w:eastAsia="Arial Unicode MS" w:cs="Arial"/>
          <w:color w:val="000000"/>
          <w:sz w:val="20"/>
        </w:rPr>
        <w:t>/</w:t>
      </w:r>
      <w:r w:rsidR="00B64D40">
        <w:rPr>
          <w:rStyle w:val="gwt-inlinelabeltextv"/>
          <w:rFonts w:eastAsia="Arial Unicode MS" w:cs="Arial"/>
          <w:color w:val="000000"/>
          <w:sz w:val="20"/>
        </w:rPr>
        <w:t>08</w:t>
      </w:r>
      <w:r w:rsidRPr="00B055C3">
        <w:rPr>
          <w:rStyle w:val="gwt-inlinelabeltextv"/>
          <w:rFonts w:eastAsia="Arial Unicode MS" w:cs="Arial"/>
          <w:color w:val="000000"/>
          <w:sz w:val="20"/>
        </w:rPr>
        <w:t>/</w:t>
      </w:r>
      <w:r w:rsidR="00B64D40">
        <w:rPr>
          <w:rStyle w:val="gwt-inlinelabeltextv"/>
          <w:rFonts w:eastAsia="Arial Unicode MS" w:cs="Arial"/>
          <w:color w:val="000000"/>
          <w:sz w:val="20"/>
        </w:rPr>
        <w:t>2012</w:t>
      </w:r>
      <w:r w:rsidRPr="00B055C3">
        <w:rPr>
          <w:rFonts w:eastAsia="Arial Unicode MS" w:cs="Arial"/>
          <w:color w:val="000000"/>
          <w:sz w:val="20"/>
        </w:rPr>
        <w:t xml:space="preserve"> </w:t>
      </w:r>
    </w:p>
    <w:p w:rsidR="00EE3232" w:rsidRPr="00B055C3" w:rsidRDefault="00B64D40" w:rsidP="00B055C3">
      <w:pPr>
        <w:widowControl w:val="0"/>
        <w:autoSpaceDE w:val="0"/>
        <w:autoSpaceDN w:val="0"/>
        <w:adjustRightInd w:val="0"/>
        <w:spacing w:after="240"/>
        <w:ind w:left="720" w:hanging="720"/>
        <w:rPr>
          <w:rFonts w:cs="Arial"/>
          <w:sz w:val="20"/>
        </w:rPr>
      </w:pPr>
      <w:r>
        <w:rPr>
          <w:rFonts w:cs="Arial"/>
          <w:sz w:val="20"/>
        </w:rPr>
        <w:t xml:space="preserve">Atkinson, A. </w:t>
      </w:r>
      <w:r w:rsidR="00EE3232" w:rsidRPr="00B055C3">
        <w:rPr>
          <w:rFonts w:cs="Arial"/>
          <w:sz w:val="20"/>
        </w:rPr>
        <w:t xml:space="preserve">(1989), </w:t>
      </w:r>
      <w:r w:rsidR="00EE3232" w:rsidRPr="00B055C3">
        <w:rPr>
          <w:rFonts w:cs="Arial"/>
          <w:i/>
          <w:iCs/>
          <w:sz w:val="20"/>
        </w:rPr>
        <w:t>Poverty and Social Security</w:t>
      </w:r>
      <w:r w:rsidR="00EE3232" w:rsidRPr="00B055C3">
        <w:rPr>
          <w:rFonts w:cs="Arial"/>
          <w:sz w:val="20"/>
        </w:rPr>
        <w:t xml:space="preserve">, </w:t>
      </w:r>
      <w:smartTag w:uri="urn:schemas-microsoft-com:office:smarttags" w:element="place">
        <w:r w:rsidR="00EE3232" w:rsidRPr="00B055C3">
          <w:rPr>
            <w:rFonts w:cs="Arial"/>
            <w:sz w:val="20"/>
          </w:rPr>
          <w:t>Hemel  Hempstead</w:t>
        </w:r>
      </w:smartTag>
      <w:r w:rsidR="00EE3232" w:rsidRPr="00B055C3">
        <w:rPr>
          <w:rFonts w:cs="Arial"/>
          <w:sz w:val="20"/>
        </w:rPr>
        <w:t>: Harvester Wheatsheaf.</w:t>
      </w:r>
    </w:p>
    <w:p w:rsidR="00B64D40" w:rsidRDefault="00B64D40" w:rsidP="00B64D40">
      <w:pPr>
        <w:widowControl w:val="0"/>
        <w:autoSpaceDE w:val="0"/>
        <w:autoSpaceDN w:val="0"/>
        <w:adjustRightInd w:val="0"/>
        <w:spacing w:after="240"/>
        <w:ind w:left="720" w:hanging="720"/>
        <w:rPr>
          <w:rFonts w:eastAsia="Arial Unicode MS" w:cs="Arial"/>
          <w:color w:val="000000"/>
          <w:sz w:val="20"/>
        </w:rPr>
      </w:pPr>
      <w:r w:rsidRPr="00B055C3">
        <w:rPr>
          <w:rStyle w:val="gwt-inlinelabeltextv"/>
          <w:rFonts w:eastAsia="Arial Unicode MS" w:cs="Arial"/>
          <w:color w:val="000000"/>
          <w:sz w:val="20"/>
        </w:rPr>
        <w:t>Atkinson</w:t>
      </w:r>
      <w:r>
        <w:rPr>
          <w:rStyle w:val="gwt-inlinelabeltextv"/>
          <w:rFonts w:eastAsia="Arial Unicode MS" w:cs="Arial"/>
          <w:color w:val="000000"/>
          <w:sz w:val="20"/>
        </w:rPr>
        <w:t>, A.</w:t>
      </w:r>
      <w:r w:rsidRPr="00B055C3">
        <w:rPr>
          <w:rStyle w:val="gwt-inlinelabeltextv"/>
          <w:rFonts w:eastAsia="Arial Unicode MS" w:cs="Arial"/>
          <w:color w:val="000000"/>
          <w:sz w:val="20"/>
        </w:rPr>
        <w:t>, Piketty</w:t>
      </w:r>
      <w:r>
        <w:rPr>
          <w:rStyle w:val="gwt-inlinelabeltextv"/>
          <w:rFonts w:eastAsia="Arial Unicode MS" w:cs="Arial"/>
          <w:color w:val="000000"/>
          <w:sz w:val="20"/>
        </w:rPr>
        <w:t>, T</w:t>
      </w:r>
      <w:r w:rsidRPr="00B055C3">
        <w:rPr>
          <w:rStyle w:val="gwt-inlinelabeltextv"/>
          <w:rFonts w:eastAsia="Arial Unicode MS" w:cs="Arial"/>
          <w:color w:val="000000"/>
          <w:sz w:val="20"/>
        </w:rPr>
        <w:t xml:space="preserve"> </w:t>
      </w:r>
      <w:r>
        <w:rPr>
          <w:rStyle w:val="gwt-inlinelabeltextv"/>
          <w:rFonts w:eastAsia="Arial Unicode MS" w:cs="Arial"/>
          <w:color w:val="000000"/>
          <w:sz w:val="20"/>
        </w:rPr>
        <w:t>&amp; Saez, E. (2011).</w:t>
      </w:r>
      <w:r w:rsidRPr="00B055C3">
        <w:rPr>
          <w:rStyle w:val="gwt-inlinelabeltextv"/>
          <w:rFonts w:eastAsia="Arial Unicode MS" w:cs="Arial"/>
          <w:color w:val="000000"/>
          <w:sz w:val="20"/>
        </w:rPr>
        <w:t xml:space="preserve"> </w:t>
      </w:r>
      <w:r>
        <w:rPr>
          <w:rStyle w:val="gwt-inlinelabeltextv"/>
          <w:rFonts w:eastAsia="Arial Unicode MS" w:cs="Arial"/>
          <w:color w:val="000000"/>
          <w:sz w:val="20"/>
        </w:rPr>
        <w:t xml:space="preserve">‘Top incomes in the long run of history’, </w:t>
      </w:r>
      <w:r w:rsidRPr="00B64D40">
        <w:rPr>
          <w:rStyle w:val="gwt-inlinelabeltextv"/>
          <w:rFonts w:eastAsia="Arial Unicode MS" w:cs="Arial"/>
          <w:i/>
          <w:color w:val="000000"/>
          <w:sz w:val="20"/>
        </w:rPr>
        <w:t xml:space="preserve">Journal of Economic Literature, </w:t>
      </w:r>
      <w:r>
        <w:rPr>
          <w:rStyle w:val="gwt-inlinelabeltextv"/>
          <w:rFonts w:eastAsia="Arial Unicode MS" w:cs="Arial"/>
          <w:color w:val="000000"/>
          <w:sz w:val="20"/>
        </w:rPr>
        <w:t>49(1)</w:t>
      </w:r>
      <w:r w:rsidRPr="00B055C3">
        <w:rPr>
          <w:rStyle w:val="gwt-inlinelabeltextv"/>
          <w:rFonts w:eastAsia="Arial Unicode MS" w:cs="Arial"/>
          <w:color w:val="000000"/>
          <w:sz w:val="20"/>
        </w:rPr>
        <w:t xml:space="preserve">, </w:t>
      </w:r>
      <w:r>
        <w:rPr>
          <w:rStyle w:val="gwt-inlinelabeltextv"/>
          <w:rFonts w:eastAsia="Arial Unicode MS" w:cs="Arial"/>
          <w:color w:val="000000"/>
          <w:sz w:val="20"/>
        </w:rPr>
        <w:t>3-71.</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Australian Bureau of Statistics (2004), </w:t>
      </w:r>
      <w:r>
        <w:rPr>
          <w:rFonts w:cs="Arial"/>
          <w:i/>
          <w:iCs/>
          <w:sz w:val="20"/>
        </w:rPr>
        <w:t>Household Income and Income Distribution</w:t>
      </w:r>
      <w:r>
        <w:rPr>
          <w:rFonts w:cs="Arial"/>
          <w:sz w:val="20"/>
        </w:rPr>
        <w:t xml:space="preserve">, </w:t>
      </w:r>
      <w:smartTag w:uri="urn:schemas-microsoft-com:office:smarttags" w:element="place">
        <w:smartTag w:uri="urn:schemas-microsoft-com:office:smarttags" w:element="City">
          <w:r>
            <w:rPr>
              <w:rFonts w:cs="Arial"/>
              <w:sz w:val="20"/>
            </w:rPr>
            <w:t>Canberra</w:t>
          </w:r>
        </w:smartTag>
      </w:smartTag>
      <w:r>
        <w:rPr>
          <w:rFonts w:cs="Arial"/>
          <w:sz w:val="20"/>
        </w:rPr>
        <w:t xml:space="preserve">: </w:t>
      </w:r>
      <w:smartTag w:uri="urn:schemas-microsoft-com:office:smarttags" w:element="stockticker">
        <w:r>
          <w:rPr>
            <w:rFonts w:cs="Arial"/>
            <w:sz w:val="20"/>
          </w:rPr>
          <w:t>ABS</w:t>
        </w:r>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Australian Bureau of Statistics (2011), </w:t>
      </w:r>
      <w:r>
        <w:rPr>
          <w:rFonts w:cs="Arial"/>
          <w:i/>
          <w:iCs/>
          <w:sz w:val="20"/>
        </w:rPr>
        <w:t>Household Income and Income Distribution</w:t>
      </w:r>
      <w:r>
        <w:rPr>
          <w:rFonts w:cs="Arial"/>
          <w:sz w:val="20"/>
        </w:rPr>
        <w:t xml:space="preserve">, </w:t>
      </w:r>
      <w:smartTag w:uri="urn:schemas-microsoft-com:office:smarttags" w:element="place">
        <w:smartTag w:uri="urn:schemas-microsoft-com:office:smarttags" w:element="City">
          <w:r>
            <w:rPr>
              <w:rFonts w:cs="Arial"/>
              <w:sz w:val="20"/>
            </w:rPr>
            <w:t>Canberra</w:t>
          </w:r>
        </w:smartTag>
      </w:smartTag>
      <w:r>
        <w:rPr>
          <w:rFonts w:cs="Arial"/>
          <w:sz w:val="20"/>
        </w:rPr>
        <w:t xml:space="preserve">: </w:t>
      </w:r>
      <w:smartTag w:uri="urn:schemas-microsoft-com:office:smarttags" w:element="stockticker">
        <w:r>
          <w:rPr>
            <w:rFonts w:cs="Arial"/>
            <w:sz w:val="20"/>
          </w:rPr>
          <w:t>ABS</w:t>
        </w:r>
      </w:smartTag>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Ballantyne, S., Chapple, S., Mare, D., &amp; </w:t>
      </w:r>
      <w:smartTag w:uri="urn:schemas-microsoft-com:office:smarttags" w:element="City">
        <w:r>
          <w:rPr>
            <w:rFonts w:cs="Arial"/>
            <w:sz w:val="20"/>
          </w:rPr>
          <w:t>Timmins</w:t>
        </w:r>
      </w:smartTag>
      <w:r>
        <w:rPr>
          <w:rFonts w:cs="Arial"/>
          <w:sz w:val="20"/>
        </w:rPr>
        <w:t xml:space="preserve">, J. (2004), 'Triggering movements into and out of child poverty: a comparative study of </w:t>
      </w:r>
      <w:smartTag w:uri="urn:schemas-microsoft-com:office:smarttags" w:element="country-region">
        <w:r>
          <w:rPr>
            <w:rFonts w:cs="Arial"/>
            <w:sz w:val="20"/>
          </w:rPr>
          <w:t>New Zealand</w:t>
        </w:r>
      </w:smartTag>
      <w:r>
        <w:rPr>
          <w:rFonts w:cs="Arial"/>
          <w:sz w:val="20"/>
        </w:rPr>
        <w:t xml:space="preserve">, </w:t>
      </w:r>
      <w:smartTag w:uri="urn:schemas-microsoft-com:office:smarttags" w:element="country-region">
        <w:r>
          <w:rPr>
            <w:rFonts w:cs="Arial"/>
            <w:sz w:val="20"/>
          </w:rPr>
          <w:t>Britain</w:t>
        </w:r>
      </w:smartTag>
      <w:r>
        <w:rPr>
          <w:rFonts w:cs="Arial"/>
          <w:sz w:val="20"/>
        </w:rPr>
        <w:t xml:space="preserve"> and </w:t>
      </w:r>
      <w:smartTag w:uri="urn:schemas-microsoft-com:office:smarttags" w:element="place">
        <w:smartTag w:uri="urn:schemas-microsoft-com:office:smarttags" w:element="country-region">
          <w:r>
            <w:rPr>
              <w:rFonts w:cs="Arial"/>
              <w:sz w:val="20"/>
            </w:rPr>
            <w:t>West Germany</w:t>
          </w:r>
        </w:smartTag>
      </w:smartTag>
      <w:r>
        <w:rPr>
          <w:rFonts w:cs="Arial"/>
          <w:sz w:val="20"/>
        </w:rPr>
        <w:t xml:space="preserve">', </w:t>
      </w:r>
      <w:r>
        <w:rPr>
          <w:rFonts w:cs="Arial"/>
          <w:i/>
          <w:iCs/>
          <w:sz w:val="20"/>
        </w:rPr>
        <w:t>Social Policy Journal of New Zealand</w:t>
      </w:r>
      <w:r>
        <w:rPr>
          <w:rFonts w:cs="Arial"/>
          <w:sz w:val="20"/>
        </w:rPr>
        <w:t>, (23), 83-96.</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Berthoud, R., Blekesaune, M., &amp; Hancock, R. (2006). 'Are 'poor' pensioners 'deprived'?' Research Report # 364, Department for Work and Pensions.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Boarini, R., &amp; Mira d'Ercole, M. (2006). 'Measures of Material Deprivation in OECD Countries.' Social, Employment and Migration Working Paper # 37, OECD, </w:t>
      </w:r>
      <w:smartTag w:uri="urn:schemas-microsoft-com:office:smarttags" w:element="place">
        <w:smartTag w:uri="urn:schemas-microsoft-com:office:smarttags" w:element="City">
          <w:r>
            <w:rPr>
              <w:rFonts w:cs="Arial"/>
              <w:sz w:val="20"/>
            </w:rPr>
            <w:t>Paris</w:t>
          </w:r>
        </w:smartTag>
      </w:smartTag>
      <w:r>
        <w:rPr>
          <w:rFonts w:cs="Arial"/>
          <w:sz w:val="20"/>
        </w:rPr>
        <w:t xml:space="preserve"> .</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Bradbury, B. (2003), 'Child Poverty: a Review.' Report 3/03, Social Policy Research Centre, </w:t>
      </w:r>
      <w:smartTag w:uri="urn:schemas-microsoft-com:office:smarttags" w:element="place">
        <w:smartTag w:uri="urn:schemas-microsoft-com:office:smarttags" w:element="PlaceType">
          <w:r>
            <w:rPr>
              <w:rFonts w:cs="Arial"/>
              <w:sz w:val="20"/>
            </w:rPr>
            <w:t>University</w:t>
          </w:r>
        </w:smartTag>
        <w:r>
          <w:rPr>
            <w:rFonts w:cs="Arial"/>
            <w:sz w:val="20"/>
          </w:rPr>
          <w:t xml:space="preserve"> of  </w:t>
        </w:r>
        <w:smartTag w:uri="urn:schemas-microsoft-com:office:smarttags" w:element="PlaceName">
          <w:r>
            <w:rPr>
              <w:rFonts w:cs="Arial"/>
              <w:sz w:val="20"/>
            </w:rPr>
            <w:t>New South Wales</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Bradshaw, J., Middleton, S., Davis, A., Oldfield, N., Smith, N., Cusworth, L.,&amp; Williams, J. (2008), </w:t>
      </w:r>
      <w:r w:rsidRPr="00D6573E">
        <w:rPr>
          <w:rFonts w:cs="Arial"/>
          <w:i/>
          <w:sz w:val="20"/>
        </w:rPr>
        <w:t xml:space="preserve">A Minimum Income Standard for </w:t>
      </w:r>
      <w:smartTag w:uri="urn:schemas-microsoft-com:office:smarttags" w:element="country-region">
        <w:r w:rsidRPr="00D6573E">
          <w:rPr>
            <w:rFonts w:cs="Arial"/>
            <w:i/>
            <w:sz w:val="20"/>
          </w:rPr>
          <w:t>Britain</w:t>
        </w:r>
      </w:smartTag>
      <w:r w:rsidRPr="00D6573E">
        <w:rPr>
          <w:rFonts w:cs="Arial"/>
          <w:i/>
          <w:sz w:val="20"/>
        </w:rPr>
        <w:t>: What people think</w:t>
      </w:r>
      <w:r>
        <w:rPr>
          <w:rFonts w:cs="Arial"/>
          <w:sz w:val="20"/>
        </w:rPr>
        <w:t xml:space="preserve">, Joseph Rowntree Foundation, </w:t>
      </w:r>
      <w:smartTag w:uri="urn:schemas-microsoft-com:office:smarttags" w:element="place">
        <w:smartTag w:uri="urn:schemas-microsoft-com:office:smarttags" w:element="City">
          <w:r>
            <w:rPr>
              <w:rFonts w:cs="Arial"/>
              <w:sz w:val="20"/>
            </w:rPr>
            <w:t>York</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Brewer, M., Goodman, A., Muriel, A., &amp; Sibieta, L. (2007), 'Poverty and Inequality in the </w:t>
      </w:r>
      <w:smartTag w:uri="urn:schemas-microsoft-com:office:smarttags" w:element="place">
        <w:smartTag w:uri="urn:schemas-microsoft-com:office:smarttags" w:element="country-region">
          <w:r>
            <w:rPr>
              <w:rFonts w:cs="Arial"/>
              <w:sz w:val="20"/>
            </w:rPr>
            <w:t>UK</w:t>
          </w:r>
        </w:smartTag>
      </w:smartTag>
      <w:r>
        <w:rPr>
          <w:rFonts w:cs="Arial"/>
          <w:sz w:val="20"/>
        </w:rPr>
        <w:t xml:space="preserve">: 2007.' Institute for Fiscal Studies Briefing Note No. 73, </w:t>
      </w:r>
      <w:smartTag w:uri="urn:schemas-microsoft-com:office:smarttags" w:element="place">
        <w:smartTag w:uri="urn:schemas-microsoft-com:office:smarttags" w:element="City">
          <w:r>
            <w:rPr>
              <w:rFonts w:cs="Arial"/>
              <w:sz w:val="20"/>
            </w:rPr>
            <w:t>London</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Brewer, M., Goodman, A., Myck, M., Shaw, J., &amp; Shepherd, A. (2004). 'Poverty and Inequality in </w:t>
      </w:r>
      <w:smartTag w:uri="urn:schemas-microsoft-com:office:smarttags" w:element="place">
        <w:smartTag w:uri="urn:schemas-microsoft-com:office:smarttags" w:element="country-region">
          <w:r>
            <w:rPr>
              <w:rFonts w:cs="Arial"/>
              <w:sz w:val="20"/>
            </w:rPr>
            <w:t>Britain</w:t>
          </w:r>
        </w:smartTag>
      </w:smartTag>
      <w:r>
        <w:rPr>
          <w:rFonts w:cs="Arial"/>
          <w:sz w:val="20"/>
        </w:rPr>
        <w:t xml:space="preserve">: 2004.' Commentary 96, Institute for Fiscal Studies, </w:t>
      </w:r>
      <w:smartTag w:uri="urn:schemas-microsoft-com:office:smarttags" w:element="place">
        <w:smartTag w:uri="urn:schemas-microsoft-com:office:smarttags" w:element="City">
          <w:r>
            <w:rPr>
              <w:rFonts w:cs="Arial"/>
              <w:sz w:val="20"/>
            </w:rPr>
            <w:t>London</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Carter, K. &amp; Imlach Gunasekara, F. (2012). ‘Dynamics of Income and Deprivation in New Zealand, 2002-2009.  A descriptive analysis of the Survey of Family, Income and Employment (SoFIE).’ Public Health Monograph Series No. 24.  </w:t>
      </w:r>
      <w:smartTag w:uri="urn:schemas-microsoft-com:office:smarttags" w:element="City">
        <w:r>
          <w:rPr>
            <w:rFonts w:cs="Arial"/>
            <w:sz w:val="20"/>
          </w:rPr>
          <w:t>Wellington</w:t>
        </w:r>
      </w:smartTag>
      <w:r>
        <w:rPr>
          <w:rFonts w:cs="Arial"/>
          <w:sz w:val="20"/>
        </w:rPr>
        <w:t xml:space="preserve">: Department of Public health, </w:t>
      </w:r>
      <w:smartTag w:uri="urn:schemas-microsoft-com:office:smarttags" w:element="PlaceType">
        <w:r>
          <w:rPr>
            <w:rFonts w:cs="Arial"/>
            <w:sz w:val="20"/>
          </w:rPr>
          <w:t>University</w:t>
        </w:r>
      </w:smartTag>
      <w:r>
        <w:rPr>
          <w:rFonts w:cs="Arial"/>
          <w:sz w:val="20"/>
        </w:rPr>
        <w:t xml:space="preserve"> of </w:t>
      </w:r>
      <w:smartTag w:uri="urn:schemas-microsoft-com:office:smarttags" w:element="PlaceName">
        <w:r>
          <w:rPr>
            <w:rFonts w:cs="Arial"/>
            <w:sz w:val="20"/>
          </w:rPr>
          <w:t>Otago</w:t>
        </w:r>
      </w:smartTag>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w:t>
      </w:r>
    </w:p>
    <w:p w:rsidR="000B05DB" w:rsidRDefault="000B05DB" w:rsidP="00EE3232">
      <w:pPr>
        <w:widowControl w:val="0"/>
        <w:autoSpaceDE w:val="0"/>
        <w:autoSpaceDN w:val="0"/>
        <w:adjustRightInd w:val="0"/>
        <w:spacing w:after="240"/>
        <w:ind w:left="720" w:hanging="720"/>
        <w:rPr>
          <w:rFonts w:cs="Arial"/>
          <w:sz w:val="20"/>
        </w:rPr>
      </w:pPr>
      <w:r>
        <w:rPr>
          <w:rFonts w:cs="Arial"/>
          <w:sz w:val="20"/>
        </w:rPr>
        <w:t>Chen</w:t>
      </w:r>
      <w:r w:rsidR="004B699D">
        <w:rPr>
          <w:rFonts w:cs="Arial"/>
          <w:sz w:val="20"/>
        </w:rPr>
        <w:t>, W.</w:t>
      </w:r>
      <w:r>
        <w:rPr>
          <w:rFonts w:cs="Arial"/>
          <w:sz w:val="20"/>
        </w:rPr>
        <w:t xml:space="preserve"> (2009)</w:t>
      </w:r>
      <w:r w:rsidR="004B699D">
        <w:rPr>
          <w:rFonts w:cs="Arial"/>
          <w:sz w:val="20"/>
        </w:rPr>
        <w:t xml:space="preserve">, ‘Cross-national differences in income mobility: evidence from </w:t>
      </w:r>
      <w:smartTag w:uri="urn:schemas-microsoft-com:office:smarttags" w:element="country-region">
        <w:r w:rsidR="004B699D">
          <w:rPr>
            <w:rFonts w:cs="Arial"/>
            <w:sz w:val="20"/>
          </w:rPr>
          <w:t>Canada</w:t>
        </w:r>
      </w:smartTag>
      <w:r w:rsidR="004B699D">
        <w:rPr>
          <w:rFonts w:cs="Arial"/>
          <w:sz w:val="20"/>
        </w:rPr>
        <w:t xml:space="preserve">, the </w:t>
      </w:r>
      <w:smartTag w:uri="urn:schemas-microsoft-com:office:smarttags" w:element="country-region">
        <w:r w:rsidR="004B699D">
          <w:rPr>
            <w:rFonts w:cs="Arial"/>
            <w:sz w:val="20"/>
          </w:rPr>
          <w:t>United States</w:t>
        </w:r>
      </w:smartTag>
      <w:r w:rsidR="004B699D">
        <w:rPr>
          <w:rFonts w:cs="Arial"/>
          <w:sz w:val="20"/>
        </w:rPr>
        <w:t xml:space="preserve">, </w:t>
      </w:r>
      <w:smartTag w:uri="urn:schemas-microsoft-com:office:smarttags" w:element="country-region">
        <w:r w:rsidR="004B699D">
          <w:rPr>
            <w:rFonts w:cs="Arial"/>
            <w:sz w:val="20"/>
          </w:rPr>
          <w:t>Great Britain</w:t>
        </w:r>
      </w:smartTag>
      <w:r w:rsidR="004B699D">
        <w:rPr>
          <w:rFonts w:cs="Arial"/>
          <w:sz w:val="20"/>
        </w:rPr>
        <w:t xml:space="preserve"> and </w:t>
      </w:r>
      <w:smartTag w:uri="urn:schemas-microsoft-com:office:smarttags" w:element="place">
        <w:smartTag w:uri="urn:schemas-microsoft-com:office:smarttags" w:element="country-region">
          <w:r w:rsidR="004B699D">
            <w:rPr>
              <w:rFonts w:cs="Arial"/>
              <w:sz w:val="20"/>
            </w:rPr>
            <w:t>Germany</w:t>
          </w:r>
        </w:smartTag>
      </w:smartTag>
      <w:r w:rsidR="004B699D">
        <w:rPr>
          <w:rFonts w:cs="Arial"/>
          <w:sz w:val="20"/>
        </w:rPr>
        <w:t xml:space="preserve">’, </w:t>
      </w:r>
      <w:r w:rsidR="004B699D" w:rsidRPr="004B699D">
        <w:rPr>
          <w:rFonts w:cs="Arial"/>
          <w:i/>
          <w:sz w:val="20"/>
        </w:rPr>
        <w:t>Review of Income and Wealth</w:t>
      </w:r>
      <w:r w:rsidR="004B699D">
        <w:rPr>
          <w:rFonts w:cs="Arial"/>
          <w:sz w:val="20"/>
        </w:rPr>
        <w:t xml:space="preserve"> 53 (1), 75-100.</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Citro, C. F., &amp; Michael, R. T. (eds) (1995)</w:t>
      </w:r>
      <w:r w:rsidR="004B699D">
        <w:rPr>
          <w:rFonts w:cs="Arial"/>
          <w:sz w:val="20"/>
        </w:rPr>
        <w:t>.</w:t>
      </w:r>
      <w:r>
        <w:rPr>
          <w:rFonts w:cs="Arial"/>
          <w:sz w:val="20"/>
        </w:rPr>
        <w:t xml:space="preserve"> </w:t>
      </w:r>
      <w:r>
        <w:rPr>
          <w:rFonts w:cs="Arial"/>
          <w:i/>
          <w:iCs/>
          <w:sz w:val="20"/>
        </w:rPr>
        <w:t>Measuring Poverty: A New Approach.</w:t>
      </w:r>
      <w:r>
        <w:rPr>
          <w:rFonts w:cs="Arial"/>
          <w:sz w:val="20"/>
        </w:rPr>
        <w:t xml:space="preserve"> </w:t>
      </w:r>
      <w:smartTag w:uri="urn:schemas-microsoft-com:office:smarttags" w:element="City">
        <w:r>
          <w:rPr>
            <w:rFonts w:cs="Arial"/>
            <w:sz w:val="20"/>
          </w:rPr>
          <w:t>Washington</w:t>
        </w:r>
      </w:smartTag>
      <w:r>
        <w:rPr>
          <w:rFonts w:cs="Arial"/>
          <w:sz w:val="20"/>
        </w:rPr>
        <w:t xml:space="preserve">, </w:t>
      </w:r>
      <w:smartTag w:uri="urn:schemas-microsoft-com:office:smarttags" w:element="State">
        <w:r>
          <w:rPr>
            <w:rFonts w:cs="Arial"/>
            <w:sz w:val="20"/>
          </w:rPr>
          <w:t>DC</w:t>
        </w:r>
      </w:smartTag>
      <w:r>
        <w:rPr>
          <w:rFonts w:cs="Arial"/>
          <w:sz w:val="20"/>
        </w:rPr>
        <w:t xml:space="preserve">: </w:t>
      </w:r>
      <w:smartTag w:uri="urn:schemas-microsoft-com:office:smarttags" w:element="place">
        <w:smartTag w:uri="urn:schemas-microsoft-com:office:smarttags" w:element="PlaceName">
          <w:r>
            <w:rPr>
              <w:rFonts w:cs="Arial"/>
              <w:sz w:val="20"/>
            </w:rPr>
            <w:t>National</w:t>
          </w:r>
        </w:smartTag>
        <w:r>
          <w:rPr>
            <w:rFonts w:cs="Arial"/>
            <w:sz w:val="20"/>
          </w:rPr>
          <w:t xml:space="preserve"> </w:t>
        </w:r>
        <w:smartTag w:uri="urn:schemas-microsoft-com:office:smarttags" w:element="PlaceType">
          <w:r>
            <w:rPr>
              <w:rFonts w:cs="Arial"/>
              <w:sz w:val="20"/>
            </w:rPr>
            <w:t>Academy</w:t>
          </w:r>
        </w:smartTag>
      </w:smartTag>
      <w:r>
        <w:rPr>
          <w:rFonts w:cs="Arial"/>
          <w:sz w:val="20"/>
        </w:rPr>
        <w:t xml:space="preserve">  Press.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Crawford, R., &amp; Johnston, G. (2004), 'Household incomes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the impact of the market, taxes and government spending, 1987/88 to 1997/98.'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Treasury Working Paper, 04/20.</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Creedy, J., &amp; Tuckwell, I. (2003), 'Reweighting the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Household Economic Survey for Tax Microsimulation Modelling.'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Treasury Working Paper 03/33.</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Department for Work and Pensions (2012), </w:t>
      </w:r>
      <w:r>
        <w:rPr>
          <w:rFonts w:cs="Arial"/>
          <w:i/>
          <w:iCs/>
          <w:sz w:val="20"/>
        </w:rPr>
        <w:t>Households Below Average Income 1994/95 - 2010/11</w:t>
      </w:r>
      <w:r>
        <w:rPr>
          <w:rFonts w:cs="Arial"/>
          <w:sz w:val="20"/>
        </w:rPr>
        <w:t xml:space="preserve"> </w:t>
      </w:r>
      <w:smartTag w:uri="urn:schemas-microsoft-com:office:smarttags" w:element="place">
        <w:r>
          <w:rPr>
            <w:rFonts w:cs="Arial"/>
            <w:sz w:val="20"/>
          </w:rPr>
          <w:t>Leeds</w:t>
        </w:r>
      </w:smartTag>
      <w:r>
        <w:rPr>
          <w:rFonts w:cs="Arial"/>
          <w:sz w:val="20"/>
        </w:rPr>
        <w:t>: Corporate Document Services.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lastRenderedPageBreak/>
        <w:t xml:space="preserve">Department for Work and Pensions (2004), </w:t>
      </w:r>
      <w:r>
        <w:rPr>
          <w:rFonts w:cs="Arial"/>
          <w:i/>
          <w:iCs/>
          <w:sz w:val="20"/>
        </w:rPr>
        <w:t>Measuring Child Poverty</w:t>
      </w:r>
      <w:r>
        <w:rPr>
          <w:rFonts w:cs="Arial"/>
          <w:sz w:val="20"/>
        </w:rPr>
        <w:t>, DWP.</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place">
        <w:smartTag w:uri="urn:schemas-microsoft-com:office:smarttags" w:element="City">
          <w:r>
            <w:rPr>
              <w:rFonts w:cs="Arial"/>
              <w:sz w:val="20"/>
            </w:rPr>
            <w:t>Dixon</w:t>
          </w:r>
        </w:smartTag>
      </w:smartTag>
      <w:r>
        <w:rPr>
          <w:rFonts w:cs="Arial"/>
          <w:sz w:val="20"/>
        </w:rPr>
        <w:t xml:space="preserve">, S. (1998), 'Growth in the dispersion of earnings: 1984-1997', </w:t>
      </w:r>
      <w:r>
        <w:rPr>
          <w:rFonts w:cs="Arial"/>
          <w:i/>
          <w:iCs/>
          <w:sz w:val="20"/>
        </w:rPr>
        <w:t>Labour Market Bulletin</w:t>
      </w:r>
      <w:r>
        <w:rPr>
          <w:rFonts w:cs="Arial"/>
          <w:sz w:val="20"/>
        </w:rPr>
        <w:t>,  71-107.</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City">
        <w:r>
          <w:rPr>
            <w:rFonts w:cs="Arial"/>
            <w:sz w:val="20"/>
          </w:rPr>
          <w:t>Easton</w:t>
        </w:r>
      </w:smartTag>
      <w:r>
        <w:rPr>
          <w:rFonts w:cs="Arial"/>
          <w:sz w:val="20"/>
        </w:rPr>
        <w:t xml:space="preserve">, B. (1995a), 'Poverty in </w:t>
      </w:r>
      <w:smartTag w:uri="urn:schemas-microsoft-com:office:smarttags" w:element="country-region">
        <w:r>
          <w:rPr>
            <w:rFonts w:cs="Arial"/>
            <w:sz w:val="20"/>
          </w:rPr>
          <w:t>New Zealand</w:t>
        </w:r>
      </w:smartTag>
      <w:r>
        <w:rPr>
          <w:rFonts w:cs="Arial"/>
          <w:sz w:val="20"/>
        </w:rPr>
        <w:t xml:space="preserve">, 1981 to 1993', </w:t>
      </w:r>
      <w:smartTag w:uri="urn:schemas-microsoft-com:office:smarttags" w:element="place">
        <w:smartTag w:uri="urn:schemas-microsoft-com:office:smarttags" w:element="country-region">
          <w:r>
            <w:rPr>
              <w:rFonts w:cs="Arial"/>
              <w:i/>
              <w:iCs/>
              <w:sz w:val="20"/>
            </w:rPr>
            <w:t>New Zealand</w:t>
          </w:r>
        </w:smartTag>
      </w:smartTag>
      <w:r>
        <w:rPr>
          <w:rFonts w:cs="Arial"/>
          <w:i/>
          <w:iCs/>
          <w:sz w:val="20"/>
        </w:rPr>
        <w:t xml:space="preserve"> Sociology</w:t>
      </w:r>
      <w:r>
        <w:rPr>
          <w:rFonts w:cs="Arial"/>
          <w:sz w:val="20"/>
        </w:rPr>
        <w:t xml:space="preserve">, </w:t>
      </w:r>
      <w:r>
        <w:rPr>
          <w:rFonts w:cs="Arial"/>
          <w:i/>
          <w:iCs/>
          <w:sz w:val="20"/>
        </w:rPr>
        <w:t xml:space="preserve">10 </w:t>
      </w:r>
      <w:r>
        <w:rPr>
          <w:rFonts w:cs="Arial"/>
          <w:sz w:val="20"/>
        </w:rPr>
        <w:t>(2), 182-214.</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City">
        <w:r>
          <w:rPr>
            <w:rFonts w:cs="Arial"/>
            <w:sz w:val="20"/>
          </w:rPr>
          <w:t>Easton</w:t>
        </w:r>
      </w:smartTag>
      <w:r>
        <w:rPr>
          <w:rFonts w:cs="Arial"/>
          <w:sz w:val="20"/>
        </w:rPr>
        <w:t xml:space="preserve">, B. (1995b), 'Properly assessing income adequacy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w:t>
      </w:r>
      <w:r>
        <w:rPr>
          <w:rFonts w:cs="Arial"/>
          <w:i/>
          <w:iCs/>
          <w:sz w:val="20"/>
        </w:rPr>
        <w:t>New Zealand Economic Papers</w:t>
      </w:r>
      <w:r>
        <w:rPr>
          <w:rFonts w:cs="Arial"/>
          <w:sz w:val="20"/>
        </w:rPr>
        <w:t xml:space="preserve">, </w:t>
      </w:r>
      <w:r>
        <w:rPr>
          <w:rFonts w:cs="Arial"/>
          <w:i/>
          <w:iCs/>
          <w:sz w:val="20"/>
        </w:rPr>
        <w:t>29</w:t>
      </w:r>
      <w:r>
        <w:rPr>
          <w:rFonts w:cs="Arial"/>
          <w:sz w:val="20"/>
        </w:rPr>
        <w:t xml:space="preserve"> (1), 89-102.</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City">
        <w:smartTag w:uri="urn:schemas-microsoft-com:office:smarttags" w:element="place">
          <w:r>
            <w:rPr>
              <w:rFonts w:cs="Arial"/>
              <w:sz w:val="20"/>
            </w:rPr>
            <w:t>Easton</w:t>
          </w:r>
        </w:smartTag>
      </w:smartTag>
      <w:r>
        <w:rPr>
          <w:rFonts w:cs="Arial"/>
          <w:sz w:val="20"/>
        </w:rPr>
        <w:t xml:space="preserve">, B. (1996), 'Income distribution', in B. Silverstone, A. Bollard, &amp; R. Lattimore (eds), </w:t>
      </w:r>
      <w:r>
        <w:rPr>
          <w:rFonts w:cs="Arial"/>
          <w:i/>
          <w:iCs/>
          <w:sz w:val="20"/>
        </w:rPr>
        <w:t>A Study of Economic Reform: The Case of New Zealand</w:t>
      </w:r>
      <w:r>
        <w:rPr>
          <w:rFonts w:cs="Arial"/>
          <w:sz w:val="20"/>
        </w:rPr>
        <w:t xml:space="preserve">. </w:t>
      </w:r>
      <w:smartTag w:uri="urn:schemas-microsoft-com:office:smarttags" w:element="place">
        <w:smartTag w:uri="urn:schemas-microsoft-com:office:smarttags" w:element="City">
          <w:r>
            <w:rPr>
              <w:rFonts w:cs="Arial"/>
              <w:sz w:val="20"/>
            </w:rPr>
            <w:t>Amsterdam</w:t>
          </w:r>
        </w:smartTag>
      </w:smartTag>
      <w:r>
        <w:rPr>
          <w:rFonts w:cs="Arial"/>
          <w:sz w:val="20"/>
        </w:rPr>
        <w:t>: Elsevier.</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place">
        <w:smartTag w:uri="urn:schemas-microsoft-com:office:smarttags" w:element="City">
          <w:r>
            <w:rPr>
              <w:rFonts w:cs="Arial"/>
              <w:sz w:val="20"/>
            </w:rPr>
            <w:t>Easton</w:t>
          </w:r>
        </w:smartTag>
      </w:smartTag>
      <w:r>
        <w:rPr>
          <w:rFonts w:cs="Arial"/>
          <w:sz w:val="20"/>
        </w:rPr>
        <w:t xml:space="preserve">, B., &amp; Ballantyne, S. (2002), 'The economic and health status of households.'  </w:t>
      </w:r>
      <w:smartTag w:uri="urn:schemas-microsoft-com:office:smarttags" w:element="place">
        <w:smartTag w:uri="urn:schemas-microsoft-com:office:smarttags" w:element="PlaceName">
          <w:r>
            <w:rPr>
              <w:rFonts w:cs="Arial"/>
              <w:sz w:val="20"/>
            </w:rPr>
            <w:t>Wellington</w:t>
          </w:r>
        </w:smartTag>
        <w:r>
          <w:rPr>
            <w:rFonts w:cs="Arial"/>
            <w:sz w:val="20"/>
          </w:rPr>
          <w:t xml:space="preserve"> </w:t>
        </w:r>
        <w:smartTag w:uri="urn:schemas-microsoft-com:office:smarttags" w:element="PlaceType">
          <w:r>
            <w:rPr>
              <w:rFonts w:cs="Arial"/>
              <w:sz w:val="20"/>
            </w:rPr>
            <w:t>School</w:t>
          </w:r>
        </w:smartTag>
      </w:smartTag>
      <w:r>
        <w:rPr>
          <w:rFonts w:cs="Arial"/>
          <w:sz w:val="20"/>
        </w:rPr>
        <w:t xml:space="preserve"> of Medicine</w:t>
      </w:r>
      <w:r>
        <w:rPr>
          <w:rFonts w:cs="Arial"/>
          <w:b/>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Eurostat (2005), 'Material Deprivation in the EU.' Statistics in Focus - Population and Social Conditions, 21/2005, </w:t>
      </w:r>
      <w:smartTag w:uri="urn:schemas-microsoft-com:office:smarttags" w:element="place">
        <w:smartTag w:uri="urn:schemas-microsoft-com:office:smarttags" w:element="City">
          <w:r>
            <w:rPr>
              <w:rFonts w:cs="Arial"/>
              <w:sz w:val="20"/>
            </w:rPr>
            <w:t>Eurostat</w:t>
          </w:r>
        </w:smartTag>
        <w:r>
          <w:rPr>
            <w:rFonts w:cs="Arial"/>
            <w:sz w:val="20"/>
          </w:rPr>
          <w:t xml:space="preserve">, </w:t>
        </w:r>
        <w:smartTag w:uri="urn:schemas-microsoft-com:office:smarttags" w:element="country-region">
          <w:r>
            <w:rPr>
              <w:rFonts w:cs="Arial"/>
              <w:sz w:val="20"/>
            </w:rPr>
            <w:t>Luxembourg</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Eurostat (2008), </w:t>
      </w:r>
      <w:r>
        <w:rPr>
          <w:rFonts w:cs="Arial"/>
          <w:i/>
          <w:iCs/>
          <w:sz w:val="20"/>
        </w:rPr>
        <w:t xml:space="preserve">Living Conditions in </w:t>
      </w:r>
      <w:smartTag w:uri="urn:schemas-microsoft-com:office:smarttags" w:element="place">
        <w:r>
          <w:rPr>
            <w:rFonts w:cs="Arial"/>
            <w:i/>
            <w:iCs/>
            <w:sz w:val="20"/>
          </w:rPr>
          <w:t>Europe</w:t>
        </w:r>
      </w:smartTag>
      <w:r>
        <w:rPr>
          <w:rFonts w:cs="Arial"/>
          <w:sz w:val="20"/>
        </w:rPr>
        <w:t xml:space="preserve">. </w:t>
      </w:r>
      <w:smartTag w:uri="urn:schemas-microsoft-com:office:smarttags" w:element="place">
        <w:smartTag w:uri="urn:schemas-microsoft-com:office:smarttags" w:element="country-region">
          <w:r>
            <w:rPr>
              <w:rFonts w:cs="Arial"/>
              <w:sz w:val="20"/>
            </w:rPr>
            <w:t>Luxembourg</w:t>
          </w:r>
        </w:smartTag>
      </w:smartTag>
      <w:r>
        <w:rPr>
          <w:rFonts w:cs="Arial"/>
          <w:sz w:val="20"/>
        </w:rPr>
        <w:t>: European Commission.</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Eurostat (2009), </w:t>
      </w:r>
      <w:r w:rsidRPr="00862A7A">
        <w:rPr>
          <w:rFonts w:cs="Arial"/>
          <w:i/>
          <w:sz w:val="20"/>
        </w:rPr>
        <w:t xml:space="preserve">Key Figures on </w:t>
      </w:r>
      <w:smartTag w:uri="urn:schemas-microsoft-com:office:smarttags" w:element="place">
        <w:r w:rsidRPr="00862A7A">
          <w:rPr>
            <w:rFonts w:cs="Arial"/>
            <w:i/>
            <w:sz w:val="20"/>
          </w:rPr>
          <w:t>Europe</w:t>
        </w:r>
      </w:smartTag>
      <w:r>
        <w:rPr>
          <w:rFonts w:cs="Arial"/>
          <w:sz w:val="20"/>
        </w:rPr>
        <w:t xml:space="preserve">. </w:t>
      </w:r>
      <w:smartTag w:uri="urn:schemas-microsoft-com:office:smarttags" w:element="place">
        <w:smartTag w:uri="urn:schemas-microsoft-com:office:smarttags" w:element="country-region">
          <w:r>
            <w:rPr>
              <w:rFonts w:cs="Arial"/>
              <w:sz w:val="20"/>
            </w:rPr>
            <w:t>Luxembourg</w:t>
          </w:r>
        </w:smartTag>
      </w:smartTag>
      <w:r>
        <w:rPr>
          <w:rFonts w:cs="Arial"/>
          <w:sz w:val="20"/>
        </w:rPr>
        <w:t>: European Commission.</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Expert [</w:t>
      </w:r>
      <w:smartTag w:uri="urn:schemas-microsoft-com:office:smarttags" w:element="place">
        <w:smartTag w:uri="urn:schemas-microsoft-com:office:smarttags" w:element="City">
          <w:r>
            <w:rPr>
              <w:rFonts w:cs="Arial"/>
              <w:sz w:val="20"/>
            </w:rPr>
            <w:t>Canberra</w:t>
          </w:r>
        </w:smartTag>
      </w:smartTag>
      <w:r>
        <w:rPr>
          <w:rFonts w:cs="Arial"/>
          <w:sz w:val="20"/>
        </w:rPr>
        <w:t xml:space="preserve">] Group on Household Income Statistics. (2001). 'Final Report and Recommendations.' Canberra Group, </w:t>
      </w:r>
      <w:smartTag w:uri="urn:schemas-microsoft-com:office:smarttags" w:element="place">
        <w:smartTag w:uri="urn:schemas-microsoft-com:office:smarttags" w:element="City">
          <w:r>
            <w:rPr>
              <w:rFonts w:cs="Arial"/>
              <w:sz w:val="20"/>
            </w:rPr>
            <w:t>Ottawa</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lang w:val="fr-FR"/>
        </w:rPr>
      </w:pPr>
      <w:r>
        <w:rPr>
          <w:rFonts w:cs="Arial"/>
          <w:sz w:val="20"/>
          <w:lang w:val="fr-FR"/>
        </w:rPr>
        <w:t xml:space="preserve">Fahey, T. (2007), ‘The case for an EU-wide measure of poverty’, </w:t>
      </w:r>
      <w:r w:rsidRPr="00443735">
        <w:rPr>
          <w:rFonts w:cs="Arial"/>
          <w:i/>
          <w:sz w:val="20"/>
          <w:lang w:val="fr-FR"/>
        </w:rPr>
        <w:t>European Sociological Review</w:t>
      </w:r>
      <w:r>
        <w:rPr>
          <w:rFonts w:cs="Arial"/>
          <w:sz w:val="20"/>
          <w:lang w:val="fr-FR"/>
        </w:rPr>
        <w:t>, 23(1), 35-47</w:t>
      </w:r>
    </w:p>
    <w:p w:rsidR="00EE3232" w:rsidRDefault="00EE3232" w:rsidP="00EE3232">
      <w:pPr>
        <w:widowControl w:val="0"/>
        <w:autoSpaceDE w:val="0"/>
        <w:autoSpaceDN w:val="0"/>
        <w:adjustRightInd w:val="0"/>
        <w:spacing w:after="240"/>
        <w:ind w:left="720" w:hanging="720"/>
        <w:rPr>
          <w:rFonts w:cs="Arial"/>
          <w:sz w:val="20"/>
          <w:lang w:val="fr-FR"/>
        </w:rPr>
      </w:pPr>
      <w:r>
        <w:rPr>
          <w:rFonts w:cs="Arial"/>
          <w:sz w:val="20"/>
          <w:lang w:val="fr-FR"/>
        </w:rPr>
        <w:t>Figari, F., Iacovou, M., Skew, A., &amp; Sutherland, H. (2010), ‘Approximations to the truth : comparing survey and microsimulat</w:t>
      </w:r>
      <w:r w:rsidR="00B64D40">
        <w:rPr>
          <w:rFonts w:cs="Arial"/>
          <w:sz w:val="20"/>
          <w:lang w:val="fr-FR"/>
        </w:rPr>
        <w:t>ion approaches to measuring inc</w:t>
      </w:r>
      <w:r>
        <w:rPr>
          <w:rFonts w:cs="Arial"/>
          <w:sz w:val="20"/>
          <w:lang w:val="fr-FR"/>
        </w:rPr>
        <w:t>ome for social indicators.’ Institute for Social and Economic Research Working Paper 2010-13.</w:t>
      </w:r>
    </w:p>
    <w:p w:rsidR="00EE3232" w:rsidRDefault="00EE3232" w:rsidP="00EE3232">
      <w:pPr>
        <w:widowControl w:val="0"/>
        <w:autoSpaceDE w:val="0"/>
        <w:autoSpaceDN w:val="0"/>
        <w:adjustRightInd w:val="0"/>
        <w:spacing w:after="240"/>
        <w:ind w:left="720" w:hanging="720"/>
        <w:rPr>
          <w:rFonts w:cs="Arial"/>
          <w:sz w:val="20"/>
        </w:rPr>
      </w:pPr>
      <w:r w:rsidRPr="007A4593">
        <w:rPr>
          <w:rFonts w:cs="Arial"/>
          <w:sz w:val="20"/>
          <w:lang w:val="fr-FR"/>
        </w:rPr>
        <w:t>F</w:t>
      </w:r>
      <w:r>
        <w:rPr>
          <w:rFonts w:cs="Arial"/>
          <w:sz w:val="20"/>
          <w:lang w:val="fr-FR"/>
        </w:rPr>
        <w:t>ö</w:t>
      </w:r>
      <w:r w:rsidRPr="007A4593">
        <w:rPr>
          <w:rFonts w:cs="Arial"/>
          <w:sz w:val="20"/>
          <w:lang w:val="fr-FR"/>
        </w:rPr>
        <w:t xml:space="preserve">rster, M., &amp; Mira d'Ercole, M. (2005). </w:t>
      </w:r>
      <w:r>
        <w:rPr>
          <w:rFonts w:cs="Arial"/>
          <w:sz w:val="20"/>
        </w:rPr>
        <w:t xml:space="preserve">'Income Distribution and Poverty in OECD Countries in the Second Half of the 1990s.' Social, Employment and Migration Working Papers, No 22, OECD, </w:t>
      </w:r>
      <w:smartTag w:uri="urn:schemas-microsoft-com:office:smarttags" w:element="place">
        <w:smartTag w:uri="urn:schemas-microsoft-com:office:smarttags" w:element="City">
          <w:r>
            <w:rPr>
              <w:rFonts w:cs="Arial"/>
              <w:sz w:val="20"/>
            </w:rPr>
            <w:t>Paris</w:t>
          </w:r>
        </w:smartTag>
      </w:smartTag>
      <w:r>
        <w:rPr>
          <w:rFonts w:cs="Arial"/>
          <w:sz w:val="20"/>
        </w:rPr>
        <w:t xml:space="preserve">. </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Hills, D et al (2010)  An Anatomy of Economic Inequality in the </w:t>
      </w:r>
      <w:smartTag w:uri="urn:schemas-microsoft-com:office:smarttags" w:element="place">
        <w:smartTag w:uri="urn:schemas-microsoft-com:office:smarttags" w:element="country-region">
          <w:r>
            <w:rPr>
              <w:rFonts w:cs="Arial"/>
              <w:sz w:val="20"/>
            </w:rPr>
            <w:t>UK</w:t>
          </w:r>
        </w:smartTag>
      </w:smartTag>
      <w:r w:rsidR="004B699D">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Hyslop, D., &amp; Maré, D. (2001). 'Understanding changes in the distribution of household incomes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between 1983-86 and 1995-98.'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Treasury Working Paper 01/21.</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Hyslop, D., &amp; Yahanpath, S. (2005). 'Income growth and earnings variations in New Zealand, 1998-2004.' New Zealand Treasury Working paper 05/11.</w:t>
      </w:r>
    </w:p>
    <w:p w:rsidR="00EE3232" w:rsidRDefault="00EE3232" w:rsidP="00EE3232">
      <w:pPr>
        <w:widowControl w:val="0"/>
        <w:autoSpaceDE w:val="0"/>
        <w:autoSpaceDN w:val="0"/>
        <w:adjustRightInd w:val="0"/>
        <w:spacing w:after="240"/>
        <w:ind w:left="720" w:hanging="720"/>
        <w:rPr>
          <w:rFonts w:cs="Arial"/>
          <w:sz w:val="20"/>
        </w:rPr>
      </w:pPr>
      <w:smartTag w:uri="urn:schemas-microsoft-com:office:smarttags" w:element="place">
        <w:smartTag w:uri="urn:schemas-microsoft-com:office:smarttags" w:element="country-region">
          <w:r>
            <w:rPr>
              <w:rFonts w:cs="Arial"/>
              <w:sz w:val="20"/>
            </w:rPr>
            <w:t>Iceland</w:t>
          </w:r>
        </w:smartTag>
      </w:smartTag>
      <w:r>
        <w:rPr>
          <w:rFonts w:cs="Arial"/>
          <w:sz w:val="20"/>
        </w:rPr>
        <w:t xml:space="preserve">, J. (2000), 'The family/couple/household unit of measurement in poverty estimation', </w:t>
      </w:r>
      <w:r>
        <w:rPr>
          <w:rFonts w:cs="Arial"/>
          <w:i/>
          <w:iCs/>
          <w:sz w:val="20"/>
        </w:rPr>
        <w:t>Journal of Economic and Social Measurement</w:t>
      </w:r>
      <w:r>
        <w:rPr>
          <w:rFonts w:cs="Arial"/>
          <w:sz w:val="20"/>
        </w:rPr>
        <w:t xml:space="preserve">, </w:t>
      </w:r>
      <w:r>
        <w:rPr>
          <w:rFonts w:cs="Arial"/>
          <w:i/>
          <w:iCs/>
          <w:sz w:val="20"/>
        </w:rPr>
        <w:t>26</w:t>
      </w:r>
      <w:r>
        <w:rPr>
          <w:rFonts w:cs="Arial"/>
          <w:sz w:val="20"/>
        </w:rPr>
        <w:t>, 1-13.</w:t>
      </w:r>
    </w:p>
    <w:p w:rsidR="00EE3232" w:rsidRDefault="00EE3232" w:rsidP="00EE3232">
      <w:pPr>
        <w:widowControl w:val="0"/>
        <w:autoSpaceDE w:val="0"/>
        <w:autoSpaceDN w:val="0"/>
        <w:adjustRightInd w:val="0"/>
        <w:spacing w:after="240"/>
        <w:ind w:left="720" w:hanging="720"/>
        <w:rPr>
          <w:sz w:val="20"/>
        </w:rPr>
      </w:pPr>
      <w:smartTag w:uri="urn:schemas-microsoft-com:office:smarttags" w:element="place">
        <w:smartTag w:uri="urn:schemas-microsoft-com:office:smarttags" w:element="country-region">
          <w:r w:rsidRPr="005B2955">
            <w:rPr>
              <w:rFonts w:cs="Arial"/>
              <w:sz w:val="20"/>
              <w:lang w:val="en-US"/>
            </w:rPr>
            <w:t>Iceland</w:t>
          </w:r>
        </w:smartTag>
      </w:smartTag>
      <w:r w:rsidRPr="005B2955">
        <w:rPr>
          <w:rFonts w:cs="Arial"/>
          <w:sz w:val="20"/>
          <w:lang w:val="en-US"/>
        </w:rPr>
        <w:t>, J. &amp;</w:t>
      </w:r>
      <w:r w:rsidRPr="005B2955">
        <w:rPr>
          <w:sz w:val="20"/>
          <w:lang w:val="en-US"/>
        </w:rPr>
        <w:t xml:space="preserve"> Bauman, J. (</w:t>
      </w:r>
      <w:r w:rsidRPr="005B2955">
        <w:rPr>
          <w:sz w:val="20"/>
        </w:rPr>
        <w:t>2007</w:t>
      </w:r>
      <w:r>
        <w:rPr>
          <w:sz w:val="20"/>
        </w:rPr>
        <w:t>)</w:t>
      </w:r>
      <w:r w:rsidRPr="005B2955">
        <w:rPr>
          <w:sz w:val="20"/>
        </w:rPr>
        <w:t xml:space="preserve">. </w:t>
      </w:r>
      <w:r>
        <w:rPr>
          <w:sz w:val="20"/>
        </w:rPr>
        <w:t>‘</w:t>
      </w:r>
      <w:r w:rsidRPr="005B2955">
        <w:rPr>
          <w:sz w:val="20"/>
        </w:rPr>
        <w:t>Incom</w:t>
      </w:r>
      <w:r>
        <w:rPr>
          <w:sz w:val="20"/>
        </w:rPr>
        <w:t>e poverty and material hardship: How strong is the association?,</w:t>
      </w:r>
      <w:r w:rsidRPr="005B2955">
        <w:rPr>
          <w:sz w:val="20"/>
        </w:rPr>
        <w:t xml:space="preserve"> </w:t>
      </w:r>
      <w:r w:rsidRPr="005B2955">
        <w:rPr>
          <w:i/>
          <w:iCs/>
          <w:sz w:val="20"/>
        </w:rPr>
        <w:t xml:space="preserve">The Journal of Socio-Economics </w:t>
      </w:r>
      <w:r w:rsidRPr="008949AC">
        <w:rPr>
          <w:i/>
          <w:sz w:val="20"/>
        </w:rPr>
        <w:t>36</w:t>
      </w:r>
      <w:r>
        <w:rPr>
          <w:sz w:val="20"/>
        </w:rPr>
        <w:t xml:space="preserve"> (3)</w:t>
      </w:r>
      <w:r w:rsidRPr="005B2955">
        <w:rPr>
          <w:sz w:val="20"/>
        </w:rPr>
        <w:t xml:space="preserve">: 376-96. </w:t>
      </w:r>
    </w:p>
    <w:p w:rsidR="00EE3232" w:rsidRDefault="00EE3232" w:rsidP="00EE3232">
      <w:pPr>
        <w:widowControl w:val="0"/>
        <w:autoSpaceDE w:val="0"/>
        <w:autoSpaceDN w:val="0"/>
        <w:adjustRightInd w:val="0"/>
        <w:spacing w:after="240"/>
        <w:ind w:left="720" w:hanging="720"/>
        <w:rPr>
          <w:rFonts w:cs="Arial"/>
          <w:sz w:val="20"/>
        </w:rPr>
      </w:pPr>
      <w:r w:rsidRPr="00ED287C">
        <w:rPr>
          <w:rFonts w:cs="Arial"/>
          <w:sz w:val="20"/>
          <w:lang w:val="en-US"/>
        </w:rPr>
        <w:t>Jantti, M., Sierminska</w:t>
      </w:r>
      <w:r>
        <w:rPr>
          <w:rFonts w:cs="Arial"/>
          <w:sz w:val="20"/>
          <w:lang w:val="en-US"/>
        </w:rPr>
        <w:t xml:space="preserve"> E.</w:t>
      </w:r>
      <w:r w:rsidRPr="00ED287C">
        <w:rPr>
          <w:rFonts w:cs="Arial"/>
          <w:sz w:val="20"/>
          <w:lang w:val="en-US"/>
        </w:rPr>
        <w:t xml:space="preserve"> and Smeeding</w:t>
      </w:r>
      <w:r>
        <w:rPr>
          <w:rFonts w:cs="Arial"/>
          <w:sz w:val="20"/>
          <w:lang w:val="en-US"/>
        </w:rPr>
        <w:t xml:space="preserve"> T.</w:t>
      </w:r>
      <w:r w:rsidRPr="00ED287C">
        <w:rPr>
          <w:rFonts w:cs="Arial"/>
          <w:sz w:val="20"/>
          <w:lang w:val="en-US"/>
        </w:rPr>
        <w:t xml:space="preserve"> (2008), “The Joint Distribution of Household Income and</w:t>
      </w:r>
      <w:r>
        <w:rPr>
          <w:rFonts w:cs="Arial"/>
          <w:sz w:val="20"/>
        </w:rPr>
        <w:t xml:space="preserve"> </w:t>
      </w:r>
      <w:r w:rsidRPr="00ED287C">
        <w:rPr>
          <w:rFonts w:cs="Arial"/>
          <w:sz w:val="20"/>
          <w:lang w:val="en-US"/>
        </w:rPr>
        <w:t xml:space="preserve">Wealth: Evidence from the </w:t>
      </w:r>
      <w:smartTag w:uri="urn:schemas-microsoft-com:office:smarttags" w:element="country-region">
        <w:r w:rsidRPr="00ED287C">
          <w:rPr>
            <w:rFonts w:cs="Arial"/>
            <w:sz w:val="20"/>
            <w:lang w:val="en-US"/>
          </w:rPr>
          <w:t>Luxembourg</w:t>
        </w:r>
      </w:smartTag>
      <w:r w:rsidRPr="00ED287C">
        <w:rPr>
          <w:rFonts w:cs="Arial"/>
          <w:sz w:val="20"/>
          <w:lang w:val="en-US"/>
        </w:rPr>
        <w:t xml:space="preserve"> Wealth Study”</w:t>
      </w:r>
      <w:r>
        <w:rPr>
          <w:rFonts w:cs="Arial"/>
          <w:sz w:val="20"/>
          <w:lang w:val="en-US"/>
        </w:rPr>
        <w:t xml:space="preserve">, OECD Social, Employment and </w:t>
      </w:r>
      <w:r w:rsidRPr="00ED287C">
        <w:rPr>
          <w:rFonts w:cs="Arial"/>
          <w:sz w:val="20"/>
          <w:lang w:val="en-US"/>
        </w:rPr>
        <w:t>Migration</w:t>
      </w:r>
      <w:r>
        <w:rPr>
          <w:rFonts w:cs="Arial"/>
          <w:sz w:val="20"/>
        </w:rPr>
        <w:t xml:space="preserve"> </w:t>
      </w:r>
      <w:r w:rsidRPr="00ED287C">
        <w:rPr>
          <w:rFonts w:cs="Arial"/>
          <w:sz w:val="20"/>
          <w:lang w:val="en-US"/>
        </w:rPr>
        <w:t xml:space="preserve">Working Paper, No. 65, OECD, </w:t>
      </w:r>
      <w:smartTag w:uri="urn:schemas-microsoft-com:office:smarttags" w:element="place">
        <w:smartTag w:uri="urn:schemas-microsoft-com:office:smarttags" w:element="City">
          <w:r w:rsidRPr="00ED287C">
            <w:rPr>
              <w:rFonts w:cs="Arial"/>
              <w:sz w:val="20"/>
              <w:lang w:val="en-US"/>
            </w:rPr>
            <w:t>Paris</w:t>
          </w:r>
        </w:smartTag>
      </w:smartTag>
      <w:r w:rsidRPr="00ED287C">
        <w:rPr>
          <w:rFonts w:cs="Arial"/>
          <w:sz w:val="20"/>
          <w:lang w:val="en-US"/>
        </w:rPr>
        <w:t>.</w:t>
      </w:r>
    </w:p>
    <w:p w:rsidR="00A87D82" w:rsidRDefault="00A87D82" w:rsidP="00B055C3">
      <w:pPr>
        <w:widowControl w:val="0"/>
        <w:autoSpaceDE w:val="0"/>
        <w:autoSpaceDN w:val="0"/>
        <w:adjustRightInd w:val="0"/>
        <w:spacing w:after="240"/>
        <w:ind w:left="720" w:hanging="720"/>
        <w:rPr>
          <w:rFonts w:cs="Arial"/>
          <w:sz w:val="20"/>
        </w:rPr>
      </w:pPr>
      <w:r>
        <w:rPr>
          <w:rFonts w:cs="Arial"/>
          <w:sz w:val="20"/>
        </w:rPr>
        <w:t>Jenkins</w:t>
      </w:r>
      <w:r w:rsidR="003E0F99">
        <w:rPr>
          <w:rFonts w:cs="Arial"/>
          <w:sz w:val="20"/>
        </w:rPr>
        <w:t>, S. (201</w:t>
      </w:r>
      <w:r w:rsidR="00B055C3">
        <w:rPr>
          <w:rFonts w:cs="Arial"/>
          <w:sz w:val="20"/>
        </w:rPr>
        <w:t>1).</w:t>
      </w:r>
      <w:r w:rsidR="003E0F99">
        <w:rPr>
          <w:rFonts w:cs="Arial"/>
          <w:sz w:val="20"/>
        </w:rPr>
        <w:t xml:space="preserve"> </w:t>
      </w:r>
      <w:r w:rsidR="003E0F99" w:rsidRPr="00B055C3">
        <w:rPr>
          <w:rFonts w:cs="Arial"/>
          <w:i/>
          <w:sz w:val="20"/>
        </w:rPr>
        <w:t xml:space="preserve">Changing Fortunes: Income Mobility and Poverty Dynamics in </w:t>
      </w:r>
      <w:smartTag w:uri="urn:schemas-microsoft-com:office:smarttags" w:element="place">
        <w:smartTag w:uri="urn:schemas-microsoft-com:office:smarttags" w:element="country-region">
          <w:r w:rsidR="003E0F99" w:rsidRPr="00B055C3">
            <w:rPr>
              <w:rFonts w:cs="Arial"/>
              <w:i/>
              <w:sz w:val="20"/>
            </w:rPr>
            <w:t>Britain</w:t>
          </w:r>
        </w:smartTag>
      </w:smartTag>
      <w:r w:rsidR="003E0F99">
        <w:rPr>
          <w:rFonts w:cs="Arial"/>
          <w:sz w:val="20"/>
        </w:rPr>
        <w:t xml:space="preserve">. </w:t>
      </w:r>
      <w:smartTag w:uri="urn:schemas-microsoft-com:office:smarttags" w:element="City">
        <w:r w:rsidR="003E0F99">
          <w:rPr>
            <w:rFonts w:cs="Arial"/>
            <w:sz w:val="20"/>
          </w:rPr>
          <w:t>Oxford</w:t>
        </w:r>
      </w:smartTag>
      <w:r w:rsidR="003E0F99">
        <w:rPr>
          <w:rFonts w:cs="Arial"/>
          <w:sz w:val="20"/>
        </w:rPr>
        <w:t xml:space="preserve">: </w:t>
      </w:r>
      <w:smartTag w:uri="urn:schemas-microsoft-com:office:smarttags" w:element="place">
        <w:smartTag w:uri="urn:schemas-microsoft-com:office:smarttags" w:element="PlaceName">
          <w:r w:rsidR="003E0F99">
            <w:rPr>
              <w:rFonts w:cs="Arial"/>
              <w:sz w:val="20"/>
            </w:rPr>
            <w:t>Oxford</w:t>
          </w:r>
        </w:smartTag>
        <w:r w:rsidR="003E0F99">
          <w:rPr>
            <w:rFonts w:cs="Arial"/>
            <w:sz w:val="20"/>
          </w:rPr>
          <w:t xml:space="preserve"> </w:t>
        </w:r>
        <w:smartTag w:uri="urn:schemas-microsoft-com:office:smarttags" w:element="PlaceType">
          <w:r w:rsidR="003E0F99">
            <w:rPr>
              <w:rFonts w:cs="Arial"/>
              <w:sz w:val="20"/>
            </w:rPr>
            <w:t>University</w:t>
          </w:r>
        </w:smartTag>
      </w:smartTag>
      <w:r w:rsidR="003E0F99">
        <w:rPr>
          <w:rFonts w:cs="Arial"/>
          <w:sz w:val="20"/>
        </w:rPr>
        <w:t xml:space="preserve"> Press.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lastRenderedPageBreak/>
        <w:t xml:space="preserve">Jensen, J., Krishnan, V., Hodgson, R., Sathiyandra, S. G., &amp; Templeton, R. (2006), </w:t>
      </w:r>
      <w:smartTag w:uri="urn:schemas-microsoft-com:office:smarttags" w:element="country-region">
        <w:smartTag w:uri="urn:schemas-microsoft-com:office:smarttags" w:element="place">
          <w:r>
            <w:rPr>
              <w:rFonts w:cs="Arial"/>
              <w:i/>
              <w:iCs/>
              <w:sz w:val="20"/>
            </w:rPr>
            <w:t>New Zealand</w:t>
          </w:r>
        </w:smartTag>
      </w:smartTag>
      <w:r>
        <w:rPr>
          <w:rFonts w:cs="Arial"/>
          <w:i/>
          <w:iCs/>
          <w:sz w:val="20"/>
        </w:rPr>
        <w:t xml:space="preserve"> Living Standards 2004</w:t>
      </w:r>
      <w:r>
        <w:rPr>
          <w:rFonts w:cs="Arial"/>
          <w:sz w:val="20"/>
        </w:rPr>
        <w:t xml:space="preserve">, </w:t>
      </w:r>
      <w:smartTag w:uri="urn:schemas-microsoft-com:office:smarttags" w:element="City">
        <w:smartTag w:uri="urn:schemas-microsoft-com:office:smarttags" w:element="place">
          <w:r>
            <w:rPr>
              <w:rFonts w:cs="Arial"/>
              <w:sz w:val="20"/>
            </w:rPr>
            <w:t>Wellington</w:t>
          </w:r>
        </w:smartTag>
      </w:smartTag>
      <w:r>
        <w:rPr>
          <w:rFonts w:cs="Arial"/>
          <w:sz w:val="20"/>
        </w:rPr>
        <w:t>: Ministry of Social Development.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Jensen, J., Spittal, M., Crichton, S., Sathiyantra, S., &amp; Krishnan, V. (2002), </w:t>
      </w:r>
      <w:r>
        <w:rPr>
          <w:rFonts w:cs="Arial"/>
          <w:i/>
          <w:iCs/>
          <w:sz w:val="20"/>
        </w:rPr>
        <w:t xml:space="preserve">Direct Measurement of Living Standards: the </w:t>
      </w:r>
      <w:smartTag w:uri="urn:schemas-microsoft-com:office:smarttags" w:element="country-region">
        <w:r>
          <w:rPr>
            <w:rFonts w:cs="Arial"/>
            <w:i/>
            <w:iCs/>
            <w:sz w:val="20"/>
          </w:rPr>
          <w:t>New Zealand</w:t>
        </w:r>
      </w:smartTag>
      <w:r>
        <w:rPr>
          <w:rFonts w:cs="Arial"/>
          <w:i/>
          <w:iCs/>
          <w:sz w:val="20"/>
        </w:rPr>
        <w:t xml:space="preserve"> </w:t>
      </w:r>
      <w:smartTag w:uri="urn:schemas-microsoft-com:office:smarttags" w:element="stockticker">
        <w:r>
          <w:rPr>
            <w:rFonts w:cs="Arial"/>
            <w:i/>
            <w:iCs/>
            <w:sz w:val="20"/>
          </w:rPr>
          <w:t>ELSI</w:t>
        </w:r>
      </w:smartTag>
      <w:r>
        <w:rPr>
          <w:rFonts w:cs="Arial"/>
          <w:i/>
          <w:iCs/>
          <w:sz w:val="20"/>
        </w:rPr>
        <w:t xml:space="preserve"> Scale</w:t>
      </w:r>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 Ministry of Social Development.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Krishnan, V., Jensen, J., &amp; Ballantyne, S. (2002), </w:t>
      </w:r>
      <w:r>
        <w:rPr>
          <w:rFonts w:cs="Arial"/>
          <w:i/>
          <w:iCs/>
          <w:sz w:val="20"/>
        </w:rPr>
        <w:t>New Zealand Living Standards 2000</w:t>
      </w:r>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 Ministry of Social Development.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Lister, R. (2004), </w:t>
      </w:r>
      <w:r>
        <w:rPr>
          <w:rFonts w:cs="Arial"/>
          <w:i/>
          <w:iCs/>
          <w:sz w:val="20"/>
        </w:rPr>
        <w:t>Poverty</w:t>
      </w:r>
      <w:r>
        <w:rPr>
          <w:rFonts w:cs="Arial"/>
          <w:sz w:val="20"/>
        </w:rPr>
        <w:t xml:space="preserve">, </w:t>
      </w:r>
      <w:smartTag w:uri="urn:schemas-microsoft-com:office:smarttags" w:element="place">
        <w:smartTag w:uri="urn:schemas-microsoft-com:office:smarttags" w:element="City">
          <w:r>
            <w:rPr>
              <w:rFonts w:cs="Arial"/>
              <w:sz w:val="20"/>
            </w:rPr>
            <w:t>Cambridge</w:t>
          </w:r>
        </w:smartTag>
      </w:smartTag>
      <w:r>
        <w:rPr>
          <w:rFonts w:cs="Arial"/>
          <w:sz w:val="20"/>
        </w:rPr>
        <w:t>: Polity Press.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Ministry of Social Development (2010), </w:t>
      </w:r>
      <w:r w:rsidRPr="008B2068">
        <w:rPr>
          <w:rFonts w:cs="Arial"/>
          <w:i/>
          <w:sz w:val="20"/>
        </w:rPr>
        <w:t>Sole Parenting: An Update on Key Trends and What Helps Reduce Disdavantage</w:t>
      </w:r>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 Centre for Social Research and Evaluation, MSD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Mowbray, M. (2001), </w:t>
      </w:r>
      <w:r>
        <w:rPr>
          <w:rFonts w:cs="Arial"/>
          <w:i/>
          <w:iCs/>
          <w:sz w:val="20"/>
        </w:rPr>
        <w:t xml:space="preserve">Distributions and Disparity: </w:t>
      </w:r>
      <w:smartTag w:uri="urn:schemas-microsoft-com:office:smarttags" w:element="country-region">
        <w:r>
          <w:rPr>
            <w:rFonts w:cs="Arial"/>
            <w:i/>
            <w:iCs/>
            <w:sz w:val="20"/>
          </w:rPr>
          <w:t>New Zealand</w:t>
        </w:r>
      </w:smartTag>
      <w:r>
        <w:rPr>
          <w:rFonts w:cs="Arial"/>
          <w:i/>
          <w:iCs/>
          <w:sz w:val="20"/>
        </w:rPr>
        <w:t xml:space="preserve"> Household Incomes</w:t>
      </w:r>
      <w:r>
        <w:rPr>
          <w:rFonts w:cs="Arial"/>
          <w:sz w:val="20"/>
        </w:rPr>
        <w:t xml:space="preserve">, </w:t>
      </w:r>
      <w:smartTag w:uri="urn:schemas-microsoft-com:office:smarttags" w:element="place">
        <w:smartTag w:uri="urn:schemas-microsoft-com:office:smarttags" w:element="City">
          <w:r>
            <w:rPr>
              <w:rFonts w:cs="Arial"/>
              <w:sz w:val="20"/>
            </w:rPr>
            <w:t>Wellington</w:t>
          </w:r>
        </w:smartTag>
      </w:smartTag>
      <w:r>
        <w:rPr>
          <w:rFonts w:cs="Arial"/>
          <w:sz w:val="20"/>
        </w:rPr>
        <w:t>: Ministry of Social Policy.</w:t>
      </w:r>
    </w:p>
    <w:p w:rsidR="000B05DB" w:rsidRDefault="00EE3232" w:rsidP="004B699D">
      <w:pPr>
        <w:widowControl w:val="0"/>
        <w:autoSpaceDE w:val="0"/>
        <w:autoSpaceDN w:val="0"/>
        <w:adjustRightInd w:val="0"/>
        <w:spacing w:after="240"/>
        <w:ind w:left="720" w:hanging="720"/>
        <w:rPr>
          <w:rFonts w:cs="Arial"/>
          <w:sz w:val="20"/>
        </w:rPr>
      </w:pPr>
      <w:smartTag w:uri="urn:schemas-microsoft-com:office:smarttags" w:element="country-region">
        <w:r>
          <w:rPr>
            <w:rFonts w:cs="Arial"/>
            <w:sz w:val="20"/>
          </w:rPr>
          <w:t>New Zealand</w:t>
        </w:r>
      </w:smartTag>
      <w:r>
        <w:rPr>
          <w:rFonts w:cs="Arial"/>
          <w:sz w:val="20"/>
        </w:rPr>
        <w:t xml:space="preserve"> Treasury (2010), </w:t>
      </w:r>
      <w:r w:rsidRPr="006E2184">
        <w:rPr>
          <w:rFonts w:cs="Arial"/>
          <w:i/>
          <w:sz w:val="20"/>
        </w:rPr>
        <w:t>Distributional Measures in Relation to Tax Changes</w:t>
      </w:r>
      <w:r>
        <w:rPr>
          <w:rFonts w:cs="Arial"/>
          <w:sz w:val="20"/>
        </w:rPr>
        <w:t xml:space="preserve">: </w:t>
      </w:r>
      <w:r w:rsidRPr="006E2184">
        <w:rPr>
          <w:rFonts w:cs="Arial"/>
          <w:i/>
          <w:sz w:val="20"/>
        </w:rPr>
        <w:t>Aide-Mémoire for Minister of Finance</w:t>
      </w:r>
      <w:r>
        <w:rPr>
          <w:rFonts w:cs="Arial"/>
          <w:sz w:val="20"/>
        </w:rPr>
        <w:t xml:space="preserve">, </w:t>
      </w:r>
      <w:smartTag w:uri="urn:schemas-microsoft-com:office:smarttags" w:element="City">
        <w:r>
          <w:rPr>
            <w:rFonts w:cs="Arial"/>
            <w:sz w:val="20"/>
          </w:rPr>
          <w:t>Wellington</w:t>
        </w:r>
      </w:smartTag>
      <w:r>
        <w:rPr>
          <w:rFonts w:cs="Arial"/>
          <w:sz w:val="20"/>
        </w:rPr>
        <w:t xml:space="preserve">: </w:t>
      </w:r>
      <w:smartTag w:uri="urn:schemas-microsoft-com:office:smarttags" w:element="country-region">
        <w:smartTag w:uri="urn:schemas-microsoft-com:office:smarttags" w:element="place">
          <w:r>
            <w:rPr>
              <w:rFonts w:cs="Arial"/>
              <w:sz w:val="20"/>
            </w:rPr>
            <w:t>New Zealand</w:t>
          </w:r>
        </w:smartTag>
      </w:smartTag>
      <w:r>
        <w:rPr>
          <w:rFonts w:cs="Arial"/>
          <w:sz w:val="20"/>
        </w:rPr>
        <w:t xml:space="preserve"> Treas</w:t>
      </w:r>
      <w:r w:rsidR="004B699D">
        <w:rPr>
          <w:rFonts w:cs="Arial"/>
          <w:sz w:val="20"/>
        </w:rPr>
        <w:t>ury</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Nolan, B., &amp; Whelan, C. T. (1996), </w:t>
      </w:r>
      <w:r>
        <w:rPr>
          <w:rFonts w:cs="Arial"/>
          <w:i/>
          <w:iCs/>
          <w:sz w:val="20"/>
        </w:rPr>
        <w:t>Resources, Deprivation and Poverty</w:t>
      </w:r>
      <w:r>
        <w:rPr>
          <w:rFonts w:cs="Arial"/>
          <w:sz w:val="20"/>
        </w:rPr>
        <w:t xml:space="preserve">, </w:t>
      </w:r>
      <w:smartTag w:uri="urn:schemas-microsoft-com:office:smarttags" w:element="place">
        <w:smartTag w:uri="urn:schemas-microsoft-com:office:smarttags" w:element="City">
          <w:r>
            <w:rPr>
              <w:rFonts w:cs="Arial"/>
              <w:sz w:val="20"/>
            </w:rPr>
            <w:t>Oxford</w:t>
          </w:r>
        </w:smartTag>
      </w:smartTag>
      <w:r>
        <w:rPr>
          <w:rFonts w:cs="Arial"/>
          <w:sz w:val="20"/>
        </w:rPr>
        <w:t>: Clarendon Press.</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Nolan, B., &amp; Whelan, C. T. (2007), ‘</w:t>
      </w:r>
      <w:r w:rsidRPr="00C95E48">
        <w:rPr>
          <w:rFonts w:cs="Arial"/>
          <w:iCs/>
          <w:sz w:val="20"/>
        </w:rPr>
        <w:t>On the Multidimensionality of Poverty and Social Exclusion</w:t>
      </w:r>
      <w:r>
        <w:rPr>
          <w:rFonts w:cs="Arial"/>
          <w:iCs/>
          <w:sz w:val="20"/>
        </w:rPr>
        <w:t>’</w:t>
      </w:r>
      <w:r>
        <w:rPr>
          <w:rFonts w:cs="Arial"/>
          <w:sz w:val="20"/>
        </w:rPr>
        <w:t xml:space="preserve">, in Jenkins, S and Micklewright, J (eds), </w:t>
      </w:r>
      <w:r w:rsidRPr="00C95E48">
        <w:rPr>
          <w:rFonts w:cs="Arial"/>
          <w:i/>
          <w:sz w:val="20"/>
        </w:rPr>
        <w:t>Inequality and Poverty Re-examined</w:t>
      </w:r>
      <w:r>
        <w:rPr>
          <w:rFonts w:cs="Arial"/>
          <w:sz w:val="20"/>
        </w:rPr>
        <w:t xml:space="preserve">, </w:t>
      </w:r>
      <w:smartTag w:uri="urn:schemas-microsoft-com:office:smarttags" w:element="place">
        <w:smartTag w:uri="urn:schemas-microsoft-com:office:smarttags" w:element="City">
          <w:r>
            <w:rPr>
              <w:rFonts w:cs="Arial"/>
              <w:sz w:val="20"/>
            </w:rPr>
            <w:t>Oxford</w:t>
          </w:r>
        </w:smartTag>
      </w:smartTag>
      <w:r>
        <w:rPr>
          <w:rFonts w:cs="Arial"/>
          <w:sz w:val="20"/>
        </w:rPr>
        <w:t>: Oxford University Press.</w:t>
      </w:r>
    </w:p>
    <w:p w:rsidR="007D295A" w:rsidRDefault="007D295A" w:rsidP="00EE3232">
      <w:pPr>
        <w:widowControl w:val="0"/>
        <w:autoSpaceDE w:val="0"/>
        <w:autoSpaceDN w:val="0"/>
        <w:adjustRightInd w:val="0"/>
        <w:spacing w:after="240"/>
        <w:ind w:left="720" w:hanging="720"/>
        <w:rPr>
          <w:rFonts w:cs="Arial"/>
          <w:sz w:val="20"/>
        </w:rPr>
      </w:pPr>
      <w:r>
        <w:rPr>
          <w:rFonts w:cs="Arial"/>
          <w:sz w:val="20"/>
        </w:rPr>
        <w:t xml:space="preserve">Nolan, B., &amp; Whelan, C. T. (2011), </w:t>
      </w:r>
      <w:r>
        <w:rPr>
          <w:rFonts w:cs="Arial"/>
          <w:i/>
          <w:iCs/>
          <w:sz w:val="20"/>
        </w:rPr>
        <w:t>Poverty and Deprivation in Europe</w:t>
      </w:r>
      <w:r>
        <w:rPr>
          <w:rFonts w:cs="Arial"/>
          <w:sz w:val="20"/>
        </w:rPr>
        <w:t xml:space="preserve">, </w:t>
      </w:r>
      <w:smartTag w:uri="urn:schemas-microsoft-com:office:smarttags" w:element="City">
        <w:r>
          <w:rPr>
            <w:rFonts w:cs="Arial"/>
            <w:sz w:val="20"/>
          </w:rPr>
          <w:t>Oxford</w:t>
        </w:r>
      </w:smartTag>
      <w:r>
        <w:rPr>
          <w:rFonts w:cs="Arial"/>
          <w:sz w:val="20"/>
        </w:rPr>
        <w:t xml:space="preserve">: </w:t>
      </w:r>
      <w:smartTag w:uri="urn:schemas-microsoft-com:office:smarttags" w:element="place">
        <w:smartTag w:uri="urn:schemas-microsoft-com:office:smarttags" w:element="PlaceName">
          <w:r>
            <w:rPr>
              <w:rFonts w:cs="Arial"/>
              <w:sz w:val="20"/>
            </w:rPr>
            <w:t>Oxford</w:t>
          </w:r>
        </w:smartTag>
        <w:r>
          <w:rPr>
            <w:rFonts w:cs="Arial"/>
            <w:sz w:val="20"/>
          </w:rPr>
          <w:t xml:space="preserve"> </w:t>
        </w:r>
        <w:smartTag w:uri="urn:schemas-microsoft-com:office:smarttags" w:element="PlaceType">
          <w:r>
            <w:rPr>
              <w:rFonts w:cs="Arial"/>
              <w:sz w:val="20"/>
            </w:rPr>
            <w:t>University</w:t>
          </w:r>
        </w:smartTag>
      </w:smartTag>
      <w:r>
        <w:rPr>
          <w:rFonts w:cs="Arial"/>
          <w:sz w:val="20"/>
        </w:rPr>
        <w:t xml:space="preserve"> Press </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O'Dea, D. (2000). 'The changes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's income distribution.'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Treasury Working Paper, 00/13.</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(2005), </w:t>
      </w:r>
      <w:r>
        <w:rPr>
          <w:rFonts w:cs="Arial"/>
          <w:i/>
          <w:iCs/>
          <w:sz w:val="20"/>
        </w:rPr>
        <w:t>Society at a Glance</w:t>
      </w:r>
      <w:r>
        <w:rPr>
          <w:rFonts w:cs="Arial"/>
          <w:sz w:val="20"/>
        </w:rPr>
        <w:t xml:space="preserve">, </w:t>
      </w:r>
      <w:smartTag w:uri="urn:schemas-microsoft-com:office:smarttags" w:element="place">
        <w:smartTag w:uri="urn:schemas-microsoft-com:office:smarttags" w:element="City">
          <w:r>
            <w:rPr>
              <w:rFonts w:cs="Arial"/>
              <w:sz w:val="20"/>
            </w:rPr>
            <w:t>Paris</w:t>
          </w:r>
        </w:smartTag>
      </w:smartTag>
      <w:r>
        <w:rPr>
          <w:rFonts w:cs="Arial"/>
          <w:sz w:val="20"/>
        </w:rPr>
        <w:t>: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(2007), </w:t>
      </w:r>
      <w:r>
        <w:rPr>
          <w:rFonts w:cs="Arial"/>
          <w:i/>
          <w:iCs/>
          <w:sz w:val="20"/>
        </w:rPr>
        <w:t>OECD Economic Surveys</w:t>
      </w:r>
      <w:r>
        <w:rPr>
          <w:rFonts w:cs="Arial"/>
          <w:sz w:val="20"/>
        </w:rPr>
        <w:t xml:space="preserve">, </w:t>
      </w:r>
      <w:smartTag w:uri="urn:schemas-microsoft-com:office:smarttags" w:element="place">
        <w:smartTag w:uri="urn:schemas-microsoft-com:office:smarttags" w:element="City">
          <w:r>
            <w:rPr>
              <w:rFonts w:cs="Arial"/>
              <w:sz w:val="20"/>
            </w:rPr>
            <w:t>Paris</w:t>
          </w:r>
        </w:smartTag>
      </w:smartTag>
      <w:r>
        <w:rPr>
          <w:rFonts w:cs="Arial"/>
          <w:sz w:val="20"/>
        </w:rPr>
        <w:t>: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(2008), </w:t>
      </w:r>
      <w:r w:rsidRPr="00B66E76">
        <w:rPr>
          <w:rFonts w:cs="Arial"/>
          <w:i/>
          <w:sz w:val="20"/>
        </w:rPr>
        <w:t>Gro</w:t>
      </w:r>
      <w:r>
        <w:rPr>
          <w:rFonts w:cs="Arial"/>
          <w:i/>
          <w:sz w:val="20"/>
        </w:rPr>
        <w:t>wing Unequal: Income Distributi</w:t>
      </w:r>
      <w:r w:rsidRPr="00B66E76">
        <w:rPr>
          <w:rFonts w:cs="Arial"/>
          <w:i/>
          <w:sz w:val="20"/>
        </w:rPr>
        <w:t xml:space="preserve">on and </w:t>
      </w:r>
      <w:r>
        <w:rPr>
          <w:rFonts w:cs="Arial"/>
          <w:i/>
          <w:sz w:val="20"/>
        </w:rPr>
        <w:t>P</w:t>
      </w:r>
      <w:r w:rsidRPr="00B66E76">
        <w:rPr>
          <w:rFonts w:cs="Arial"/>
          <w:i/>
          <w:sz w:val="20"/>
        </w:rPr>
        <w:t>overty in OECD countries</w:t>
      </w:r>
      <w:r>
        <w:rPr>
          <w:rFonts w:cs="Arial"/>
          <w:sz w:val="20"/>
        </w:rPr>
        <w:t xml:space="preserve">, </w:t>
      </w:r>
      <w:smartTag w:uri="urn:schemas-microsoft-com:office:smarttags" w:element="place">
        <w:smartTag w:uri="urn:schemas-microsoft-com:office:smarttags" w:element="City">
          <w:r>
            <w:rPr>
              <w:rFonts w:cs="Arial"/>
              <w:sz w:val="20"/>
            </w:rPr>
            <w:t>Paris</w:t>
          </w:r>
        </w:smartTag>
      </w:smartTag>
      <w:r>
        <w:rPr>
          <w:rFonts w:cs="Arial"/>
          <w:sz w:val="20"/>
        </w:rPr>
        <w:t>: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(2009), </w:t>
      </w:r>
      <w:r w:rsidRPr="0025680B">
        <w:rPr>
          <w:rFonts w:cs="Arial"/>
          <w:i/>
          <w:sz w:val="20"/>
        </w:rPr>
        <w:t>Pensions at a Glance 2009</w:t>
      </w:r>
      <w:r>
        <w:rPr>
          <w:rFonts w:cs="Arial"/>
          <w:sz w:val="20"/>
        </w:rPr>
        <w:t>, Paris: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(2011a), </w:t>
      </w:r>
      <w:r>
        <w:rPr>
          <w:rFonts w:cs="Arial"/>
          <w:i/>
          <w:iCs/>
          <w:sz w:val="20"/>
        </w:rPr>
        <w:t>Doing Better for Families</w:t>
      </w:r>
      <w:r>
        <w:rPr>
          <w:rFonts w:cs="Arial"/>
          <w:sz w:val="20"/>
        </w:rPr>
        <w:t>, Paris: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OECD (2011b), </w:t>
      </w:r>
      <w:r>
        <w:rPr>
          <w:rFonts w:cs="Arial"/>
          <w:i/>
          <w:iCs/>
          <w:sz w:val="20"/>
        </w:rPr>
        <w:t>Society at a Glance</w:t>
      </w:r>
      <w:r>
        <w:rPr>
          <w:rFonts w:cs="Arial"/>
          <w:sz w:val="20"/>
        </w:rPr>
        <w:t xml:space="preserve">, </w:t>
      </w:r>
      <w:smartTag w:uri="urn:schemas-microsoft-com:office:smarttags" w:element="place">
        <w:smartTag w:uri="urn:schemas-microsoft-com:office:smarttags" w:element="City">
          <w:r>
            <w:rPr>
              <w:rFonts w:cs="Arial"/>
              <w:sz w:val="20"/>
            </w:rPr>
            <w:t>Paris</w:t>
          </w:r>
        </w:smartTag>
      </w:smartTag>
      <w:r>
        <w:rPr>
          <w:rFonts w:cs="Arial"/>
          <w:sz w:val="20"/>
        </w:rPr>
        <w:t>: OECD.</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Perry, B. (2002), 'The mismatch between income measures and direct outcome measures of poverty', </w:t>
      </w:r>
      <w:r>
        <w:rPr>
          <w:rFonts w:cs="Arial"/>
          <w:i/>
          <w:iCs/>
          <w:sz w:val="20"/>
        </w:rPr>
        <w:t>Social Policy Journal of New Zealand</w:t>
      </w:r>
      <w:r>
        <w:rPr>
          <w:rFonts w:cs="Arial"/>
          <w:sz w:val="20"/>
        </w:rPr>
        <w:t>, (19), 101-127.</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Perry, B. (2005), 'The choice of income sharing unit for poverty measurement: household or economic family unit?' Unpublished discussion paper, Ministry of Social Development, </w:t>
      </w:r>
      <w:smartTag w:uri="urn:schemas-microsoft-com:office:smarttags" w:element="place">
        <w:smartTag w:uri="urn:schemas-microsoft-com:office:smarttags" w:element="City">
          <w:r>
            <w:rPr>
              <w:rFonts w:cs="Arial"/>
              <w:sz w:val="20"/>
            </w:rPr>
            <w:t>Wellington</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Perry, B. (2009), ‘Non-income measures of material wellbeing and hardship: first results from the 2008 New Zealand Living Standards Survey, with international comparisons.’ Working Paper 01/09, Ministry of Social Development, </w:t>
      </w:r>
      <w:smartTag w:uri="urn:schemas-microsoft-com:office:smarttags" w:element="place">
        <w:smartTag w:uri="urn:schemas-microsoft-com:office:smarttags" w:element="City">
          <w:r>
            <w:rPr>
              <w:rFonts w:cs="Arial"/>
              <w:sz w:val="20"/>
            </w:rPr>
            <w:t>Wellington</w:t>
          </w:r>
        </w:smartTag>
      </w:smartTag>
      <w:r>
        <w:rPr>
          <w:rFonts w:cs="Arial"/>
          <w:sz w:val="20"/>
        </w:rPr>
        <w:t>.</w:t>
      </w:r>
    </w:p>
    <w:p w:rsidR="005B67BD" w:rsidRDefault="005B67BD" w:rsidP="005B67BD">
      <w:pPr>
        <w:widowControl w:val="0"/>
        <w:autoSpaceDE w:val="0"/>
        <w:autoSpaceDN w:val="0"/>
        <w:adjustRightInd w:val="0"/>
        <w:spacing w:after="240"/>
        <w:ind w:left="720" w:hanging="720"/>
        <w:rPr>
          <w:rFonts w:cs="Arial"/>
          <w:sz w:val="20"/>
        </w:rPr>
      </w:pPr>
      <w:r>
        <w:rPr>
          <w:rFonts w:cs="Arial"/>
          <w:sz w:val="20"/>
        </w:rPr>
        <w:t xml:space="preserve">Perry, B. (2012, forthcoming), ‘Income mobility and low-income persistence in </w:t>
      </w:r>
      <w:smartTag w:uri="urn:schemas-microsoft-com:office:smarttags" w:element="place">
        <w:smartTag w:uri="urn:schemas-microsoft-com:office:smarttags" w:element="country-region">
          <w:r>
            <w:rPr>
              <w:rFonts w:cs="Arial"/>
              <w:sz w:val="20"/>
            </w:rPr>
            <w:t>New Zealand</w:t>
          </w:r>
        </w:smartTag>
      </w:smartTag>
      <w:r>
        <w:rPr>
          <w:rFonts w:cs="Arial"/>
          <w:sz w:val="20"/>
        </w:rPr>
        <w:t>: preliminary findings from SoFIE, with international comparisons.’</w:t>
      </w:r>
    </w:p>
    <w:p w:rsidR="005B67BD" w:rsidRDefault="005B67BD" w:rsidP="005B67BD">
      <w:pPr>
        <w:widowControl w:val="0"/>
        <w:autoSpaceDE w:val="0"/>
        <w:autoSpaceDN w:val="0"/>
        <w:adjustRightInd w:val="0"/>
        <w:spacing w:after="240"/>
        <w:ind w:left="720" w:hanging="720"/>
        <w:rPr>
          <w:rFonts w:cs="Arial"/>
          <w:sz w:val="20"/>
        </w:rPr>
      </w:pPr>
      <w:r>
        <w:rPr>
          <w:rFonts w:cs="Arial"/>
          <w:sz w:val="20"/>
        </w:rPr>
        <w:lastRenderedPageBreak/>
        <w:t>Perry, B. (2013, forthcoming), ‘Non-income measures of m</w:t>
      </w:r>
      <w:r w:rsidR="00F663FE">
        <w:rPr>
          <w:rFonts w:cs="Arial"/>
          <w:sz w:val="20"/>
        </w:rPr>
        <w:t xml:space="preserve">aterial wellbeing and hardship in </w:t>
      </w:r>
      <w:smartTag w:uri="urn:schemas-microsoft-com:office:smarttags" w:element="place">
        <w:smartTag w:uri="urn:schemas-microsoft-com:office:smarttags" w:element="country-region">
          <w:r w:rsidR="00F663FE">
            <w:rPr>
              <w:rFonts w:cs="Arial"/>
              <w:sz w:val="20"/>
            </w:rPr>
            <w:t>New Zealand</w:t>
          </w:r>
        </w:smartTag>
      </w:smartTag>
      <w:r w:rsidR="00F663FE">
        <w:rPr>
          <w:rFonts w:cs="Arial"/>
          <w:sz w:val="20"/>
        </w:rPr>
        <w:t>: full findings from the 2008 Living Standards Survey and the Household Economic Survey, 2006-07 to 2011-12.’</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Piachaud, D. (1987), ‘Problems in the definition and measurement of poverty’, </w:t>
      </w:r>
      <w:r w:rsidRPr="007C65FA">
        <w:rPr>
          <w:rFonts w:cs="Arial"/>
          <w:i/>
          <w:sz w:val="20"/>
        </w:rPr>
        <w:t>Journal of Social Policy, 16</w:t>
      </w:r>
      <w:r>
        <w:rPr>
          <w:rFonts w:cs="Arial"/>
          <w:sz w:val="20"/>
        </w:rPr>
        <w:t xml:space="preserve"> (2), 147-164.</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Saunders, P. (1997), 'Living standards, choice and poverty', </w:t>
      </w:r>
      <w:r>
        <w:rPr>
          <w:rFonts w:cs="Arial"/>
          <w:i/>
          <w:iCs/>
          <w:sz w:val="20"/>
        </w:rPr>
        <w:t>Australian Journal of Labour Economics</w:t>
      </w:r>
      <w:r>
        <w:rPr>
          <w:rFonts w:cs="Arial"/>
          <w:sz w:val="20"/>
        </w:rPr>
        <w:t xml:space="preserve">, </w:t>
      </w:r>
      <w:r>
        <w:rPr>
          <w:rFonts w:cs="Arial"/>
          <w:i/>
          <w:iCs/>
          <w:sz w:val="20"/>
        </w:rPr>
        <w:t>1</w:t>
      </w:r>
      <w:r>
        <w:rPr>
          <w:rFonts w:cs="Arial"/>
          <w:sz w:val="20"/>
        </w:rPr>
        <w:t>(1), 49-70.</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Saunders, P. (1999), 'The Perception of Equality.' Social Policy Research Centre Newsletter (75), </w:t>
      </w:r>
      <w:smartTag w:uri="urn:schemas-microsoft-com:office:smarttags" w:element="place">
        <w:smartTag w:uri="urn:schemas-microsoft-com:office:smarttags" w:element="PlaceType">
          <w:r>
            <w:rPr>
              <w:rFonts w:cs="Arial"/>
              <w:sz w:val="20"/>
            </w:rPr>
            <w:t>University</w:t>
          </w:r>
        </w:smartTag>
        <w:r>
          <w:rPr>
            <w:rFonts w:cs="Arial"/>
            <w:sz w:val="20"/>
          </w:rPr>
          <w:t xml:space="preserve"> of </w:t>
        </w:r>
        <w:smartTag w:uri="urn:schemas-microsoft-com:office:smarttags" w:element="PlaceName">
          <w:r>
            <w:rPr>
              <w:rFonts w:cs="Arial"/>
              <w:sz w:val="20"/>
            </w:rPr>
            <w:t>New South Wales</w:t>
          </w:r>
        </w:smartTag>
      </w:smartTag>
      <w:r>
        <w:rPr>
          <w:rFonts w:cs="Arial"/>
          <w:sz w:val="20"/>
        </w:rPr>
        <w:t xml:space="preserve"> .</w:t>
      </w:r>
    </w:p>
    <w:p w:rsidR="00EE3232" w:rsidRPr="00147511" w:rsidRDefault="00EE3232" w:rsidP="00EE3232">
      <w:pPr>
        <w:widowControl w:val="0"/>
        <w:autoSpaceDE w:val="0"/>
        <w:autoSpaceDN w:val="0"/>
        <w:adjustRightInd w:val="0"/>
        <w:spacing w:after="240"/>
        <w:ind w:left="720" w:hanging="720"/>
        <w:rPr>
          <w:rFonts w:cs="Arial"/>
          <w:sz w:val="20"/>
        </w:rPr>
      </w:pPr>
      <w:r w:rsidRPr="00147511">
        <w:rPr>
          <w:rFonts w:cs="Arial"/>
          <w:sz w:val="20"/>
          <w:lang w:val="en-US"/>
        </w:rPr>
        <w:t>Sierminska, E., Brandolini</w:t>
      </w:r>
      <w:r>
        <w:rPr>
          <w:rFonts w:cs="Arial"/>
          <w:sz w:val="20"/>
          <w:lang w:val="en-US"/>
        </w:rPr>
        <w:t xml:space="preserve"> A.</w:t>
      </w:r>
      <w:r w:rsidRPr="00147511">
        <w:rPr>
          <w:rFonts w:cs="Arial"/>
          <w:sz w:val="20"/>
          <w:lang w:val="en-US"/>
        </w:rPr>
        <w:t xml:space="preserve"> and Smeeding</w:t>
      </w:r>
      <w:r>
        <w:rPr>
          <w:rFonts w:cs="Arial"/>
          <w:sz w:val="20"/>
          <w:lang w:val="en-US"/>
        </w:rPr>
        <w:t xml:space="preserve"> T.</w:t>
      </w:r>
      <w:r w:rsidRPr="00147511">
        <w:rPr>
          <w:rFonts w:cs="Arial"/>
          <w:sz w:val="20"/>
          <w:lang w:val="en-US"/>
        </w:rPr>
        <w:t xml:space="preserve"> (2006), “Comparing Wealth Distribution across Rich</w:t>
      </w:r>
      <w:r>
        <w:rPr>
          <w:rFonts w:cs="Arial"/>
          <w:sz w:val="20"/>
        </w:rPr>
        <w:t xml:space="preserve"> </w:t>
      </w:r>
      <w:r w:rsidRPr="00147511">
        <w:rPr>
          <w:rFonts w:cs="Arial"/>
          <w:sz w:val="20"/>
          <w:lang w:val="en-US"/>
        </w:rPr>
        <w:t xml:space="preserve">Countries: First Results from the </w:t>
      </w:r>
      <w:smartTag w:uri="urn:schemas-microsoft-com:office:smarttags" w:element="country-region">
        <w:r w:rsidRPr="00147511">
          <w:rPr>
            <w:rFonts w:cs="Arial"/>
            <w:sz w:val="20"/>
            <w:lang w:val="en-US"/>
          </w:rPr>
          <w:t>Luxembourg</w:t>
        </w:r>
      </w:smartTag>
      <w:r w:rsidRPr="00147511">
        <w:rPr>
          <w:rFonts w:cs="Arial"/>
          <w:sz w:val="20"/>
          <w:lang w:val="en-US"/>
        </w:rPr>
        <w:t xml:space="preserve"> Wealth Study”, </w:t>
      </w:r>
      <w:smartTag w:uri="urn:schemas-microsoft-com:office:smarttags" w:element="place">
        <w:smartTag w:uri="urn:schemas-microsoft-com:office:smarttags" w:element="country-region">
          <w:r w:rsidRPr="00147511">
            <w:rPr>
              <w:rFonts w:cs="Arial"/>
              <w:sz w:val="20"/>
              <w:lang w:val="en-US"/>
            </w:rPr>
            <w:t>Luxembourg</w:t>
          </w:r>
        </w:smartTag>
      </w:smartTag>
      <w:r w:rsidRPr="00147511">
        <w:rPr>
          <w:rFonts w:cs="Arial"/>
          <w:sz w:val="20"/>
          <w:lang w:val="en-US"/>
        </w:rPr>
        <w:t xml:space="preserve"> Wealth Study Working</w:t>
      </w:r>
      <w:r>
        <w:rPr>
          <w:rFonts w:cs="Arial"/>
          <w:sz w:val="20"/>
        </w:rPr>
        <w:t xml:space="preserve"> </w:t>
      </w:r>
      <w:r w:rsidRPr="00147511">
        <w:rPr>
          <w:rFonts w:cs="Arial"/>
          <w:sz w:val="20"/>
          <w:lang w:val="en-US"/>
        </w:rPr>
        <w:t>Paper No. 1</w:t>
      </w:r>
      <w:r>
        <w:rPr>
          <w:rFonts w:cs="Arial"/>
          <w:sz w:val="20"/>
          <w:lang w:val="en-US"/>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Singley, S. &amp; Callister, P. (2003), ‘Work-poor or working poor?  A comparative perspective on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’s rise in household employment inequality’, </w:t>
      </w:r>
      <w:r w:rsidRPr="00E9453A">
        <w:rPr>
          <w:rFonts w:cs="Arial"/>
          <w:i/>
          <w:sz w:val="20"/>
        </w:rPr>
        <w:t>Social Policy Journal of New Zealand</w:t>
      </w:r>
      <w:r>
        <w:rPr>
          <w:rFonts w:cs="Arial"/>
          <w:sz w:val="20"/>
        </w:rPr>
        <w:t>, (20), 134-155</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Statistics </w:t>
      </w:r>
      <w:smartTag w:uri="urn:schemas-microsoft-com:office:smarttags" w:element="country-region">
        <w:r>
          <w:rPr>
            <w:rFonts w:cs="Arial"/>
            <w:sz w:val="20"/>
          </w:rPr>
          <w:t>Canada</w:t>
        </w:r>
      </w:smartTag>
      <w:r>
        <w:rPr>
          <w:rFonts w:cs="Arial"/>
          <w:sz w:val="20"/>
        </w:rPr>
        <w:t xml:space="preserve"> (2011), </w:t>
      </w:r>
      <w:r w:rsidRPr="00EE0188">
        <w:rPr>
          <w:rFonts w:cs="Arial"/>
          <w:i/>
          <w:sz w:val="20"/>
        </w:rPr>
        <w:t xml:space="preserve">Income </w:t>
      </w:r>
      <w:r>
        <w:rPr>
          <w:rFonts w:cs="Arial"/>
          <w:i/>
          <w:sz w:val="20"/>
        </w:rPr>
        <w:t>of Canadians,</w:t>
      </w:r>
      <w:r w:rsidRPr="00EE0188">
        <w:rPr>
          <w:rFonts w:cs="Arial"/>
          <w:i/>
          <w:sz w:val="20"/>
        </w:rPr>
        <w:t xml:space="preserve"> 200</w:t>
      </w:r>
      <w:r>
        <w:rPr>
          <w:rFonts w:cs="Arial"/>
          <w:i/>
          <w:sz w:val="20"/>
        </w:rPr>
        <w:t>9</w:t>
      </w:r>
      <w:r>
        <w:rPr>
          <w:rFonts w:cs="Arial"/>
          <w:sz w:val="20"/>
        </w:rPr>
        <w:t xml:space="preserve">, </w:t>
      </w:r>
      <w:smartTag w:uri="urn:schemas-microsoft-com:office:smarttags" w:element="City">
        <w:r>
          <w:rPr>
            <w:rFonts w:cs="Arial"/>
            <w:sz w:val="20"/>
          </w:rPr>
          <w:t>Ottawa</w:t>
        </w:r>
      </w:smartTag>
      <w:r>
        <w:rPr>
          <w:rFonts w:cs="Arial"/>
          <w:sz w:val="20"/>
        </w:rPr>
        <w:t xml:space="preserve">: Statistics </w:t>
      </w:r>
      <w:smartTag w:uri="urn:schemas-microsoft-com:office:smarttags" w:element="place">
        <w:smartTag w:uri="urn:schemas-microsoft-com:office:smarttags" w:element="country-region">
          <w:r>
            <w:rPr>
              <w:rFonts w:cs="Arial"/>
              <w:sz w:val="20"/>
            </w:rPr>
            <w:t>Canada</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Statistics </w:t>
      </w:r>
      <w:smartTag w:uri="urn:schemas-microsoft-com:office:smarttags" w:element="country-region">
        <w:r>
          <w:rPr>
            <w:rFonts w:cs="Arial"/>
            <w:sz w:val="20"/>
          </w:rPr>
          <w:t>New Zealand</w:t>
        </w:r>
      </w:smartTag>
      <w:r>
        <w:rPr>
          <w:rFonts w:cs="Arial"/>
          <w:sz w:val="20"/>
        </w:rPr>
        <w:t xml:space="preserve"> (2007), </w:t>
      </w:r>
      <w:r w:rsidRPr="00DE5D02">
        <w:rPr>
          <w:rFonts w:cs="Arial"/>
          <w:i/>
          <w:sz w:val="20"/>
        </w:rPr>
        <w:t xml:space="preserve">Wealth Disparities in </w:t>
      </w:r>
      <w:smartTag w:uri="urn:schemas-microsoft-com:office:smarttags" w:element="country-region">
        <w:r w:rsidRPr="00DE5D02">
          <w:rPr>
            <w:rFonts w:cs="Arial"/>
            <w:i/>
            <w:sz w:val="20"/>
          </w:rPr>
          <w:t>New Zealand</w:t>
        </w:r>
      </w:smartTag>
      <w:r>
        <w:rPr>
          <w:rFonts w:cs="Arial"/>
          <w:sz w:val="20"/>
        </w:rPr>
        <w:t xml:space="preserve">, </w:t>
      </w:r>
      <w:smartTag w:uri="urn:schemas-microsoft-com:office:smarttags" w:element="City">
        <w:r>
          <w:rPr>
            <w:rFonts w:cs="Arial"/>
            <w:sz w:val="20"/>
          </w:rPr>
          <w:t>Wellington</w:t>
        </w:r>
      </w:smartTag>
      <w:r>
        <w:rPr>
          <w:rFonts w:cs="Arial"/>
          <w:sz w:val="20"/>
        </w:rPr>
        <w:t xml:space="preserve">: Statistics </w:t>
      </w:r>
      <w:smartTag w:uri="urn:schemas-microsoft-com:office:smarttags" w:element="country-region">
        <w:smartTag w:uri="urn:schemas-microsoft-com:office:smarttags" w:element="place">
          <w:r>
            <w:rPr>
              <w:rFonts w:cs="Arial"/>
              <w:sz w:val="20"/>
            </w:rPr>
            <w:t>New Zealand</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Stephens, R. J. (1988), 'Issues in the measurement of poverty and standards of living.' Discussion Paper #48, Department of Economics, </w:t>
      </w:r>
      <w:smartTag w:uri="urn:schemas-microsoft-com:office:smarttags" w:element="PlaceName">
        <w:r>
          <w:rPr>
            <w:rFonts w:cs="Arial"/>
            <w:sz w:val="20"/>
          </w:rPr>
          <w:t>Victoria</w:t>
        </w:r>
      </w:smartTag>
      <w:r>
        <w:rPr>
          <w:rFonts w:cs="Arial"/>
          <w:sz w:val="20"/>
        </w:rPr>
        <w:t xml:space="preserve"> </w:t>
      </w:r>
      <w:smartTag w:uri="urn:schemas-microsoft-com:office:smarttags" w:element="PlaceName">
        <w:r>
          <w:rPr>
            <w:rFonts w:cs="Arial"/>
            <w:sz w:val="20"/>
          </w:rPr>
          <w:t>University</w:t>
        </w:r>
      </w:smartTag>
      <w:r>
        <w:rPr>
          <w:rFonts w:cs="Arial"/>
          <w:sz w:val="20"/>
        </w:rPr>
        <w:t xml:space="preserve"> of </w:t>
      </w:r>
      <w:smartTag w:uri="urn:schemas-microsoft-com:office:smarttags" w:element="place">
        <w:smartTag w:uri="urn:schemas-microsoft-com:office:smarttags" w:element="City">
          <w:r>
            <w:rPr>
              <w:rFonts w:cs="Arial"/>
              <w:sz w:val="20"/>
            </w:rPr>
            <w:t>Wellington</w:t>
          </w:r>
        </w:smartTag>
      </w:smartTag>
      <w:r>
        <w:rPr>
          <w:rFonts w:cs="Arial"/>
          <w:sz w:val="20"/>
        </w:rPr>
        <w:t xml:space="preserve"> .</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Stephens, R., Waldegrave, C., &amp; Frater, P. (1995), 'Measuring poverty in </w:t>
      </w:r>
      <w:smartTag w:uri="urn:schemas-microsoft-com:office:smarttags" w:element="place">
        <w:smartTag w:uri="urn:schemas-microsoft-com:office:smarttags" w:element="country-region">
          <w:r>
            <w:rPr>
              <w:rFonts w:cs="Arial"/>
              <w:sz w:val="20"/>
            </w:rPr>
            <w:t>New Zealand</w:t>
          </w:r>
        </w:smartTag>
      </w:smartTag>
      <w:r>
        <w:rPr>
          <w:rFonts w:cs="Arial"/>
          <w:sz w:val="20"/>
        </w:rPr>
        <w:t xml:space="preserve">', </w:t>
      </w:r>
      <w:r>
        <w:rPr>
          <w:rFonts w:cs="Arial"/>
          <w:i/>
          <w:iCs/>
          <w:sz w:val="20"/>
        </w:rPr>
        <w:t>Social Policy Journal of New Zealand</w:t>
      </w:r>
      <w:r>
        <w:rPr>
          <w:rFonts w:cs="Arial"/>
          <w:sz w:val="20"/>
        </w:rPr>
        <w:t xml:space="preserve">, </w:t>
      </w:r>
      <w:r w:rsidRPr="00384956">
        <w:rPr>
          <w:rFonts w:cs="Arial"/>
          <w:iCs/>
          <w:sz w:val="20"/>
        </w:rPr>
        <w:t>(5)</w:t>
      </w:r>
      <w:r w:rsidRPr="00384956">
        <w:rPr>
          <w:rFonts w:cs="Arial"/>
          <w:sz w:val="20"/>
        </w:rPr>
        <w:t>,</w:t>
      </w:r>
      <w:r>
        <w:rPr>
          <w:rFonts w:cs="Arial"/>
          <w:sz w:val="20"/>
        </w:rPr>
        <w:t xml:space="preserve"> 88-112.</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Tax Working Group (2010), ‘A Tax System for </w:t>
      </w:r>
      <w:smartTag w:uri="urn:schemas-microsoft-com:office:smarttags" w:element="country-region">
        <w:r>
          <w:rPr>
            <w:rFonts w:cs="Arial"/>
            <w:sz w:val="20"/>
          </w:rPr>
          <w:t>New Zealand</w:t>
        </w:r>
      </w:smartTag>
      <w:r>
        <w:rPr>
          <w:rFonts w:cs="Arial"/>
          <w:sz w:val="20"/>
        </w:rPr>
        <w:t xml:space="preserve">’s Future: Report of the Victoria University of Wellington Tax Working Group’, Victoria University of Wellington, </w:t>
      </w:r>
      <w:smartTag w:uri="urn:schemas-microsoft-com:office:smarttags" w:element="place">
        <w:smartTag w:uri="urn:schemas-microsoft-com:office:smarttags" w:element="City">
          <w:r>
            <w:rPr>
              <w:rFonts w:cs="Arial"/>
              <w:sz w:val="20"/>
            </w:rPr>
            <w:t>Wellington</w:t>
          </w:r>
        </w:smartTag>
      </w:smartTag>
      <w:r>
        <w:rPr>
          <w:rFonts w:cs="Arial"/>
          <w:sz w:val="20"/>
        </w:rPr>
        <w:t>.</w:t>
      </w:r>
    </w:p>
    <w:p w:rsidR="000B05DB" w:rsidRDefault="000B05DB" w:rsidP="00EE3232">
      <w:pPr>
        <w:widowControl w:val="0"/>
        <w:autoSpaceDE w:val="0"/>
        <w:autoSpaceDN w:val="0"/>
        <w:adjustRightInd w:val="0"/>
        <w:spacing w:after="240"/>
        <w:ind w:left="720" w:hanging="720"/>
        <w:rPr>
          <w:rFonts w:cs="Arial"/>
          <w:sz w:val="20"/>
        </w:rPr>
      </w:pPr>
      <w:r>
        <w:rPr>
          <w:rFonts w:cs="Arial"/>
          <w:sz w:val="20"/>
        </w:rPr>
        <w:t>Tomlinson</w:t>
      </w:r>
      <w:r w:rsidR="00C1015E">
        <w:rPr>
          <w:rFonts w:cs="Arial"/>
          <w:sz w:val="20"/>
        </w:rPr>
        <w:t xml:space="preserve">, M. &amp; Walker, R. (2009), </w:t>
      </w:r>
      <w:r w:rsidR="00C1015E" w:rsidRPr="00D06CAC">
        <w:rPr>
          <w:rFonts w:cs="Arial"/>
          <w:i/>
          <w:sz w:val="20"/>
        </w:rPr>
        <w:t xml:space="preserve">‘Coping with </w:t>
      </w:r>
      <w:r w:rsidR="00D06CAC" w:rsidRPr="00D06CAC">
        <w:rPr>
          <w:rFonts w:cs="Arial"/>
          <w:i/>
          <w:sz w:val="20"/>
        </w:rPr>
        <w:t>C</w:t>
      </w:r>
      <w:r w:rsidR="00C1015E" w:rsidRPr="00D06CAC">
        <w:rPr>
          <w:rFonts w:cs="Arial"/>
          <w:i/>
          <w:sz w:val="20"/>
        </w:rPr>
        <w:t xml:space="preserve">omplexity: </w:t>
      </w:r>
      <w:r w:rsidR="00D06CAC" w:rsidRPr="00D06CAC">
        <w:rPr>
          <w:rFonts w:cs="Arial"/>
          <w:i/>
          <w:sz w:val="20"/>
        </w:rPr>
        <w:t>C</w:t>
      </w:r>
      <w:r w:rsidR="00C1015E" w:rsidRPr="00D06CAC">
        <w:rPr>
          <w:rFonts w:cs="Arial"/>
          <w:i/>
          <w:sz w:val="20"/>
        </w:rPr>
        <w:t xml:space="preserve">hild and </w:t>
      </w:r>
      <w:r w:rsidR="00D06CAC" w:rsidRPr="00D06CAC">
        <w:rPr>
          <w:rFonts w:cs="Arial"/>
          <w:i/>
          <w:sz w:val="20"/>
        </w:rPr>
        <w:t>Adult P</w:t>
      </w:r>
      <w:r w:rsidR="00C1015E" w:rsidRPr="00D06CAC">
        <w:rPr>
          <w:rFonts w:cs="Arial"/>
          <w:i/>
          <w:sz w:val="20"/>
        </w:rPr>
        <w:t>overty.’</w:t>
      </w:r>
      <w:r w:rsidR="00C1015E">
        <w:rPr>
          <w:rFonts w:cs="Arial"/>
          <w:sz w:val="20"/>
        </w:rPr>
        <w:t xml:space="preserve"> Child Poverty Action Group, </w:t>
      </w:r>
      <w:smartTag w:uri="urn:schemas-microsoft-com:office:smarttags" w:element="place">
        <w:smartTag w:uri="urn:schemas-microsoft-com:office:smarttags" w:element="City">
          <w:r w:rsidR="00C1015E">
            <w:rPr>
              <w:rFonts w:cs="Arial"/>
              <w:sz w:val="20"/>
            </w:rPr>
            <w:t>London</w:t>
          </w:r>
        </w:smartTag>
      </w:smartTag>
      <w:r w:rsidR="00C1015E">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UNICEF (2000), 'A League Table of Child Poverty in Rich Nations.' Innocenti Report Card No. 1,  UNICEF Innocenti Research Centre,  </w:t>
      </w:r>
      <w:smartTag w:uri="urn:schemas-microsoft-com:office:smarttags" w:element="place">
        <w:smartTag w:uri="urn:schemas-microsoft-com:office:smarttags" w:element="City">
          <w:r>
            <w:rPr>
              <w:rFonts w:cs="Arial"/>
              <w:sz w:val="20"/>
            </w:rPr>
            <w:t>Florence</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UNICEF (2005), 'Child Poverty in Rich Countries, 2005.' Innoc</w:t>
      </w:r>
      <w:r w:rsidR="00402537">
        <w:rPr>
          <w:rFonts w:cs="Arial"/>
          <w:sz w:val="20"/>
        </w:rPr>
        <w:t xml:space="preserve">enti Report Card No. 6,  UNICEF </w:t>
      </w:r>
      <w:r>
        <w:rPr>
          <w:rFonts w:cs="Arial"/>
          <w:sz w:val="20"/>
        </w:rPr>
        <w:t xml:space="preserve">Innocenti Research Centre,  </w:t>
      </w:r>
      <w:smartTag w:uri="urn:schemas-microsoft-com:office:smarttags" w:element="place">
        <w:smartTag w:uri="urn:schemas-microsoft-com:office:smarttags" w:element="City">
          <w:r>
            <w:rPr>
              <w:rFonts w:cs="Arial"/>
              <w:sz w:val="20"/>
            </w:rPr>
            <w:t>Florence</w:t>
          </w:r>
        </w:smartTag>
      </w:smartTag>
      <w:r>
        <w:rPr>
          <w:rFonts w:cs="Arial"/>
          <w:sz w:val="20"/>
        </w:rPr>
        <w:t>.</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UNICEF (2007), </w:t>
      </w:r>
      <w:r>
        <w:rPr>
          <w:rFonts w:cs="Arial"/>
          <w:i/>
          <w:iCs/>
          <w:sz w:val="20"/>
        </w:rPr>
        <w:t>Child Poverty in Perspective: An Overview of Child Well-being in Rich Countries</w:t>
      </w:r>
      <w:r>
        <w:rPr>
          <w:rFonts w:cs="Arial"/>
          <w:sz w:val="20"/>
        </w:rPr>
        <w:t xml:space="preserve">, </w:t>
      </w:r>
      <w:smartTag w:uri="urn:schemas-microsoft-com:office:smarttags" w:element="place">
        <w:smartTag w:uri="urn:schemas-microsoft-com:office:smarttags" w:element="City">
          <w:r>
            <w:rPr>
              <w:rFonts w:cs="Arial"/>
              <w:sz w:val="20"/>
            </w:rPr>
            <w:t>Florence</w:t>
          </w:r>
        </w:smartTag>
      </w:smartTag>
      <w:r>
        <w:rPr>
          <w:rFonts w:cs="Arial"/>
          <w:sz w:val="20"/>
        </w:rPr>
        <w:t>: UNICEF Innocenti Research Centre.</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Waldegrave, C., Stephens, R., &amp; King, P. (2003), 'Assessing the progress on poverty reduction', </w:t>
      </w:r>
      <w:r>
        <w:rPr>
          <w:rFonts w:cs="Arial"/>
          <w:i/>
          <w:iCs/>
          <w:sz w:val="20"/>
        </w:rPr>
        <w:t>Social Policy Journal of New Zealand</w:t>
      </w:r>
      <w:r>
        <w:rPr>
          <w:rFonts w:cs="Arial"/>
          <w:sz w:val="20"/>
        </w:rPr>
        <w:t xml:space="preserve">, </w:t>
      </w:r>
      <w:r>
        <w:rPr>
          <w:rFonts w:cs="Arial"/>
          <w:iCs/>
          <w:sz w:val="20"/>
        </w:rPr>
        <w:t>(23)</w:t>
      </w:r>
      <w:r>
        <w:rPr>
          <w:rFonts w:cs="Arial"/>
          <w:sz w:val="20"/>
        </w:rPr>
        <w:t>, 197-222.</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Waldegrave, C., Stuart, S., &amp; Stephens, R. (1996), 'Participation in poverty research: drawing on the knowledge of low-income householders to establish an appropriate measure for monitoring social policy impacts', </w:t>
      </w:r>
      <w:r>
        <w:rPr>
          <w:rFonts w:cs="Arial"/>
          <w:i/>
          <w:iCs/>
          <w:sz w:val="20"/>
        </w:rPr>
        <w:t>Social Policy Journal of New Zealand</w:t>
      </w:r>
      <w:r>
        <w:rPr>
          <w:rFonts w:cs="Arial"/>
          <w:sz w:val="20"/>
        </w:rPr>
        <w:t>, (7), 191-206.</w:t>
      </w:r>
    </w:p>
    <w:p w:rsidR="00EE3232" w:rsidRDefault="00EE3232" w:rsidP="00EE3232">
      <w:pPr>
        <w:widowControl w:val="0"/>
        <w:autoSpaceDE w:val="0"/>
        <w:autoSpaceDN w:val="0"/>
        <w:adjustRightInd w:val="0"/>
        <w:spacing w:after="240"/>
        <w:ind w:left="720" w:hanging="720"/>
        <w:rPr>
          <w:rFonts w:cs="Arial"/>
          <w:sz w:val="20"/>
        </w:rPr>
      </w:pPr>
      <w:r>
        <w:rPr>
          <w:rFonts w:cs="Arial"/>
          <w:sz w:val="20"/>
        </w:rPr>
        <w:t xml:space="preserve">Whiteford, P. (2009), ‘Family Joblessness in </w:t>
      </w:r>
      <w:smartTag w:uri="urn:schemas-microsoft-com:office:smarttags" w:element="country-region">
        <w:r>
          <w:rPr>
            <w:rFonts w:cs="Arial"/>
            <w:sz w:val="20"/>
          </w:rPr>
          <w:t>Australia</w:t>
        </w:r>
      </w:smartTag>
      <w:r>
        <w:rPr>
          <w:rFonts w:cs="Arial"/>
          <w:sz w:val="20"/>
        </w:rPr>
        <w:t xml:space="preserve">’, A paper commissioned by the Social Inclusion Unit, Department of Prime Minister and Cabinet, </w:t>
      </w:r>
      <w:smartTag w:uri="urn:schemas-microsoft-com:office:smarttags" w:element="place">
        <w:smartTag w:uri="urn:schemas-microsoft-com:office:smarttags" w:element="City">
          <w:r>
            <w:rPr>
              <w:rFonts w:cs="Arial"/>
              <w:sz w:val="20"/>
            </w:rPr>
            <w:t>Canberra</w:t>
          </w:r>
        </w:smartTag>
      </w:smartTag>
      <w:r>
        <w:rPr>
          <w:rFonts w:cs="Arial"/>
          <w:sz w:val="20"/>
        </w:rPr>
        <w:t xml:space="preserve">. </w:t>
      </w:r>
    </w:p>
    <w:p w:rsidR="008A70EF" w:rsidRDefault="00A87D82" w:rsidP="00665D97">
      <w:pPr>
        <w:widowControl w:val="0"/>
        <w:autoSpaceDE w:val="0"/>
        <w:autoSpaceDN w:val="0"/>
        <w:adjustRightInd w:val="0"/>
        <w:spacing w:after="240"/>
        <w:ind w:left="720" w:hanging="720"/>
        <w:rPr>
          <w:rFonts w:cs="Arial"/>
          <w:szCs w:val="22"/>
        </w:rPr>
      </w:pPr>
      <w:r>
        <w:rPr>
          <w:rFonts w:cs="Arial"/>
          <w:sz w:val="20"/>
        </w:rPr>
        <w:t>Wilkins</w:t>
      </w:r>
      <w:r w:rsidR="00EE5625">
        <w:rPr>
          <w:rFonts w:cs="Arial"/>
          <w:sz w:val="20"/>
        </w:rPr>
        <w:t xml:space="preserve">, R., </w:t>
      </w:r>
      <w:smartTag w:uri="urn:schemas-microsoft-com:office:smarttags" w:element="place">
        <w:smartTag w:uri="urn:schemas-microsoft-com:office:smarttags" w:element="City">
          <w:r w:rsidR="00402537">
            <w:rPr>
              <w:rFonts w:cs="Arial"/>
              <w:sz w:val="20"/>
            </w:rPr>
            <w:t>Warren</w:t>
          </w:r>
        </w:smartTag>
      </w:smartTag>
      <w:r w:rsidR="00402537">
        <w:rPr>
          <w:rFonts w:cs="Arial"/>
          <w:sz w:val="20"/>
        </w:rPr>
        <w:t>, D.</w:t>
      </w:r>
      <w:r w:rsidR="00EE5625">
        <w:rPr>
          <w:rFonts w:cs="Arial"/>
          <w:sz w:val="20"/>
        </w:rPr>
        <w:t>,</w:t>
      </w:r>
      <w:r w:rsidR="00612211">
        <w:rPr>
          <w:rFonts w:cs="Arial"/>
          <w:sz w:val="20"/>
        </w:rPr>
        <w:t xml:space="preserve"> Hahn, M., &amp;</w:t>
      </w:r>
      <w:r w:rsidR="003E0F99">
        <w:rPr>
          <w:rFonts w:cs="Arial"/>
          <w:sz w:val="20"/>
        </w:rPr>
        <w:t xml:space="preserve"> </w:t>
      </w:r>
      <w:r w:rsidR="00612211">
        <w:rPr>
          <w:rFonts w:cs="Arial"/>
          <w:sz w:val="20"/>
        </w:rPr>
        <w:t>Houng, B.</w:t>
      </w:r>
      <w:r>
        <w:rPr>
          <w:rFonts w:cs="Arial"/>
          <w:sz w:val="20"/>
        </w:rPr>
        <w:t xml:space="preserve"> (201</w:t>
      </w:r>
      <w:r w:rsidR="00EE5625">
        <w:rPr>
          <w:rFonts w:cs="Arial"/>
          <w:sz w:val="20"/>
        </w:rPr>
        <w:t>1</w:t>
      </w:r>
      <w:r>
        <w:rPr>
          <w:rFonts w:cs="Arial"/>
          <w:sz w:val="20"/>
        </w:rPr>
        <w:t>)</w:t>
      </w:r>
      <w:r w:rsidR="00402537">
        <w:rPr>
          <w:rFonts w:cs="Arial"/>
          <w:sz w:val="20"/>
        </w:rPr>
        <w:t xml:space="preserve">, </w:t>
      </w:r>
      <w:r w:rsidR="00402537" w:rsidRPr="00402537">
        <w:rPr>
          <w:rFonts w:cs="Arial"/>
          <w:i/>
          <w:sz w:val="20"/>
        </w:rPr>
        <w:t xml:space="preserve">‘Families, Incomes and Jobs, Volume </w:t>
      </w:r>
      <w:r w:rsidR="00EE5625">
        <w:rPr>
          <w:rFonts w:cs="Arial"/>
          <w:i/>
          <w:sz w:val="20"/>
        </w:rPr>
        <w:t>6</w:t>
      </w:r>
      <w:r w:rsidR="00402537" w:rsidRPr="00402537">
        <w:rPr>
          <w:rFonts w:cs="Arial"/>
          <w:i/>
          <w:sz w:val="20"/>
        </w:rPr>
        <w:t xml:space="preserve">: A Statistical Report on Waves 1 to </w:t>
      </w:r>
      <w:r w:rsidR="00612211">
        <w:rPr>
          <w:rFonts w:cs="Arial"/>
          <w:i/>
          <w:sz w:val="20"/>
        </w:rPr>
        <w:t>8</w:t>
      </w:r>
      <w:r w:rsidR="00402537" w:rsidRPr="00402537">
        <w:rPr>
          <w:rFonts w:cs="Arial"/>
          <w:i/>
          <w:sz w:val="20"/>
        </w:rPr>
        <w:t xml:space="preserve"> of the HILDA Survey’.</w:t>
      </w:r>
      <w:r w:rsidR="00402537">
        <w:rPr>
          <w:rFonts w:cs="Arial"/>
          <w:sz w:val="20"/>
        </w:rPr>
        <w:t xml:space="preserve"> Melbourne Institute of Applied Economic and Social Research, </w:t>
      </w:r>
      <w:smartTag w:uri="urn:schemas-microsoft-com:office:smarttags" w:element="City">
        <w:smartTag w:uri="urn:schemas-microsoft-com:office:smarttags" w:element="place">
          <w:r w:rsidR="00402537">
            <w:rPr>
              <w:rFonts w:cs="Arial"/>
              <w:sz w:val="20"/>
            </w:rPr>
            <w:t>Melbourne</w:t>
          </w:r>
        </w:smartTag>
      </w:smartTag>
      <w:bookmarkEnd w:id="110"/>
      <w:r w:rsidR="00665D97">
        <w:rPr>
          <w:rFonts w:cs="Arial"/>
          <w:sz w:val="20"/>
        </w:rPr>
        <w:t>.</w:t>
      </w:r>
    </w:p>
    <w:sectPr w:rsidR="008A70EF" w:rsidSect="00E36066">
      <w:headerReference w:type="even" r:id="rId133"/>
      <w:headerReference w:type="default" r:id="rId134"/>
      <w:headerReference w:type="first" r:id="rId135"/>
      <w:pgSz w:w="11909" w:h="16834" w:code="9"/>
      <w:pgMar w:top="1440" w:right="1584" w:bottom="1440" w:left="1584" w:header="706" w:footer="706"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796" w:rsidRDefault="00555796">
      <w:r>
        <w:separator/>
      </w:r>
    </w:p>
  </w:endnote>
  <w:endnote w:type="continuationSeparator" w:id="1">
    <w:p w:rsidR="00555796" w:rsidRDefault="005557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Mäori">
    <w:altName w:val="Arial"/>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ecilia-Ital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1D47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4A2A" w:rsidRDefault="00DE4A2A" w:rsidP="001D47D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1D47D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F65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4A2A" w:rsidRDefault="00DE4A2A" w:rsidP="00F654F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F654F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F654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796" w:rsidRDefault="00555796">
      <w:r>
        <w:separator/>
      </w:r>
    </w:p>
  </w:footnote>
  <w:footnote w:type="continuationSeparator" w:id="1">
    <w:p w:rsidR="00555796" w:rsidRDefault="00555796">
      <w:r>
        <w:continuationSeparator/>
      </w:r>
    </w:p>
  </w:footnote>
  <w:footnote w:id="2">
    <w:p w:rsidR="00DE4A2A" w:rsidRPr="00875277" w:rsidRDefault="00DE4A2A" w:rsidP="0005411C">
      <w:pPr>
        <w:pStyle w:val="FootnoteText"/>
        <w:spacing w:after="60"/>
        <w:ind w:left="187" w:hanging="187"/>
        <w:jc w:val="both"/>
        <w:rPr>
          <w:rFonts w:cs="Arial"/>
          <w:sz w:val="18"/>
          <w:szCs w:val="18"/>
        </w:rPr>
      </w:pPr>
      <w:r w:rsidRPr="00C5113D">
        <w:rPr>
          <w:rStyle w:val="FootnoteReference"/>
          <w:sz w:val="18"/>
          <w:szCs w:val="18"/>
        </w:rPr>
        <w:footnoteRef/>
      </w:r>
      <w:r w:rsidRPr="00C5113D">
        <w:rPr>
          <w:sz w:val="18"/>
          <w:szCs w:val="18"/>
        </w:rPr>
        <w:t xml:space="preserve"> </w:t>
      </w:r>
      <w:r>
        <w:rPr>
          <w:sz w:val="18"/>
          <w:szCs w:val="18"/>
        </w:rPr>
        <w:tab/>
      </w:r>
      <w:r w:rsidRPr="00C5113D">
        <w:rPr>
          <w:rFonts w:cs="Arial"/>
          <w:sz w:val="18"/>
          <w:szCs w:val="18"/>
        </w:rPr>
        <w:t xml:space="preserve">The full HES is run each three years (2003-04, 2006-07, 2009-10, and so on).  Starting with 2007-08, a shortened version of the full HES will run in the two intervening years to collect data on incomes, housing cost expenditure and living standards indicators. </w:t>
      </w:r>
      <w:r>
        <w:rPr>
          <w:rFonts w:cs="Arial"/>
          <w:sz w:val="18"/>
          <w:szCs w:val="18"/>
        </w:rPr>
        <w:t xml:space="preserve"> It is referred to as the HES (Income). </w:t>
      </w:r>
      <w:r w:rsidRPr="00C5113D">
        <w:rPr>
          <w:rFonts w:cs="Arial"/>
          <w:sz w:val="18"/>
          <w:szCs w:val="18"/>
        </w:rPr>
        <w:t>For more detail</w:t>
      </w:r>
      <w:r>
        <w:rPr>
          <w:rFonts w:cs="Arial"/>
          <w:sz w:val="18"/>
          <w:szCs w:val="18"/>
        </w:rPr>
        <w:t xml:space="preserve"> on the HES in general, and especially on the 2010-11 HES</w:t>
      </w:r>
      <w:r w:rsidRPr="00C5113D">
        <w:rPr>
          <w:rFonts w:cs="Arial"/>
          <w:sz w:val="18"/>
          <w:szCs w:val="18"/>
        </w:rPr>
        <w:t>, see</w:t>
      </w:r>
      <w:r>
        <w:rPr>
          <w:rFonts w:cs="Arial"/>
          <w:sz w:val="18"/>
          <w:szCs w:val="18"/>
        </w:rPr>
        <w:t xml:space="preserve">  </w:t>
      </w:r>
      <w:hyperlink r:id="rId1" w:history="1">
        <w:r w:rsidRPr="000A0CFA">
          <w:rPr>
            <w:rStyle w:val="Hyperlink"/>
            <w:rFonts w:cs="Arial"/>
            <w:sz w:val="18"/>
            <w:szCs w:val="18"/>
          </w:rPr>
          <w:t>www.stats.govt.nz/hes</w:t>
        </w:r>
      </w:hyperlink>
      <w:r>
        <w:rPr>
          <w:rFonts w:cs="Arial"/>
          <w:sz w:val="18"/>
          <w:szCs w:val="18"/>
        </w:rPr>
        <w:t xml:space="preserve"> </w:t>
      </w:r>
      <w:r w:rsidRPr="00C5113D">
        <w:rPr>
          <w:rFonts w:cs="Arial"/>
          <w:sz w:val="18"/>
          <w:szCs w:val="18"/>
        </w:rPr>
        <w:t xml:space="preserve">  </w:t>
      </w:r>
    </w:p>
  </w:footnote>
  <w:footnote w:id="3">
    <w:p w:rsidR="0047610D" w:rsidRPr="00767F3B" w:rsidRDefault="0047610D" w:rsidP="0047610D">
      <w:pPr>
        <w:pStyle w:val="FootnoteText"/>
        <w:spacing w:after="60"/>
        <w:ind w:left="180" w:hanging="180"/>
        <w:jc w:val="both"/>
        <w:rPr>
          <w:rFonts w:cs="Arial"/>
          <w:sz w:val="18"/>
          <w:szCs w:val="18"/>
          <w:lang w:val="en-NZ"/>
        </w:rPr>
      </w:pPr>
      <w:r w:rsidRPr="00767F3B">
        <w:rPr>
          <w:rStyle w:val="FootnoteReference"/>
          <w:rFonts w:cs="Arial"/>
          <w:sz w:val="18"/>
          <w:szCs w:val="18"/>
        </w:rPr>
        <w:footnoteRef/>
      </w:r>
      <w:r w:rsidRPr="00767F3B">
        <w:rPr>
          <w:rFonts w:cs="Arial"/>
          <w:sz w:val="18"/>
          <w:szCs w:val="18"/>
        </w:rPr>
        <w:t xml:space="preserve"> </w:t>
      </w:r>
      <w:r w:rsidRPr="00767F3B">
        <w:rPr>
          <w:rFonts w:cs="Arial"/>
          <w:sz w:val="18"/>
          <w:szCs w:val="18"/>
        </w:rPr>
        <w:tab/>
        <w:t>Access to the HES</w:t>
      </w:r>
      <w:r>
        <w:rPr>
          <w:rFonts w:cs="Arial"/>
          <w:sz w:val="18"/>
          <w:szCs w:val="18"/>
        </w:rPr>
        <w:t xml:space="preserve"> and SoFIE</w:t>
      </w:r>
      <w:r w:rsidRPr="00767F3B">
        <w:rPr>
          <w:rFonts w:cs="Arial"/>
          <w:sz w:val="18"/>
          <w:szCs w:val="18"/>
        </w:rPr>
        <w:t xml:space="preserve">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4">
    <w:p w:rsidR="00DE4A2A" w:rsidRPr="00961F57" w:rsidRDefault="00DE4A2A" w:rsidP="003C2790">
      <w:pPr>
        <w:ind w:left="180" w:hanging="180"/>
        <w:jc w:val="both"/>
        <w:rPr>
          <w:rFonts w:cs="Arial"/>
          <w:sz w:val="18"/>
          <w:szCs w:val="18"/>
        </w:rPr>
      </w:pPr>
      <w:r w:rsidRPr="00767F3B">
        <w:rPr>
          <w:rStyle w:val="FootnoteReference"/>
          <w:sz w:val="18"/>
          <w:szCs w:val="18"/>
        </w:rPr>
        <w:footnoteRef/>
      </w:r>
      <w:r w:rsidRPr="00767F3B">
        <w:rPr>
          <w:sz w:val="18"/>
          <w:szCs w:val="18"/>
        </w:rPr>
        <w:t xml:space="preserve"> </w:t>
      </w:r>
      <w:r w:rsidRPr="00767F3B">
        <w:rPr>
          <w:rFonts w:cs="Arial"/>
          <w:sz w:val="18"/>
          <w:szCs w:val="18"/>
        </w:rPr>
        <w:tab/>
        <w:t xml:space="preserve">The report shares many of the assumptions used by the New Zealand Poverty Measurement Project (Stephens et al, 1995; Waldegrave et al, 1996), Mowbray (2001) and </w:t>
      </w:r>
      <w:smartTag w:uri="urn:schemas-microsoft-com:office:smarttags" w:element="City">
        <w:r w:rsidRPr="00767F3B">
          <w:rPr>
            <w:rFonts w:cs="Arial"/>
            <w:sz w:val="18"/>
            <w:szCs w:val="18"/>
          </w:rPr>
          <w:t>Easton</w:t>
        </w:r>
      </w:smartTag>
      <w:r w:rsidRPr="00767F3B">
        <w:rPr>
          <w:rFonts w:cs="Arial"/>
          <w:sz w:val="18"/>
          <w:szCs w:val="18"/>
        </w:rPr>
        <w:t xml:space="preserve"> (1995a, 1995b, 1996) in their reporting on poverty trends in </w:t>
      </w:r>
      <w:smartTag w:uri="urn:schemas-microsoft-com:office:smarttags" w:element="place">
        <w:smartTag w:uri="urn:schemas-microsoft-com:office:smarttags" w:element="country-region">
          <w:r w:rsidRPr="00767F3B">
            <w:rPr>
              <w:rFonts w:cs="Arial"/>
              <w:sz w:val="18"/>
              <w:szCs w:val="18"/>
            </w:rPr>
            <w:t>New Zealand</w:t>
          </w:r>
        </w:smartTag>
      </w:smartTag>
      <w:r w:rsidRPr="00767F3B">
        <w:rPr>
          <w:rFonts w:cs="Arial"/>
          <w:sz w:val="18"/>
          <w:szCs w:val="18"/>
        </w:rPr>
        <w:t xml:space="preserve">. </w:t>
      </w:r>
    </w:p>
  </w:footnote>
  <w:footnote w:id="5">
    <w:p w:rsidR="00DE4A2A" w:rsidRDefault="00DE4A2A" w:rsidP="00F12FD0">
      <w:pPr>
        <w:ind w:left="272" w:hanging="272"/>
        <w:jc w:val="both"/>
        <w:rPr>
          <w:rFonts w:cs="Arial"/>
          <w:sz w:val="18"/>
          <w:szCs w:val="18"/>
        </w:rPr>
      </w:pPr>
      <w:r w:rsidRPr="009C6814">
        <w:rPr>
          <w:rStyle w:val="FootnoteReference"/>
          <w:rFonts w:cs="Arial"/>
          <w:sz w:val="18"/>
          <w:szCs w:val="18"/>
        </w:rPr>
        <w:footnoteRef/>
      </w:r>
      <w:r>
        <w:rPr>
          <w:rFonts w:cs="Arial"/>
          <w:sz w:val="18"/>
          <w:szCs w:val="18"/>
        </w:rPr>
        <w:tab/>
        <w:t>For more information on NMIs and associated indices, see the Ministry’s website:</w:t>
      </w:r>
    </w:p>
    <w:p w:rsidR="00DE4A2A" w:rsidRPr="009C6814" w:rsidRDefault="00DE4A2A" w:rsidP="00C90F4C">
      <w:pPr>
        <w:ind w:left="274"/>
        <w:jc w:val="both"/>
        <w:rPr>
          <w:rFonts w:cs="Arial"/>
          <w:sz w:val="18"/>
          <w:szCs w:val="18"/>
        </w:rPr>
      </w:pPr>
      <w:hyperlink r:id="rId2" w:history="1">
        <w:r w:rsidRPr="009C6814">
          <w:rPr>
            <w:rStyle w:val="Hyperlink"/>
            <w:rFonts w:cs="Arial"/>
            <w:sz w:val="18"/>
            <w:szCs w:val="18"/>
          </w:rPr>
          <w:t>www.msd.govt.nz/about-msd-and-our-work/publications-resources/monitoring/living-standards/index.html</w:t>
        </w:r>
      </w:hyperlink>
    </w:p>
    <w:p w:rsidR="00DE4A2A" w:rsidRPr="009C6814" w:rsidRDefault="00DE4A2A" w:rsidP="00C90F4C">
      <w:pPr>
        <w:pStyle w:val="FootnoteText"/>
        <w:rPr>
          <w:lang w:val="en-NZ"/>
        </w:rPr>
      </w:pPr>
    </w:p>
  </w:footnote>
  <w:footnote w:id="6">
    <w:p w:rsidR="00DE4A2A" w:rsidRPr="0012133B" w:rsidRDefault="00DE4A2A" w:rsidP="007B3E55">
      <w:pPr>
        <w:pStyle w:val="FootnoteText"/>
        <w:ind w:left="284" w:hanging="284"/>
        <w:rPr>
          <w:sz w:val="18"/>
          <w:szCs w:val="18"/>
          <w:lang w:val="en-NZ"/>
        </w:rPr>
      </w:pPr>
      <w:r w:rsidRPr="0012133B">
        <w:rPr>
          <w:rStyle w:val="FootnoteReference"/>
          <w:sz w:val="18"/>
          <w:szCs w:val="18"/>
        </w:rPr>
        <w:footnoteRef/>
      </w:r>
      <w:r w:rsidRPr="0012133B">
        <w:rPr>
          <w:sz w:val="18"/>
          <w:szCs w:val="18"/>
        </w:rPr>
        <w:t xml:space="preserve"> </w:t>
      </w:r>
      <w:r>
        <w:rPr>
          <w:sz w:val="18"/>
          <w:szCs w:val="18"/>
        </w:rPr>
        <w:tab/>
      </w:r>
      <w:r w:rsidRPr="0012133B">
        <w:rPr>
          <w:sz w:val="18"/>
          <w:szCs w:val="18"/>
          <w:lang w:val="en-NZ"/>
        </w:rPr>
        <w:t>Carter and Imlach Gun</w:t>
      </w:r>
      <w:r>
        <w:rPr>
          <w:sz w:val="18"/>
          <w:szCs w:val="18"/>
          <w:lang w:val="en-NZ"/>
        </w:rPr>
        <w:t>a</w:t>
      </w:r>
      <w:r w:rsidRPr="0012133B">
        <w:rPr>
          <w:sz w:val="18"/>
          <w:szCs w:val="18"/>
          <w:lang w:val="en-NZ"/>
        </w:rPr>
        <w:t>sekara (2012)</w:t>
      </w:r>
      <w:r w:rsidR="007F7984">
        <w:rPr>
          <w:sz w:val="18"/>
          <w:szCs w:val="18"/>
          <w:lang w:val="en-NZ"/>
        </w:rPr>
        <w:t xml:space="preserve"> - </w:t>
      </w:r>
      <w:r w:rsidR="00215CDE">
        <w:rPr>
          <w:rFonts w:cs="Arial"/>
          <w:sz w:val="18"/>
          <w:szCs w:val="18"/>
        </w:rPr>
        <w:t>(cf Ballantyne et al (2004)).</w:t>
      </w:r>
    </w:p>
  </w:footnote>
  <w:footnote w:id="7">
    <w:p w:rsidR="00DE4A2A" w:rsidRPr="005B09E9" w:rsidRDefault="00DE4A2A" w:rsidP="007B3E55">
      <w:pPr>
        <w:pStyle w:val="FootnoteText"/>
        <w:ind w:left="284" w:hanging="284"/>
        <w:rPr>
          <w:sz w:val="18"/>
          <w:szCs w:val="18"/>
          <w:lang w:val="en-NZ"/>
        </w:rPr>
      </w:pPr>
      <w:r w:rsidRPr="007536CC">
        <w:rPr>
          <w:rStyle w:val="FootnoteReference"/>
          <w:sz w:val="18"/>
          <w:szCs w:val="18"/>
        </w:rPr>
        <w:footnoteRef/>
      </w:r>
      <w:r w:rsidRPr="007536CC">
        <w:rPr>
          <w:sz w:val="18"/>
          <w:szCs w:val="18"/>
        </w:rPr>
        <w:t xml:space="preserve"> </w:t>
      </w:r>
      <w:r w:rsidRPr="005B09E9">
        <w:rPr>
          <w:sz w:val="18"/>
          <w:szCs w:val="18"/>
        </w:rPr>
        <w:tab/>
      </w:r>
      <w:r w:rsidRPr="005B09E9">
        <w:rPr>
          <w:sz w:val="18"/>
          <w:szCs w:val="18"/>
          <w:lang w:val="en-NZ"/>
        </w:rPr>
        <w:t>By removing those aged 58+,</w:t>
      </w:r>
      <w:r>
        <w:rPr>
          <w:sz w:val="18"/>
          <w:szCs w:val="18"/>
          <w:lang w:val="en-NZ"/>
        </w:rPr>
        <w:t xml:space="preserve"> </w:t>
      </w:r>
      <w:r w:rsidRPr="005B09E9">
        <w:rPr>
          <w:sz w:val="18"/>
          <w:szCs w:val="18"/>
          <w:lang w:val="en-NZ"/>
        </w:rPr>
        <w:t xml:space="preserve">the impact on the reported transitions of those whose incomes drop significantly when they ‘retire’, and of those aged 65+ on relatively fixed incomes, is eliminated. </w:t>
      </w:r>
    </w:p>
  </w:footnote>
  <w:footnote w:id="8">
    <w:p w:rsidR="00DE4A2A" w:rsidRPr="00651782" w:rsidRDefault="00DE4A2A" w:rsidP="007B3E55">
      <w:pPr>
        <w:spacing w:after="40"/>
        <w:ind w:left="187" w:hanging="187"/>
        <w:jc w:val="both"/>
        <w:rPr>
          <w:rFonts w:ascii="Times New Roman" w:hAnsi="Times New Roman"/>
          <w:sz w:val="18"/>
          <w:szCs w:val="18"/>
          <w:lang w:val="en-US"/>
        </w:rPr>
      </w:pPr>
      <w:r w:rsidRPr="00651782">
        <w:rPr>
          <w:rStyle w:val="FootnoteReference"/>
          <w:sz w:val="18"/>
          <w:szCs w:val="18"/>
        </w:rPr>
        <w:footnoteRef/>
      </w:r>
      <w:r w:rsidRPr="00651782">
        <w:rPr>
          <w:sz w:val="18"/>
          <w:szCs w:val="18"/>
        </w:rPr>
        <w:t xml:space="preserve"> </w:t>
      </w:r>
      <w:r w:rsidRPr="00651782">
        <w:rPr>
          <w:sz w:val="18"/>
          <w:szCs w:val="18"/>
        </w:rPr>
        <w:tab/>
      </w:r>
      <w:r w:rsidRPr="00651782">
        <w:rPr>
          <w:sz w:val="18"/>
          <w:szCs w:val="18"/>
          <w:lang w:val="en-US"/>
        </w:rPr>
        <w:t xml:space="preserve">In general, income is regarded as all receipts which are received regularly or are of a recurring nature.  The sources are wages and salaries, self-employed income (defined as the before-tax profit/loss of the business), social welfare benefits (including </w:t>
      </w:r>
      <w:r>
        <w:rPr>
          <w:sz w:val="18"/>
          <w:szCs w:val="18"/>
          <w:lang w:val="en-US"/>
        </w:rPr>
        <w:t xml:space="preserve">Family Support and its ‘tax credit successors, and </w:t>
      </w:r>
      <w:r w:rsidRPr="00651782">
        <w:rPr>
          <w:sz w:val="18"/>
          <w:szCs w:val="18"/>
          <w:lang w:val="en-US"/>
        </w:rPr>
        <w:t>the Accommodation Supplement</w:t>
      </w:r>
      <w:r>
        <w:rPr>
          <w:sz w:val="18"/>
          <w:szCs w:val="18"/>
          <w:lang w:val="en-US"/>
        </w:rPr>
        <w:t xml:space="preserve"> and its pre-cursors</w:t>
      </w:r>
      <w:r w:rsidRPr="00651782">
        <w:rPr>
          <w:sz w:val="18"/>
          <w:szCs w:val="18"/>
          <w:lang w:val="en-US"/>
        </w:rPr>
        <w:t>), New Zealand Superannuation and war pensions, income from investment, and other regular income (such as maintenance and directors’ fees).</w:t>
      </w:r>
      <w:r w:rsidRPr="00651782">
        <w:rPr>
          <w:rFonts w:ascii="Times New Roman" w:hAnsi="Times New Roman"/>
          <w:sz w:val="18"/>
          <w:szCs w:val="18"/>
          <w:lang w:val="en-US"/>
        </w:rPr>
        <w:t xml:space="preserve">   </w:t>
      </w:r>
      <w:r w:rsidRPr="00651782">
        <w:rPr>
          <w:sz w:val="18"/>
          <w:szCs w:val="18"/>
          <w:lang w:val="en-US"/>
        </w:rPr>
        <w:t>For a business which recorded a loss in its latest balance sheet or profit and loss account, the respondent concerned is allocated a negative amount for self-employment income, the amount being the full loss or, in the case of a partnership, the respondent's share of the loss.</w:t>
      </w:r>
    </w:p>
  </w:footnote>
  <w:footnote w:id="9">
    <w:p w:rsidR="00DE4A2A" w:rsidRPr="00A733FD" w:rsidRDefault="00DE4A2A" w:rsidP="007B3E55">
      <w:pPr>
        <w:pStyle w:val="FootnoteText"/>
        <w:spacing w:after="40"/>
        <w:ind w:left="180" w:hanging="180"/>
        <w:rPr>
          <w:sz w:val="18"/>
          <w:szCs w:val="18"/>
        </w:rPr>
      </w:pPr>
      <w:r w:rsidRPr="00A733FD">
        <w:rPr>
          <w:rStyle w:val="FootnoteReference"/>
          <w:sz w:val="18"/>
          <w:szCs w:val="18"/>
        </w:rPr>
        <w:footnoteRef/>
      </w:r>
      <w:r w:rsidRPr="00A733FD">
        <w:rPr>
          <w:sz w:val="18"/>
          <w:szCs w:val="18"/>
        </w:rPr>
        <w:t xml:space="preserve"> </w:t>
      </w:r>
      <w:r w:rsidRPr="00A733FD">
        <w:rPr>
          <w:sz w:val="18"/>
          <w:szCs w:val="18"/>
        </w:rPr>
        <w:tab/>
        <w:t>For 1982 to 2004, the incomes data is calculated using Taxmod, the predecessor of Taxwell.</w:t>
      </w:r>
    </w:p>
  </w:footnote>
  <w:footnote w:id="10">
    <w:p w:rsidR="00DE4A2A" w:rsidRPr="00961F57" w:rsidRDefault="00DE4A2A" w:rsidP="007B3E55">
      <w:pPr>
        <w:pStyle w:val="FootnoteText"/>
        <w:spacing w:after="60"/>
        <w:ind w:left="187" w:hanging="187"/>
        <w:jc w:val="both"/>
        <w:rPr>
          <w:sz w:val="18"/>
          <w:szCs w:val="18"/>
        </w:rPr>
      </w:pPr>
      <w:r w:rsidRPr="00BB39DE">
        <w:rPr>
          <w:rStyle w:val="FootnoteReference"/>
          <w:sz w:val="18"/>
          <w:szCs w:val="18"/>
        </w:rPr>
        <w:footnoteRef/>
      </w:r>
      <w:r w:rsidRPr="00BB39DE">
        <w:rPr>
          <w:sz w:val="18"/>
          <w:szCs w:val="18"/>
        </w:rPr>
        <w:t xml:space="preserve"> </w:t>
      </w:r>
      <w:r w:rsidRPr="00BB39DE">
        <w:rPr>
          <w:sz w:val="18"/>
          <w:szCs w:val="18"/>
        </w:rPr>
        <w:tab/>
      </w:r>
      <w:r>
        <w:rPr>
          <w:sz w:val="18"/>
          <w:szCs w:val="18"/>
        </w:rPr>
        <w:t xml:space="preserve">While </w:t>
      </w:r>
      <w:r w:rsidRPr="00681710">
        <w:rPr>
          <w:sz w:val="18"/>
          <w:szCs w:val="18"/>
          <w:u w:val="single"/>
        </w:rPr>
        <w:t>current</w:t>
      </w:r>
      <w:r>
        <w:rPr>
          <w:sz w:val="18"/>
          <w:szCs w:val="18"/>
        </w:rPr>
        <w:t xml:space="preserve"> household income alone cannot be expected to be a fully reliable indicator of material wellbeing, Figure A.1 suggests that differences in </w:t>
      </w:r>
      <w:r w:rsidRPr="005A4AC6">
        <w:rPr>
          <w:sz w:val="18"/>
          <w:szCs w:val="18"/>
        </w:rPr>
        <w:t>income more broadly understood</w:t>
      </w:r>
      <w:r>
        <w:rPr>
          <w:sz w:val="18"/>
          <w:szCs w:val="18"/>
        </w:rPr>
        <w:t xml:space="preserve"> – in terms of past income and gifts (as represented by current wealth), current income, expected future income, household production, and so on – are much more likely to explain differences in living standards.  In this wider sense, it is almost all about income (cf the life-cycle and permanent-income hypotheses for understanding levels of current consumption as current income varies).</w:t>
      </w:r>
    </w:p>
  </w:footnote>
  <w:footnote w:id="11">
    <w:p w:rsidR="00DE4A2A" w:rsidRDefault="00DE4A2A" w:rsidP="007B3E55">
      <w:pPr>
        <w:pStyle w:val="FootnoteText"/>
        <w:ind w:left="187" w:hanging="187"/>
        <w:jc w:val="both"/>
        <w:rPr>
          <w:sz w:val="18"/>
          <w:szCs w:val="18"/>
          <w:lang w:val="fr-FR"/>
        </w:rPr>
      </w:pPr>
      <w:r w:rsidRPr="00961F57">
        <w:rPr>
          <w:rStyle w:val="FootnoteReference"/>
          <w:b/>
          <w:sz w:val="18"/>
          <w:szCs w:val="18"/>
        </w:rPr>
        <w:footnoteRef/>
      </w:r>
      <w:r>
        <w:rPr>
          <w:sz w:val="18"/>
          <w:szCs w:val="18"/>
        </w:rPr>
        <w:t xml:space="preserve"> </w:t>
      </w:r>
      <w:r w:rsidRPr="00961F57">
        <w:rPr>
          <w:sz w:val="18"/>
          <w:szCs w:val="18"/>
        </w:rPr>
        <w:t>The M</w:t>
      </w:r>
      <w:r>
        <w:rPr>
          <w:sz w:val="18"/>
          <w:szCs w:val="18"/>
        </w:rPr>
        <w:t>inistry of Social Development also monitors material wellbeing and hardship through the use of non-monetary indicators based around what people (want to) have and do, and how they rate their own relative position.</w:t>
      </w:r>
      <w:r w:rsidRPr="00961F57">
        <w:rPr>
          <w:sz w:val="18"/>
          <w:szCs w:val="18"/>
        </w:rPr>
        <w:t xml:space="preserve">  It has published descriptive accounts of the distribution of living standards in </w:t>
      </w:r>
      <w:smartTag w:uri="urn:schemas-microsoft-com:office:smarttags" w:element="place">
        <w:smartTag w:uri="urn:schemas-microsoft-com:office:smarttags" w:element="country-region">
          <w:r w:rsidRPr="00961F57">
            <w:rPr>
              <w:sz w:val="18"/>
              <w:szCs w:val="18"/>
            </w:rPr>
            <w:t>New Zealand</w:t>
          </w:r>
        </w:smartTag>
      </w:smartTag>
      <w:r w:rsidRPr="00961F57">
        <w:rPr>
          <w:sz w:val="18"/>
          <w:szCs w:val="18"/>
        </w:rPr>
        <w:t xml:space="preserve"> in 2000</w:t>
      </w:r>
      <w:r>
        <w:rPr>
          <w:sz w:val="18"/>
          <w:szCs w:val="18"/>
        </w:rPr>
        <w:t>, 2004</w:t>
      </w:r>
      <w:r w:rsidRPr="00961F57">
        <w:rPr>
          <w:sz w:val="18"/>
          <w:szCs w:val="18"/>
        </w:rPr>
        <w:t xml:space="preserve"> and</w:t>
      </w:r>
      <w:r>
        <w:rPr>
          <w:sz w:val="18"/>
          <w:szCs w:val="18"/>
        </w:rPr>
        <w:t xml:space="preserve"> 2008</w:t>
      </w:r>
      <w:r w:rsidRPr="00961F57">
        <w:rPr>
          <w:sz w:val="18"/>
          <w:szCs w:val="18"/>
        </w:rPr>
        <w:t xml:space="preserve">.   </w:t>
      </w:r>
      <w:r w:rsidRPr="00752765">
        <w:rPr>
          <w:sz w:val="18"/>
          <w:szCs w:val="18"/>
          <w:lang w:val="fr-FR"/>
        </w:rPr>
        <w:t>See Jensen et al (2002), Krishnan et al (2002)</w:t>
      </w:r>
      <w:r>
        <w:rPr>
          <w:sz w:val="18"/>
          <w:szCs w:val="18"/>
          <w:lang w:val="fr-FR"/>
        </w:rPr>
        <w:t xml:space="preserve">, </w:t>
      </w:r>
      <w:r w:rsidRPr="00752765">
        <w:rPr>
          <w:sz w:val="18"/>
          <w:szCs w:val="18"/>
          <w:lang w:val="fr-FR"/>
        </w:rPr>
        <w:t xml:space="preserve"> Jensen et al (2006)</w:t>
      </w:r>
      <w:r>
        <w:rPr>
          <w:sz w:val="18"/>
          <w:szCs w:val="18"/>
          <w:lang w:val="fr-FR"/>
        </w:rPr>
        <w:t>, and Perry (2009)</w:t>
      </w:r>
      <w:r w:rsidRPr="00752765">
        <w:rPr>
          <w:sz w:val="18"/>
          <w:szCs w:val="18"/>
          <w:lang w:val="fr-FR"/>
        </w:rPr>
        <w:t xml:space="preserve"> </w:t>
      </w:r>
      <w:r>
        <w:rPr>
          <w:sz w:val="18"/>
          <w:szCs w:val="18"/>
          <w:lang w:val="fr-FR"/>
        </w:rPr>
        <w:t xml:space="preserve">available </w:t>
      </w:r>
      <w:r w:rsidRPr="00752765">
        <w:rPr>
          <w:sz w:val="18"/>
          <w:szCs w:val="18"/>
          <w:lang w:val="fr-FR"/>
        </w:rPr>
        <w:t>at</w:t>
      </w:r>
      <w:r>
        <w:rPr>
          <w:sz w:val="18"/>
          <w:szCs w:val="18"/>
          <w:lang w:val="fr-FR"/>
        </w:rPr>
        <w:t> :</w:t>
      </w:r>
    </w:p>
    <w:p w:rsidR="00DE4A2A" w:rsidRPr="00752765" w:rsidRDefault="00DE4A2A" w:rsidP="007B3E55">
      <w:pPr>
        <w:pStyle w:val="FootnoteText"/>
        <w:ind w:left="187" w:hanging="187"/>
        <w:jc w:val="both"/>
        <w:rPr>
          <w:rStyle w:val="FootnoteReference"/>
          <w:rFonts w:cs="Arial"/>
          <w:sz w:val="18"/>
          <w:szCs w:val="18"/>
          <w:lang w:val="fr-FR"/>
        </w:rPr>
      </w:pPr>
      <w:r w:rsidRPr="00752765">
        <w:rPr>
          <w:sz w:val="18"/>
          <w:szCs w:val="18"/>
          <w:lang w:val="fr-FR"/>
        </w:rPr>
        <w:t xml:space="preserve"> </w:t>
      </w:r>
      <w:r>
        <w:rPr>
          <w:sz w:val="18"/>
          <w:szCs w:val="18"/>
          <w:lang w:val="fr-FR"/>
        </w:rPr>
        <w:tab/>
      </w:r>
      <w:hyperlink r:id="rId3" w:history="1">
        <w:r w:rsidRPr="00752765">
          <w:rPr>
            <w:rStyle w:val="Hyperlink"/>
            <w:sz w:val="18"/>
            <w:szCs w:val="18"/>
            <w:lang w:val="fr-FR"/>
          </w:rPr>
          <w:t>http://www.msd.govt.nz/work-areas/social-research/living-standards/index.html</w:t>
        </w:r>
      </w:hyperlink>
      <w:r w:rsidRPr="00752765">
        <w:rPr>
          <w:sz w:val="18"/>
          <w:szCs w:val="18"/>
          <w:lang w:val="fr-FR"/>
        </w:rPr>
        <w:t xml:space="preserve"> </w:t>
      </w:r>
    </w:p>
  </w:footnote>
  <w:footnote w:id="12">
    <w:p w:rsidR="00DE4A2A" w:rsidRPr="008733F8" w:rsidRDefault="00DE4A2A" w:rsidP="007B3E55">
      <w:pPr>
        <w:pStyle w:val="FootnoteText"/>
        <w:spacing w:after="60"/>
        <w:ind w:left="274" w:hanging="274"/>
        <w:jc w:val="both"/>
        <w:rPr>
          <w:sz w:val="18"/>
          <w:szCs w:val="18"/>
        </w:rPr>
      </w:pPr>
      <w:r w:rsidRPr="008733F8">
        <w:rPr>
          <w:rStyle w:val="FootnoteReference"/>
          <w:sz w:val="18"/>
          <w:szCs w:val="18"/>
        </w:rPr>
        <w:footnoteRef/>
      </w:r>
      <w:r w:rsidRPr="008733F8">
        <w:rPr>
          <w:sz w:val="18"/>
          <w:szCs w:val="18"/>
        </w:rPr>
        <w:t xml:space="preserve"> </w:t>
      </w:r>
      <w:r>
        <w:rPr>
          <w:sz w:val="18"/>
          <w:szCs w:val="18"/>
        </w:rPr>
        <w:tab/>
      </w:r>
      <w:r w:rsidRPr="008733F8">
        <w:rPr>
          <w:sz w:val="18"/>
          <w:szCs w:val="18"/>
        </w:rPr>
        <w:t xml:space="preserve">See Section </w:t>
      </w:r>
      <w:r>
        <w:rPr>
          <w:sz w:val="18"/>
          <w:szCs w:val="18"/>
        </w:rPr>
        <w:t>K</w:t>
      </w:r>
      <w:r w:rsidRPr="008733F8">
        <w:rPr>
          <w:sz w:val="18"/>
          <w:szCs w:val="18"/>
        </w:rPr>
        <w:t xml:space="preserve"> for </w:t>
      </w:r>
      <w:r>
        <w:rPr>
          <w:sz w:val="18"/>
          <w:szCs w:val="18"/>
        </w:rPr>
        <w:t>selected findings based on non-income measures using data from the HES (2007 to 2011), and the Ministry’s Living Standards Surveys (2000, 2004 and 2008).</w:t>
      </w:r>
    </w:p>
  </w:footnote>
  <w:footnote w:id="13">
    <w:p w:rsidR="00DE4A2A" w:rsidRPr="00961F57" w:rsidRDefault="00DE4A2A" w:rsidP="007B3E55">
      <w:pPr>
        <w:ind w:left="274" w:hanging="274"/>
        <w:jc w:val="both"/>
        <w:rPr>
          <w:rFonts w:cs="Arial"/>
          <w:sz w:val="18"/>
          <w:szCs w:val="18"/>
        </w:rPr>
      </w:pPr>
      <w:r w:rsidRPr="00961F57">
        <w:rPr>
          <w:rStyle w:val="FootnoteReference"/>
          <w:sz w:val="18"/>
          <w:szCs w:val="18"/>
        </w:rPr>
        <w:footnoteRef/>
      </w:r>
      <w:r w:rsidRPr="00961F57">
        <w:rPr>
          <w:sz w:val="18"/>
          <w:szCs w:val="18"/>
        </w:rPr>
        <w:t xml:space="preserve"> </w:t>
      </w:r>
      <w:r w:rsidRPr="00961F57">
        <w:rPr>
          <w:sz w:val="18"/>
          <w:szCs w:val="18"/>
        </w:rPr>
        <w:tab/>
        <w:t>Ideally, equivalence scales would also take into account other factors such as the age of children, the costs of being employed, the extra costs of disability, the differing costs faced by people in different geographical locations, the different ratios needed for households of the same type but of different incomes, and so on.  Such considerations further complicate an already fraught estimation process and  the common practice is to settle for simpler scales as a rough-and-ready but better-than-nothing approximation.</w:t>
      </w:r>
      <w:r>
        <w:rPr>
          <w:sz w:val="18"/>
          <w:szCs w:val="18"/>
        </w:rPr>
        <w:t xml:space="preserve">  It is important to keep in mind that equivalisation is not intended (or able) to ‘fix’ the fundamental limitations of using current household income as an indicator of available resources, in particular that it does not take into account financial wealth, or previous household income. </w:t>
      </w:r>
      <w:r w:rsidRPr="00961F57">
        <w:rPr>
          <w:sz w:val="18"/>
          <w:szCs w:val="18"/>
        </w:rPr>
        <w:t xml:space="preserve">  </w:t>
      </w:r>
    </w:p>
  </w:footnote>
  <w:footnote w:id="14">
    <w:p w:rsidR="00DE4A2A" w:rsidRPr="0043227B" w:rsidRDefault="00DE4A2A" w:rsidP="007B3E55">
      <w:pPr>
        <w:spacing w:after="60"/>
        <w:ind w:left="274" w:hanging="274"/>
        <w:jc w:val="both"/>
        <w:rPr>
          <w:sz w:val="18"/>
          <w:szCs w:val="18"/>
        </w:rPr>
      </w:pPr>
      <w:r w:rsidRPr="0043227B">
        <w:rPr>
          <w:rStyle w:val="FootnoteReference"/>
          <w:sz w:val="18"/>
          <w:szCs w:val="18"/>
        </w:rPr>
        <w:footnoteRef/>
      </w:r>
      <w:r w:rsidRPr="0043227B">
        <w:rPr>
          <w:sz w:val="18"/>
          <w:szCs w:val="18"/>
        </w:rPr>
        <w:t xml:space="preserve"> </w:t>
      </w:r>
      <w:r w:rsidRPr="0043227B">
        <w:rPr>
          <w:sz w:val="18"/>
          <w:szCs w:val="18"/>
        </w:rPr>
        <w:tab/>
        <w:t>Expert [</w:t>
      </w:r>
      <w:smartTag w:uri="urn:schemas-microsoft-com:office:smarttags" w:element="place">
        <w:smartTag w:uri="urn:schemas-microsoft-com:office:smarttags" w:element="City">
          <w:r w:rsidRPr="0043227B">
            <w:rPr>
              <w:sz w:val="18"/>
              <w:szCs w:val="18"/>
            </w:rPr>
            <w:t>Canberra</w:t>
          </w:r>
        </w:smartTag>
      </w:smartTag>
      <w:r w:rsidRPr="0043227B">
        <w:rPr>
          <w:sz w:val="18"/>
          <w:szCs w:val="18"/>
        </w:rPr>
        <w:t xml:space="preserve">] Group on Household Income Statistics </w:t>
      </w:r>
      <w:r>
        <w:rPr>
          <w:sz w:val="18"/>
          <w:szCs w:val="18"/>
        </w:rPr>
        <w:t>(</w:t>
      </w:r>
      <w:r w:rsidRPr="0043227B">
        <w:rPr>
          <w:sz w:val="18"/>
          <w:szCs w:val="18"/>
        </w:rPr>
        <w:t>2001</w:t>
      </w:r>
      <w:r>
        <w:rPr>
          <w:sz w:val="18"/>
          <w:szCs w:val="18"/>
        </w:rPr>
        <w:t>)</w:t>
      </w:r>
      <w:r w:rsidRPr="0043227B">
        <w:rPr>
          <w:sz w:val="18"/>
          <w:szCs w:val="18"/>
        </w:rPr>
        <w:t>.</w:t>
      </w:r>
      <w:r w:rsidRPr="0043227B">
        <w:rPr>
          <w:rStyle w:val="FootnoteReference"/>
          <w:sz w:val="18"/>
          <w:szCs w:val="18"/>
        </w:rPr>
        <w:t xml:space="preserve"> </w:t>
      </w:r>
    </w:p>
  </w:footnote>
  <w:footnote w:id="15">
    <w:p w:rsidR="00DE4A2A" w:rsidRPr="004339EB" w:rsidRDefault="00DE4A2A" w:rsidP="007B3E55">
      <w:pPr>
        <w:pStyle w:val="FootnoteText"/>
        <w:spacing w:after="60"/>
        <w:ind w:left="274" w:hanging="274"/>
        <w:jc w:val="both"/>
        <w:rPr>
          <w:sz w:val="18"/>
          <w:szCs w:val="18"/>
        </w:rPr>
      </w:pPr>
      <w:r w:rsidRPr="004339EB">
        <w:rPr>
          <w:rStyle w:val="FootnoteReference"/>
          <w:sz w:val="18"/>
          <w:szCs w:val="18"/>
        </w:rPr>
        <w:footnoteRef/>
      </w:r>
      <w:r w:rsidRPr="004339EB">
        <w:rPr>
          <w:sz w:val="18"/>
          <w:szCs w:val="18"/>
        </w:rPr>
        <w:t xml:space="preserve"> </w:t>
      </w:r>
      <w:r>
        <w:rPr>
          <w:sz w:val="18"/>
          <w:szCs w:val="18"/>
        </w:rPr>
        <w:tab/>
        <w:t xml:space="preserve">This is sometimes referred to as a person-weighted approach, in contrast to a household-weighted approach.  The latter reports the proportion of households below various thresholds, income inequality across households, and so on.  The person-weighted approach is the international standard for the sort of analysis reported in this paper.  See </w:t>
      </w:r>
      <w:r w:rsidRPr="00612231">
        <w:rPr>
          <w:b/>
          <w:sz w:val="18"/>
          <w:szCs w:val="18"/>
        </w:rPr>
        <w:t>Appendix 4</w:t>
      </w:r>
      <w:r>
        <w:rPr>
          <w:sz w:val="18"/>
          <w:szCs w:val="18"/>
        </w:rPr>
        <w:t xml:space="preserve"> for a comparison of poverty rates using the two approaches.</w:t>
      </w:r>
    </w:p>
  </w:footnote>
  <w:footnote w:id="16">
    <w:p w:rsidR="00DE4A2A" w:rsidRPr="00FC4FD2" w:rsidRDefault="00DE4A2A" w:rsidP="007B3E55">
      <w:pPr>
        <w:pStyle w:val="FootnoteText"/>
        <w:ind w:left="270" w:hanging="270"/>
        <w:rPr>
          <w:sz w:val="18"/>
          <w:szCs w:val="18"/>
        </w:rPr>
      </w:pPr>
      <w:r w:rsidRPr="00FC4FD2">
        <w:rPr>
          <w:rStyle w:val="FootnoteReference"/>
          <w:sz w:val="18"/>
          <w:szCs w:val="18"/>
        </w:rPr>
        <w:footnoteRef/>
      </w:r>
      <w:r w:rsidRPr="00FC4FD2">
        <w:rPr>
          <w:sz w:val="18"/>
          <w:szCs w:val="18"/>
        </w:rPr>
        <w:t xml:space="preserve"> </w:t>
      </w:r>
      <w:r>
        <w:rPr>
          <w:sz w:val="18"/>
          <w:szCs w:val="18"/>
        </w:rPr>
        <w:tab/>
      </w:r>
      <w:r w:rsidRPr="00FC4FD2">
        <w:rPr>
          <w:sz w:val="18"/>
          <w:szCs w:val="18"/>
        </w:rPr>
        <w:t xml:space="preserve">See Appendix 2 in </w:t>
      </w:r>
      <w:r>
        <w:rPr>
          <w:sz w:val="18"/>
          <w:szCs w:val="18"/>
        </w:rPr>
        <w:t>Perry (</w:t>
      </w:r>
      <w:r w:rsidRPr="00FC4FD2">
        <w:rPr>
          <w:sz w:val="18"/>
          <w:szCs w:val="18"/>
        </w:rPr>
        <w:t>200</w:t>
      </w:r>
      <w:r>
        <w:rPr>
          <w:sz w:val="18"/>
          <w:szCs w:val="18"/>
        </w:rPr>
        <w:t>5</w:t>
      </w:r>
      <w:r w:rsidRPr="00FC4FD2">
        <w:rPr>
          <w:sz w:val="18"/>
          <w:szCs w:val="18"/>
        </w:rPr>
        <w:t>) for an extended discussion on the choice of income sharing unit.</w:t>
      </w:r>
    </w:p>
  </w:footnote>
  <w:footnote w:id="17">
    <w:p w:rsidR="00DE4A2A" w:rsidRPr="00687295" w:rsidRDefault="00DE4A2A" w:rsidP="007B3E55">
      <w:pPr>
        <w:spacing w:after="60"/>
        <w:ind w:left="274" w:hanging="274"/>
        <w:jc w:val="both"/>
        <w:rPr>
          <w:rFonts w:cs="Arial"/>
          <w:sz w:val="18"/>
          <w:szCs w:val="18"/>
        </w:rPr>
      </w:pPr>
      <w:r w:rsidRPr="00687295">
        <w:rPr>
          <w:rStyle w:val="FootnoteReference"/>
          <w:sz w:val="18"/>
          <w:szCs w:val="18"/>
        </w:rPr>
        <w:footnoteRef/>
      </w:r>
      <w:r w:rsidRPr="00687295">
        <w:rPr>
          <w:sz w:val="18"/>
          <w:szCs w:val="18"/>
        </w:rPr>
        <w:t xml:space="preserve"> </w:t>
      </w:r>
      <w:r w:rsidRPr="00687295">
        <w:rPr>
          <w:sz w:val="18"/>
          <w:szCs w:val="18"/>
        </w:rPr>
        <w:tab/>
      </w:r>
      <w:smartTag w:uri="urn:schemas-microsoft-com:office:smarttags" w:element="stockticker">
        <w:r w:rsidRPr="00687295">
          <w:rPr>
            <w:sz w:val="18"/>
            <w:szCs w:val="18"/>
          </w:rPr>
          <w:t>BHC</w:t>
        </w:r>
      </w:smartTag>
      <w:r w:rsidRPr="00687295">
        <w:rPr>
          <w:sz w:val="18"/>
          <w:szCs w:val="18"/>
        </w:rPr>
        <w:t xml:space="preserve"> income is the same as disposable or after-tax cash income.  </w:t>
      </w:r>
      <w:smartTag w:uri="urn:schemas-microsoft-com:office:smarttags" w:element="stockticker">
        <w:r w:rsidRPr="00687295">
          <w:rPr>
            <w:sz w:val="18"/>
            <w:szCs w:val="18"/>
          </w:rPr>
          <w:t>AHC</w:t>
        </w:r>
      </w:smartTag>
      <w:r w:rsidRPr="00687295">
        <w:rPr>
          <w:sz w:val="18"/>
          <w:szCs w:val="18"/>
        </w:rPr>
        <w:t xml:space="preserve"> income is sometimes referred to as</w:t>
      </w:r>
      <w:r>
        <w:rPr>
          <w:sz w:val="18"/>
          <w:szCs w:val="18"/>
        </w:rPr>
        <w:t xml:space="preserve"> ‘</w:t>
      </w:r>
      <w:r w:rsidRPr="00687295">
        <w:rPr>
          <w:sz w:val="18"/>
          <w:szCs w:val="18"/>
        </w:rPr>
        <w:t>income adjusted for housing costs</w:t>
      </w:r>
      <w:r>
        <w:rPr>
          <w:sz w:val="18"/>
          <w:szCs w:val="18"/>
        </w:rPr>
        <w:t>’, ‘disposable income net-of-housing-costs’ or ‘residual income’.</w:t>
      </w:r>
    </w:p>
  </w:footnote>
  <w:footnote w:id="18">
    <w:p w:rsidR="00DE4A2A" w:rsidRPr="00CC3143" w:rsidRDefault="00DE4A2A" w:rsidP="007B3E55">
      <w:pPr>
        <w:pStyle w:val="FootnoteText"/>
        <w:spacing w:after="60"/>
        <w:ind w:left="274" w:hanging="274"/>
        <w:jc w:val="both"/>
        <w:rPr>
          <w:b/>
          <w:sz w:val="18"/>
          <w:szCs w:val="18"/>
        </w:rPr>
      </w:pPr>
      <w:r w:rsidRPr="0085053F">
        <w:rPr>
          <w:rStyle w:val="FootnoteReference"/>
          <w:sz w:val="18"/>
          <w:szCs w:val="18"/>
        </w:rPr>
        <w:footnoteRef/>
      </w:r>
      <w:r w:rsidRPr="0085053F">
        <w:rPr>
          <w:sz w:val="18"/>
          <w:szCs w:val="18"/>
        </w:rPr>
        <w:t xml:space="preserve"> </w:t>
      </w:r>
      <w:r w:rsidRPr="0085053F">
        <w:rPr>
          <w:sz w:val="18"/>
          <w:szCs w:val="18"/>
        </w:rPr>
        <w:tab/>
      </w:r>
      <w:r>
        <w:rPr>
          <w:sz w:val="18"/>
          <w:szCs w:val="18"/>
        </w:rPr>
        <w:t>There is an argument for excluding repayment of mortgage principal from housing costs on the grounds that it is simply a form of near-compulsory saving.  This report includes repayment of principal in housing costs on the grounds that for most mortgages there is little scope for adjusting principal repayments to help cope with ‘tight times’.  It is in effect income not available to households in the short to medium term for other uses.  See Appendix 5 for the difference it makes when mortgage principal is excluded from housing costs.</w:t>
      </w:r>
    </w:p>
  </w:footnote>
  <w:footnote w:id="19">
    <w:p w:rsidR="00DE4A2A" w:rsidRDefault="00DE4A2A" w:rsidP="007B3E55">
      <w:pPr>
        <w:pStyle w:val="FootnoteText"/>
        <w:ind w:left="274" w:hanging="274"/>
        <w:jc w:val="both"/>
        <w:rPr>
          <w:sz w:val="18"/>
          <w:szCs w:val="18"/>
        </w:rPr>
      </w:pPr>
      <w:r w:rsidRPr="00EB344E">
        <w:rPr>
          <w:rStyle w:val="FootnoteReference"/>
          <w:sz w:val="18"/>
          <w:szCs w:val="18"/>
        </w:rPr>
        <w:footnoteRef/>
      </w:r>
      <w:r w:rsidRPr="00EB344E">
        <w:rPr>
          <w:sz w:val="18"/>
          <w:szCs w:val="18"/>
        </w:rPr>
        <w:t xml:space="preserve"> </w:t>
      </w:r>
      <w:r>
        <w:rPr>
          <w:sz w:val="18"/>
          <w:szCs w:val="18"/>
        </w:rPr>
        <w:tab/>
      </w:r>
      <w:r w:rsidRPr="00EB344E">
        <w:rPr>
          <w:sz w:val="18"/>
          <w:szCs w:val="18"/>
        </w:rPr>
        <w:t>See the Statistics New Zealand website for general information about the HES,</w:t>
      </w:r>
      <w:r>
        <w:rPr>
          <w:sz w:val="18"/>
          <w:szCs w:val="18"/>
        </w:rPr>
        <w:t xml:space="preserve"> and for Statistics New Zealand’s first release reports.  T</w:t>
      </w:r>
      <w:r w:rsidRPr="00EB344E">
        <w:rPr>
          <w:sz w:val="18"/>
          <w:szCs w:val="18"/>
        </w:rPr>
        <w:t xml:space="preserve">he Hot </w:t>
      </w:r>
      <w:r>
        <w:rPr>
          <w:sz w:val="18"/>
          <w:szCs w:val="18"/>
        </w:rPr>
        <w:t>O</w:t>
      </w:r>
      <w:r w:rsidRPr="00EB344E">
        <w:rPr>
          <w:sz w:val="18"/>
          <w:szCs w:val="18"/>
        </w:rPr>
        <w:t xml:space="preserve">ff the Press release </w:t>
      </w:r>
      <w:r>
        <w:rPr>
          <w:sz w:val="18"/>
          <w:szCs w:val="18"/>
        </w:rPr>
        <w:t>from November 2011 has</w:t>
      </w:r>
      <w:r w:rsidRPr="00EB344E">
        <w:rPr>
          <w:sz w:val="18"/>
          <w:szCs w:val="18"/>
        </w:rPr>
        <w:t xml:space="preserve"> </w:t>
      </w:r>
      <w:r>
        <w:rPr>
          <w:sz w:val="18"/>
          <w:szCs w:val="18"/>
        </w:rPr>
        <w:t xml:space="preserve">analysis and general information on </w:t>
      </w:r>
      <w:r w:rsidRPr="00EB344E">
        <w:rPr>
          <w:sz w:val="18"/>
          <w:szCs w:val="18"/>
        </w:rPr>
        <w:t>the 20</w:t>
      </w:r>
      <w:r>
        <w:rPr>
          <w:sz w:val="18"/>
          <w:szCs w:val="18"/>
        </w:rPr>
        <w:t>11</w:t>
      </w:r>
      <w:r w:rsidRPr="00EB344E">
        <w:rPr>
          <w:sz w:val="18"/>
          <w:szCs w:val="18"/>
        </w:rPr>
        <w:t xml:space="preserve"> HES.</w:t>
      </w:r>
      <w:r>
        <w:rPr>
          <w:sz w:val="18"/>
          <w:szCs w:val="18"/>
        </w:rPr>
        <w:t xml:space="preserve">  See</w:t>
      </w:r>
    </w:p>
    <w:p w:rsidR="00DE4A2A" w:rsidRDefault="00DE4A2A" w:rsidP="007B3E55">
      <w:pPr>
        <w:pStyle w:val="FootnoteText"/>
        <w:ind w:left="274"/>
        <w:jc w:val="both"/>
        <w:rPr>
          <w:sz w:val="18"/>
          <w:szCs w:val="18"/>
        </w:rPr>
      </w:pPr>
      <w:hyperlink r:id="rId4" w:history="1">
        <w:r w:rsidRPr="001B01A3">
          <w:rPr>
            <w:rStyle w:val="Hyperlink"/>
            <w:sz w:val="18"/>
            <w:szCs w:val="18"/>
          </w:rPr>
          <w:t>www.stats.govt.nz/browse_for_stats/people_and_communities/Households/household-economic-survey-info-releases.aspx</w:t>
        </w:r>
      </w:hyperlink>
    </w:p>
    <w:p w:rsidR="00DE4A2A" w:rsidRPr="0089098B" w:rsidRDefault="00DE4A2A" w:rsidP="007B3E55">
      <w:pPr>
        <w:pStyle w:val="FootnoteText"/>
        <w:spacing w:after="60"/>
        <w:ind w:left="274" w:hanging="274"/>
        <w:jc w:val="both"/>
        <w:rPr>
          <w:sz w:val="18"/>
          <w:szCs w:val="18"/>
        </w:rPr>
      </w:pPr>
    </w:p>
  </w:footnote>
  <w:footnote w:id="20">
    <w:p w:rsidR="00DE4A2A" w:rsidRPr="0089098B" w:rsidRDefault="00DE4A2A" w:rsidP="007B3E55">
      <w:pPr>
        <w:pStyle w:val="FootnoteText"/>
        <w:spacing w:after="60"/>
        <w:ind w:left="274" w:hanging="274"/>
        <w:rPr>
          <w:sz w:val="18"/>
          <w:szCs w:val="18"/>
          <w:lang w:val="en-NZ"/>
        </w:rPr>
      </w:pPr>
      <w:r w:rsidRPr="0089098B">
        <w:rPr>
          <w:rStyle w:val="FootnoteReference"/>
          <w:sz w:val="18"/>
          <w:szCs w:val="18"/>
        </w:rPr>
        <w:footnoteRef/>
      </w:r>
      <w:r w:rsidRPr="0089098B">
        <w:rPr>
          <w:sz w:val="18"/>
          <w:szCs w:val="18"/>
        </w:rPr>
        <w:t xml:space="preserve"> </w:t>
      </w:r>
      <w:r>
        <w:rPr>
          <w:sz w:val="18"/>
          <w:szCs w:val="18"/>
        </w:rPr>
        <w:tab/>
      </w:r>
      <w:r w:rsidRPr="0089098B">
        <w:rPr>
          <w:sz w:val="18"/>
          <w:szCs w:val="18"/>
        </w:rPr>
        <w:t>For more detail on the imputation process and the impact on achieved response rates, see the</w:t>
      </w:r>
      <w:r>
        <w:rPr>
          <w:sz w:val="18"/>
          <w:szCs w:val="18"/>
        </w:rPr>
        <w:t xml:space="preserve"> Technical Appendix to the 2009-10 HES Hot Off the Press release (see link noted in the previous footnote).</w:t>
      </w:r>
    </w:p>
  </w:footnote>
  <w:footnote w:id="21">
    <w:p w:rsidR="00DE4A2A" w:rsidRPr="007C11B1" w:rsidRDefault="00DE4A2A" w:rsidP="007B3E55">
      <w:pPr>
        <w:pStyle w:val="FootnoteText"/>
        <w:ind w:left="270" w:hanging="270"/>
        <w:rPr>
          <w:sz w:val="18"/>
          <w:szCs w:val="18"/>
          <w:lang w:val="en-NZ"/>
        </w:rPr>
      </w:pPr>
      <w:r w:rsidRPr="007C11B1">
        <w:rPr>
          <w:rStyle w:val="FootnoteReference"/>
          <w:sz w:val="18"/>
          <w:szCs w:val="18"/>
        </w:rPr>
        <w:footnoteRef/>
      </w:r>
      <w:r w:rsidRPr="007C11B1">
        <w:rPr>
          <w:sz w:val="18"/>
          <w:szCs w:val="18"/>
        </w:rPr>
        <w:t xml:space="preserve"> </w:t>
      </w:r>
      <w:r w:rsidRPr="007C11B1">
        <w:rPr>
          <w:sz w:val="18"/>
          <w:szCs w:val="18"/>
        </w:rPr>
        <w:tab/>
      </w:r>
      <w:r w:rsidRPr="00EE6EA0">
        <w:rPr>
          <w:color w:val="000000"/>
          <w:sz w:val="18"/>
          <w:szCs w:val="18"/>
        </w:rPr>
        <w:t>An Appendix is being developed</w:t>
      </w:r>
      <w:r w:rsidRPr="007C11B1">
        <w:rPr>
          <w:sz w:val="18"/>
          <w:szCs w:val="18"/>
        </w:rPr>
        <w:t xml:space="preserve"> to report sensitivity testing on the use of Taxwell and S</w:t>
      </w:r>
      <w:r>
        <w:rPr>
          <w:sz w:val="18"/>
          <w:szCs w:val="18"/>
        </w:rPr>
        <w:t>tatistics New Zealand weights f</w:t>
      </w:r>
      <w:r w:rsidRPr="007C11B1">
        <w:rPr>
          <w:sz w:val="18"/>
          <w:szCs w:val="18"/>
        </w:rPr>
        <w:t>or the HES.  This new Appendix is expected to be ready for next year’s report.</w:t>
      </w:r>
    </w:p>
  </w:footnote>
  <w:footnote w:id="22">
    <w:p w:rsidR="00DE4A2A" w:rsidRPr="00601461" w:rsidRDefault="00DE4A2A" w:rsidP="007B3E55">
      <w:pPr>
        <w:pStyle w:val="FootnoteText"/>
        <w:ind w:left="270" w:hanging="270"/>
        <w:jc w:val="both"/>
        <w:rPr>
          <w:sz w:val="18"/>
          <w:szCs w:val="18"/>
        </w:rPr>
      </w:pPr>
      <w:r w:rsidRPr="00601461">
        <w:rPr>
          <w:rStyle w:val="FootnoteReference"/>
          <w:sz w:val="18"/>
          <w:szCs w:val="18"/>
        </w:rPr>
        <w:footnoteRef/>
      </w:r>
      <w:r w:rsidRPr="00601461">
        <w:rPr>
          <w:sz w:val="18"/>
          <w:szCs w:val="18"/>
        </w:rPr>
        <w:t xml:space="preserve"> </w:t>
      </w:r>
      <w:r>
        <w:rPr>
          <w:sz w:val="18"/>
          <w:szCs w:val="18"/>
        </w:rPr>
        <w:tab/>
        <w:t>In reports prior to the 2010 report, the reference or base year for the fixed line poverty measures was 1998.  The shift to 2007 has had an impact on the poverty levels for a given point in time, but no significant impact on the trends, nor on subgroup relativities.  See pp 53f and Appendix 11 for further discussion on the choice of  base or reference year for the fixed line approach to poverty measurement.</w:t>
      </w:r>
    </w:p>
  </w:footnote>
  <w:footnote w:id="23">
    <w:p w:rsidR="00DE4A2A" w:rsidRPr="003439E1" w:rsidRDefault="00DE4A2A" w:rsidP="007B3E55">
      <w:pPr>
        <w:pStyle w:val="FootnoteText"/>
        <w:spacing w:after="60"/>
        <w:ind w:left="274" w:hanging="274"/>
        <w:jc w:val="both"/>
        <w:rPr>
          <w:sz w:val="18"/>
          <w:szCs w:val="18"/>
          <w:lang w:val="en-NZ"/>
        </w:rPr>
      </w:pPr>
      <w:r w:rsidRPr="003439E1">
        <w:rPr>
          <w:rStyle w:val="FootnoteReference"/>
          <w:sz w:val="18"/>
          <w:szCs w:val="18"/>
        </w:rPr>
        <w:footnoteRef/>
      </w:r>
      <w:r w:rsidRPr="003439E1">
        <w:rPr>
          <w:sz w:val="18"/>
          <w:szCs w:val="18"/>
        </w:rPr>
        <w:t xml:space="preserve"> </w:t>
      </w:r>
      <w:r>
        <w:rPr>
          <w:sz w:val="18"/>
          <w:szCs w:val="18"/>
        </w:rPr>
        <w:tab/>
        <w:t>Starting with the 2007 HES, t</w:t>
      </w:r>
      <w:r w:rsidRPr="003439E1">
        <w:rPr>
          <w:sz w:val="18"/>
          <w:szCs w:val="18"/>
        </w:rPr>
        <w:t>he ‘Other’ ethnicity category includes those who identified themselves as ‘New Zealanders’</w:t>
      </w:r>
      <w:r>
        <w:rPr>
          <w:sz w:val="18"/>
          <w:szCs w:val="18"/>
        </w:rPr>
        <w:t>.  Prior to this, the proportion reporting in this way was smaller, and they were included with the European/Pakeha category.</w:t>
      </w:r>
    </w:p>
  </w:footnote>
  <w:footnote w:id="24">
    <w:p w:rsidR="00DE4A2A" w:rsidRPr="006017FC" w:rsidRDefault="00DE4A2A" w:rsidP="007B3E55">
      <w:pPr>
        <w:pStyle w:val="FootnoteText"/>
        <w:spacing w:after="60"/>
        <w:ind w:left="274" w:hanging="274"/>
        <w:jc w:val="both"/>
        <w:rPr>
          <w:sz w:val="18"/>
          <w:szCs w:val="18"/>
        </w:rPr>
      </w:pPr>
      <w:r w:rsidRPr="006017FC">
        <w:rPr>
          <w:rStyle w:val="FootnoteReference"/>
          <w:sz w:val="18"/>
          <w:szCs w:val="18"/>
        </w:rPr>
        <w:footnoteRef/>
      </w:r>
      <w:r w:rsidRPr="006017FC">
        <w:rPr>
          <w:sz w:val="18"/>
          <w:szCs w:val="18"/>
        </w:rPr>
        <w:t xml:space="preserve"> </w:t>
      </w:r>
      <w:r w:rsidRPr="006017FC">
        <w:rPr>
          <w:sz w:val="18"/>
          <w:szCs w:val="18"/>
        </w:rPr>
        <w:tab/>
        <w:t>For poverty analysis, the</w:t>
      </w:r>
      <w:r w:rsidRPr="006017FC">
        <w:rPr>
          <w:sz w:val="18"/>
          <w:szCs w:val="18"/>
          <w:lang w:val="en-NZ"/>
        </w:rPr>
        <w:t xml:space="preserve"> denominator has large enough numbers, but the numerator has too few sample numbers to sustain the analysis</w:t>
      </w:r>
      <w:r>
        <w:rPr>
          <w:sz w:val="18"/>
          <w:szCs w:val="18"/>
          <w:lang w:val="en-NZ"/>
        </w:rPr>
        <w:t xml:space="preserve"> for the Pacific group.</w:t>
      </w:r>
      <w:r w:rsidRPr="006017FC">
        <w:rPr>
          <w:sz w:val="18"/>
          <w:szCs w:val="18"/>
          <w:lang w:val="en-NZ"/>
        </w:rPr>
        <w:t xml:space="preserve">  </w:t>
      </w:r>
      <w:r>
        <w:rPr>
          <w:sz w:val="18"/>
          <w:szCs w:val="18"/>
          <w:lang w:val="en-NZ"/>
        </w:rPr>
        <w:t xml:space="preserve">On the other hand, poverty trends are given for </w:t>
      </w:r>
      <w:r w:rsidRPr="006017FC">
        <w:rPr>
          <w:sz w:val="18"/>
          <w:szCs w:val="18"/>
        </w:rPr>
        <w:t>people in one person 65+ households</w:t>
      </w:r>
      <w:r>
        <w:rPr>
          <w:sz w:val="18"/>
          <w:szCs w:val="18"/>
        </w:rPr>
        <w:t>, even though this group</w:t>
      </w:r>
      <w:r w:rsidRPr="006017FC">
        <w:rPr>
          <w:sz w:val="18"/>
          <w:szCs w:val="18"/>
        </w:rPr>
        <w:t xml:space="preserve"> and </w:t>
      </w:r>
      <w:r>
        <w:rPr>
          <w:sz w:val="18"/>
          <w:szCs w:val="18"/>
        </w:rPr>
        <w:t xml:space="preserve">those in Pacific households make up  about the same proportion of the population </w:t>
      </w:r>
      <w:r w:rsidRPr="006017FC">
        <w:rPr>
          <w:sz w:val="18"/>
          <w:szCs w:val="18"/>
        </w:rPr>
        <w:t xml:space="preserve">(4% to 6%).  Poverty trend analysis for the former is unlikely to show the volatility that the latter can show as the 65+ group are much more homogeneous than the Pacific group who come from a wide range of household types, have a wide range of ages and incomes.  </w:t>
      </w:r>
    </w:p>
  </w:footnote>
  <w:footnote w:id="25">
    <w:p w:rsidR="00DE4A2A" w:rsidRPr="00961F57" w:rsidRDefault="00DE4A2A" w:rsidP="007B3E55">
      <w:pPr>
        <w:pStyle w:val="FootnoteText"/>
        <w:spacing w:after="60"/>
        <w:ind w:left="274" w:hanging="274"/>
        <w:jc w:val="both"/>
        <w:rPr>
          <w:sz w:val="18"/>
          <w:szCs w:val="18"/>
        </w:rPr>
      </w:pPr>
      <w:r w:rsidRPr="00AF2E0F">
        <w:rPr>
          <w:rStyle w:val="FootnoteReference"/>
          <w:sz w:val="18"/>
          <w:szCs w:val="18"/>
        </w:rPr>
        <w:footnoteRef/>
      </w:r>
      <w:r w:rsidRPr="00AF2E0F">
        <w:rPr>
          <w:sz w:val="18"/>
          <w:szCs w:val="18"/>
        </w:rPr>
        <w:t xml:space="preserve"> </w:t>
      </w:r>
      <w:r w:rsidRPr="00961F57">
        <w:rPr>
          <w:sz w:val="18"/>
          <w:szCs w:val="18"/>
        </w:rPr>
        <w:tab/>
        <w:t>See Creedy and Tuckwell (2003) for an account of a HES re-weighting exercise carried out by the New Zealand Treasury for tax-benefit microsimulation modelling purposes using TAXMOD</w:t>
      </w:r>
      <w:r>
        <w:rPr>
          <w:sz w:val="18"/>
          <w:szCs w:val="18"/>
        </w:rPr>
        <w:t>.</w:t>
      </w:r>
    </w:p>
  </w:footnote>
  <w:footnote w:id="26">
    <w:p w:rsidR="00DE4A2A" w:rsidRPr="00973143" w:rsidRDefault="00DE4A2A" w:rsidP="007B3E55">
      <w:pPr>
        <w:pStyle w:val="FootnoteText"/>
        <w:spacing w:after="60"/>
        <w:ind w:left="274" w:hanging="274"/>
        <w:rPr>
          <w:sz w:val="18"/>
          <w:szCs w:val="18"/>
          <w:lang w:val="en-NZ"/>
        </w:rPr>
      </w:pPr>
      <w:r w:rsidRPr="00973143">
        <w:rPr>
          <w:rStyle w:val="FootnoteReference"/>
          <w:sz w:val="18"/>
          <w:szCs w:val="18"/>
        </w:rPr>
        <w:footnoteRef/>
      </w:r>
      <w:r w:rsidRPr="00973143">
        <w:rPr>
          <w:sz w:val="18"/>
          <w:szCs w:val="18"/>
        </w:rPr>
        <w:t xml:space="preserve"> </w:t>
      </w:r>
      <w:r>
        <w:rPr>
          <w:sz w:val="18"/>
          <w:szCs w:val="18"/>
        </w:rPr>
        <w:tab/>
      </w:r>
      <w:r w:rsidRPr="00973143">
        <w:rPr>
          <w:sz w:val="18"/>
          <w:szCs w:val="18"/>
        </w:rPr>
        <w:t>In addition to the age qualification, there are also residency requirements</w:t>
      </w:r>
      <w:r w:rsidR="00EA0B96">
        <w:rPr>
          <w:sz w:val="18"/>
          <w:szCs w:val="18"/>
        </w:rPr>
        <w:t>.</w:t>
      </w:r>
    </w:p>
  </w:footnote>
  <w:footnote w:id="27">
    <w:p w:rsidR="00DE4A2A" w:rsidRPr="006E5DA8" w:rsidRDefault="00DE4A2A" w:rsidP="007B3E55">
      <w:pPr>
        <w:pStyle w:val="FootnoteText"/>
        <w:tabs>
          <w:tab w:val="left" w:pos="270"/>
        </w:tabs>
        <w:spacing w:after="60"/>
        <w:ind w:left="270" w:hanging="270"/>
        <w:jc w:val="both"/>
        <w:rPr>
          <w:rFonts w:cs="Arial"/>
          <w:sz w:val="18"/>
          <w:szCs w:val="18"/>
          <w:lang w:val="en-NZ"/>
        </w:rPr>
      </w:pPr>
      <w:r w:rsidRPr="006E5DA8">
        <w:rPr>
          <w:rStyle w:val="FootnoteReference"/>
          <w:rFonts w:cs="Arial"/>
          <w:sz w:val="18"/>
          <w:szCs w:val="18"/>
        </w:rPr>
        <w:footnoteRef/>
      </w:r>
      <w:r w:rsidRPr="006E5DA8">
        <w:rPr>
          <w:rFonts w:cs="Arial"/>
          <w:sz w:val="18"/>
          <w:szCs w:val="18"/>
        </w:rPr>
        <w:t xml:space="preserve"> </w:t>
      </w:r>
      <w:r w:rsidRPr="006E5DA8">
        <w:rPr>
          <w:rFonts w:cs="Arial"/>
          <w:sz w:val="18"/>
          <w:szCs w:val="18"/>
        </w:rPr>
        <w:tab/>
        <w:t xml:space="preserve">There is often a </w:t>
      </w:r>
      <w:r>
        <w:rPr>
          <w:rFonts w:cs="Arial"/>
          <w:sz w:val="18"/>
          <w:szCs w:val="18"/>
        </w:rPr>
        <w:t>bunching</w:t>
      </w:r>
      <w:r w:rsidRPr="006E5DA8">
        <w:rPr>
          <w:rFonts w:cs="Arial"/>
          <w:sz w:val="18"/>
          <w:szCs w:val="18"/>
        </w:rPr>
        <w:t xml:space="preserve"> in the income distributions in other countries but they </w:t>
      </w:r>
      <w:r>
        <w:rPr>
          <w:rFonts w:cs="Arial"/>
          <w:sz w:val="18"/>
          <w:szCs w:val="18"/>
        </w:rPr>
        <w:t xml:space="preserve">tend not to have the spike that </w:t>
      </w:r>
      <w:smartTag w:uri="urn:schemas-microsoft-com:office:smarttags" w:element="place">
        <w:smartTag w:uri="urn:schemas-microsoft-com:office:smarttags" w:element="country-region">
          <w:r>
            <w:rPr>
              <w:rFonts w:cs="Arial"/>
              <w:sz w:val="18"/>
              <w:szCs w:val="18"/>
            </w:rPr>
            <w:t>New Zealand</w:t>
          </w:r>
        </w:smartTag>
      </w:smartTag>
      <w:r>
        <w:rPr>
          <w:rFonts w:cs="Arial"/>
          <w:sz w:val="18"/>
          <w:szCs w:val="18"/>
        </w:rPr>
        <w:t xml:space="preserve"> does</w:t>
      </w:r>
      <w:r w:rsidRPr="006E5DA8">
        <w:rPr>
          <w:rFonts w:cs="Arial"/>
          <w:sz w:val="18"/>
          <w:szCs w:val="18"/>
        </w:rPr>
        <w:t xml:space="preserve"> because of the different retirement income regimes.  For example, see Figure 3.3 in Brewer et al (2004) for the </w:t>
      </w:r>
      <w:smartTag w:uri="urn:schemas-microsoft-com:office:smarttags" w:element="place">
        <w:smartTag w:uri="urn:schemas-microsoft-com:office:smarttags" w:element="country-region">
          <w:r w:rsidRPr="006E5DA8">
            <w:rPr>
              <w:rFonts w:cs="Arial"/>
              <w:sz w:val="18"/>
              <w:szCs w:val="18"/>
            </w:rPr>
            <w:t>UK</w:t>
          </w:r>
        </w:smartTag>
      </w:smartTag>
      <w:r w:rsidRPr="006E5DA8">
        <w:rPr>
          <w:rFonts w:cs="Arial"/>
          <w:sz w:val="18"/>
          <w:szCs w:val="18"/>
        </w:rPr>
        <w:t>.</w:t>
      </w:r>
    </w:p>
  </w:footnote>
  <w:footnote w:id="28">
    <w:p w:rsidR="00DE4A2A" w:rsidRPr="007105E6" w:rsidRDefault="00DE4A2A" w:rsidP="007B3E55">
      <w:pPr>
        <w:pStyle w:val="FootnoteText"/>
        <w:ind w:left="270" w:hanging="270"/>
        <w:jc w:val="both"/>
        <w:rPr>
          <w:sz w:val="18"/>
          <w:szCs w:val="18"/>
          <w:lang w:val="en-NZ"/>
        </w:rPr>
      </w:pPr>
      <w:r w:rsidRPr="007105E6">
        <w:rPr>
          <w:rStyle w:val="FootnoteReference"/>
          <w:sz w:val="18"/>
          <w:szCs w:val="18"/>
        </w:rPr>
        <w:footnoteRef/>
      </w:r>
      <w:r w:rsidRPr="007105E6">
        <w:rPr>
          <w:sz w:val="18"/>
          <w:szCs w:val="18"/>
        </w:rPr>
        <w:t xml:space="preserve"> </w:t>
      </w:r>
      <w:r>
        <w:rPr>
          <w:sz w:val="18"/>
          <w:szCs w:val="18"/>
        </w:rPr>
        <w:tab/>
      </w:r>
      <w:r w:rsidRPr="007105E6">
        <w:rPr>
          <w:sz w:val="18"/>
          <w:szCs w:val="18"/>
        </w:rPr>
        <w:t>This is for family or household income adjusted for family size and composition (equivalised family income).  Using unadjusted family income makes little differ</w:t>
      </w:r>
      <w:r>
        <w:rPr>
          <w:sz w:val="18"/>
          <w:szCs w:val="18"/>
        </w:rPr>
        <w:t>e</w:t>
      </w:r>
      <w:r w:rsidRPr="007105E6">
        <w:rPr>
          <w:sz w:val="18"/>
          <w:szCs w:val="18"/>
        </w:rPr>
        <w:t>nce to this finding (95% rather than 90%).</w:t>
      </w:r>
    </w:p>
  </w:footnote>
  <w:footnote w:id="29">
    <w:p w:rsidR="00DE4A2A" w:rsidRPr="006E5DA8" w:rsidRDefault="00DE4A2A" w:rsidP="007B3E55">
      <w:pPr>
        <w:pStyle w:val="FootnoteText"/>
        <w:tabs>
          <w:tab w:val="left" w:pos="270"/>
        </w:tabs>
        <w:spacing w:after="60"/>
        <w:ind w:left="274" w:hanging="274"/>
        <w:jc w:val="both"/>
        <w:rPr>
          <w:rFonts w:cs="Arial"/>
          <w:sz w:val="18"/>
          <w:szCs w:val="18"/>
          <w:lang w:val="en-NZ"/>
        </w:rPr>
      </w:pPr>
      <w:r w:rsidRPr="00595EBF">
        <w:rPr>
          <w:rStyle w:val="FootnoteReference"/>
          <w:rFonts w:cs="Arial"/>
          <w:sz w:val="18"/>
          <w:szCs w:val="18"/>
        </w:rPr>
        <w:footnoteRef/>
      </w:r>
      <w:r w:rsidRPr="00595EBF">
        <w:rPr>
          <w:rFonts w:cs="Arial"/>
          <w:sz w:val="18"/>
          <w:szCs w:val="18"/>
        </w:rPr>
        <w:t xml:space="preserve"> </w:t>
      </w:r>
      <w:r w:rsidRPr="00595EBF">
        <w:rPr>
          <w:rFonts w:cs="Arial"/>
          <w:sz w:val="18"/>
          <w:szCs w:val="18"/>
        </w:rPr>
        <w:tab/>
      </w:r>
      <w:r w:rsidRPr="006E5DA8">
        <w:rPr>
          <w:rFonts w:cs="Arial"/>
          <w:sz w:val="18"/>
          <w:szCs w:val="18"/>
        </w:rPr>
        <w:t xml:space="preserve">For example, a survey conducted </w:t>
      </w:r>
      <w:r>
        <w:rPr>
          <w:rFonts w:cs="Arial"/>
          <w:sz w:val="18"/>
          <w:szCs w:val="18"/>
        </w:rPr>
        <w:t xml:space="preserve">in 1999 </w:t>
      </w:r>
      <w:r w:rsidRPr="006E5DA8">
        <w:rPr>
          <w:rFonts w:cs="Arial"/>
          <w:sz w:val="18"/>
          <w:szCs w:val="18"/>
        </w:rPr>
        <w:t>by the Social Policy Research Centre (</w:t>
      </w:r>
      <w:smartTag w:uri="urn:schemas-microsoft-com:office:smarttags" w:element="PlaceType">
        <w:r w:rsidRPr="006E5DA8">
          <w:rPr>
            <w:rFonts w:cs="Arial"/>
            <w:sz w:val="18"/>
            <w:szCs w:val="18"/>
          </w:rPr>
          <w:t>University</w:t>
        </w:r>
      </w:smartTag>
      <w:r w:rsidRPr="006E5DA8">
        <w:rPr>
          <w:rFonts w:cs="Arial"/>
          <w:sz w:val="18"/>
          <w:szCs w:val="18"/>
        </w:rPr>
        <w:t xml:space="preserve"> of </w:t>
      </w:r>
      <w:smartTag w:uri="urn:schemas-microsoft-com:office:smarttags" w:element="PlaceName">
        <w:r w:rsidRPr="006E5DA8">
          <w:rPr>
            <w:rFonts w:cs="Arial"/>
            <w:sz w:val="18"/>
            <w:szCs w:val="18"/>
          </w:rPr>
          <w:t>New South Wales</w:t>
        </w:r>
      </w:smartTag>
      <w:r w:rsidRPr="006E5DA8">
        <w:rPr>
          <w:rFonts w:cs="Arial"/>
          <w:sz w:val="18"/>
          <w:szCs w:val="18"/>
        </w:rPr>
        <w:t xml:space="preserve">, </w:t>
      </w:r>
      <w:smartTag w:uri="urn:schemas-microsoft-com:office:smarttags" w:element="place">
        <w:smartTag w:uri="urn:schemas-microsoft-com:office:smarttags" w:element="City">
          <w:r w:rsidRPr="006E5DA8">
            <w:rPr>
              <w:rFonts w:cs="Arial"/>
              <w:sz w:val="18"/>
              <w:szCs w:val="18"/>
            </w:rPr>
            <w:t>Sydney</w:t>
          </w:r>
        </w:smartTag>
      </w:smartTag>
      <w:r w:rsidRPr="006E5DA8">
        <w:rPr>
          <w:rFonts w:cs="Arial"/>
          <w:sz w:val="18"/>
          <w:szCs w:val="18"/>
        </w:rPr>
        <w:t>) showed that the vast majority of Australians thought that their household incomes placed them in the middle of the distribution</w:t>
      </w:r>
      <w:r>
        <w:rPr>
          <w:rFonts w:cs="Arial"/>
          <w:sz w:val="18"/>
          <w:szCs w:val="18"/>
        </w:rPr>
        <w:t>.  Around</w:t>
      </w:r>
      <w:r w:rsidRPr="006E5DA8">
        <w:rPr>
          <w:rFonts w:cs="Arial"/>
          <w:sz w:val="18"/>
          <w:szCs w:val="18"/>
        </w:rPr>
        <w:t xml:space="preserve"> half thought they were in either the 4</w:t>
      </w:r>
      <w:r w:rsidRPr="006E5DA8">
        <w:rPr>
          <w:rFonts w:cs="Arial"/>
          <w:sz w:val="18"/>
          <w:szCs w:val="18"/>
          <w:vertAlign w:val="superscript"/>
        </w:rPr>
        <w:t>th</w:t>
      </w:r>
      <w:r w:rsidRPr="006E5DA8">
        <w:rPr>
          <w:rFonts w:cs="Arial"/>
          <w:sz w:val="18"/>
          <w:szCs w:val="18"/>
        </w:rPr>
        <w:t xml:space="preserve"> or 5</w:t>
      </w:r>
      <w:r w:rsidRPr="006E5DA8">
        <w:rPr>
          <w:rFonts w:cs="Arial"/>
          <w:sz w:val="18"/>
          <w:szCs w:val="18"/>
          <w:vertAlign w:val="superscript"/>
        </w:rPr>
        <w:t>th</w:t>
      </w:r>
      <w:r w:rsidRPr="006E5DA8">
        <w:rPr>
          <w:rFonts w:cs="Arial"/>
          <w:sz w:val="18"/>
          <w:szCs w:val="18"/>
        </w:rPr>
        <w:t xml:space="preserve"> deciles and virtually none though</w:t>
      </w:r>
      <w:r>
        <w:rPr>
          <w:rFonts w:cs="Arial"/>
          <w:sz w:val="18"/>
          <w:szCs w:val="18"/>
        </w:rPr>
        <w:t>t they were in the top quintile</w:t>
      </w:r>
      <w:r w:rsidRPr="006E5DA8">
        <w:rPr>
          <w:rFonts w:cs="Arial"/>
          <w:sz w:val="18"/>
          <w:szCs w:val="18"/>
        </w:rPr>
        <w:t xml:space="preserve"> (Saunders, 1999).</w:t>
      </w:r>
      <w:r>
        <w:rPr>
          <w:rFonts w:cs="Arial"/>
          <w:sz w:val="18"/>
          <w:szCs w:val="18"/>
        </w:rPr>
        <w:t xml:space="preserve">  A similar perception is likely to hold in </w:t>
      </w:r>
      <w:smartTag w:uri="urn:schemas-microsoft-com:office:smarttags" w:element="place">
        <w:smartTag w:uri="urn:schemas-microsoft-com:office:smarttags" w:element="country-region">
          <w:r>
            <w:rPr>
              <w:rFonts w:cs="Arial"/>
              <w:sz w:val="18"/>
              <w:szCs w:val="18"/>
            </w:rPr>
            <w:t>New Zealand</w:t>
          </w:r>
        </w:smartTag>
      </w:smartTag>
      <w:r>
        <w:rPr>
          <w:rFonts w:cs="Arial"/>
          <w:sz w:val="18"/>
          <w:szCs w:val="18"/>
        </w:rPr>
        <w:t xml:space="preserve"> too.  </w:t>
      </w:r>
    </w:p>
  </w:footnote>
  <w:footnote w:id="30">
    <w:p w:rsidR="00DE4A2A" w:rsidRPr="006E5DA8" w:rsidRDefault="00DE4A2A" w:rsidP="007B3E55">
      <w:pPr>
        <w:pStyle w:val="FootnoteText"/>
        <w:spacing w:after="60"/>
        <w:ind w:left="274" w:hanging="274"/>
        <w:jc w:val="both"/>
        <w:rPr>
          <w:sz w:val="18"/>
          <w:szCs w:val="18"/>
        </w:rPr>
      </w:pPr>
      <w:r w:rsidRPr="006E5DA8">
        <w:rPr>
          <w:rStyle w:val="FootnoteReference"/>
          <w:sz w:val="18"/>
          <w:szCs w:val="18"/>
        </w:rPr>
        <w:footnoteRef/>
      </w:r>
      <w:r w:rsidRPr="006E5DA8">
        <w:rPr>
          <w:sz w:val="18"/>
          <w:szCs w:val="18"/>
        </w:rPr>
        <w:t xml:space="preserve"> </w:t>
      </w:r>
      <w:r w:rsidRPr="006E5DA8">
        <w:rPr>
          <w:sz w:val="18"/>
          <w:szCs w:val="18"/>
        </w:rPr>
        <w:tab/>
      </w:r>
      <w:r>
        <w:rPr>
          <w:sz w:val="18"/>
          <w:szCs w:val="18"/>
        </w:rPr>
        <w:t>Decile locations for</w:t>
      </w:r>
      <w:r w:rsidRPr="006E5DA8">
        <w:rPr>
          <w:sz w:val="18"/>
          <w:szCs w:val="18"/>
        </w:rPr>
        <w:t xml:space="preserve"> </w:t>
      </w:r>
      <w:r>
        <w:rPr>
          <w:sz w:val="18"/>
          <w:szCs w:val="18"/>
        </w:rPr>
        <w:t xml:space="preserve">households not included in Table B.4 can be calculated using the equivalence scale information in Table A.1.  For example, </w:t>
      </w:r>
      <w:r w:rsidRPr="006E5DA8">
        <w:rPr>
          <w:sz w:val="18"/>
          <w:szCs w:val="18"/>
        </w:rPr>
        <w:t xml:space="preserve">a three adult household has an equivalence ratio of 1.98 (see Table </w:t>
      </w:r>
      <w:r>
        <w:rPr>
          <w:sz w:val="18"/>
          <w:szCs w:val="18"/>
        </w:rPr>
        <w:t>A.</w:t>
      </w:r>
      <w:r w:rsidRPr="006E5DA8">
        <w:rPr>
          <w:sz w:val="18"/>
          <w:szCs w:val="18"/>
        </w:rPr>
        <w:t>1).  To be in the top decile a household of this type would need an after-tax annual income of more than $</w:t>
      </w:r>
      <w:r>
        <w:rPr>
          <w:sz w:val="18"/>
          <w:szCs w:val="18"/>
        </w:rPr>
        <w:t>114</w:t>
      </w:r>
      <w:r w:rsidRPr="006E5DA8">
        <w:rPr>
          <w:sz w:val="18"/>
          <w:szCs w:val="18"/>
        </w:rPr>
        <w:t>,</w:t>
      </w:r>
      <w:r>
        <w:rPr>
          <w:sz w:val="18"/>
          <w:szCs w:val="18"/>
        </w:rPr>
        <w:t>4</w:t>
      </w:r>
      <w:r w:rsidRPr="006E5DA8">
        <w:rPr>
          <w:sz w:val="18"/>
          <w:szCs w:val="18"/>
        </w:rPr>
        <w:t xml:space="preserve">00 (1.98 x </w:t>
      </w:r>
      <w:r>
        <w:rPr>
          <w:sz w:val="18"/>
          <w:szCs w:val="18"/>
        </w:rPr>
        <w:t>57,800</w:t>
      </w:r>
      <w:r w:rsidRPr="006E5DA8">
        <w:rPr>
          <w:sz w:val="18"/>
          <w:szCs w:val="18"/>
        </w:rPr>
        <w:t>).</w:t>
      </w:r>
    </w:p>
  </w:footnote>
  <w:footnote w:id="31">
    <w:p w:rsidR="00DE4A2A" w:rsidRPr="006E5DA8" w:rsidRDefault="00DE4A2A" w:rsidP="007B3E55">
      <w:pPr>
        <w:ind w:left="270" w:hanging="270"/>
        <w:jc w:val="both"/>
        <w:rPr>
          <w:sz w:val="18"/>
          <w:szCs w:val="18"/>
          <w:lang w:val="en-NZ"/>
        </w:rPr>
      </w:pPr>
      <w:r w:rsidRPr="006E5DA8">
        <w:rPr>
          <w:rStyle w:val="FootnoteReference"/>
          <w:sz w:val="18"/>
          <w:szCs w:val="18"/>
        </w:rPr>
        <w:footnoteRef/>
      </w:r>
      <w:r w:rsidRPr="006E5DA8">
        <w:rPr>
          <w:sz w:val="18"/>
          <w:szCs w:val="18"/>
        </w:rPr>
        <w:t xml:space="preserve"> </w:t>
      </w:r>
      <w:r w:rsidRPr="006E5DA8">
        <w:rPr>
          <w:sz w:val="18"/>
          <w:szCs w:val="18"/>
        </w:rPr>
        <w:tab/>
      </w:r>
      <w:r w:rsidRPr="006E5DA8">
        <w:rPr>
          <w:sz w:val="18"/>
          <w:szCs w:val="18"/>
          <w:lang w:val="en-NZ"/>
        </w:rPr>
        <w:t xml:space="preserve">The calculations in the table assume that any children are aged around 8 to 10 years, but the figures are close enough if the children are younger or older. </w:t>
      </w:r>
    </w:p>
    <w:p w:rsidR="00DE4A2A" w:rsidRPr="00B743EB" w:rsidRDefault="00DE4A2A" w:rsidP="007B3E55">
      <w:pPr>
        <w:pStyle w:val="FootnoteText"/>
        <w:rPr>
          <w:lang w:val="en-NZ"/>
        </w:rPr>
      </w:pPr>
    </w:p>
  </w:footnote>
  <w:footnote w:id="32">
    <w:p w:rsidR="00DE4A2A" w:rsidRPr="004B6E44" w:rsidRDefault="00DE4A2A" w:rsidP="007B3E55">
      <w:pPr>
        <w:pStyle w:val="FootnoteText"/>
        <w:spacing w:after="60"/>
        <w:ind w:left="274" w:hanging="274"/>
        <w:jc w:val="both"/>
        <w:rPr>
          <w:lang w:val="en-NZ"/>
        </w:rPr>
      </w:pPr>
      <w:r w:rsidRPr="004B6E44">
        <w:rPr>
          <w:rStyle w:val="FootnoteReference"/>
          <w:sz w:val="18"/>
          <w:szCs w:val="18"/>
        </w:rPr>
        <w:footnoteRef/>
      </w:r>
      <w:r w:rsidRPr="004B6E44">
        <w:rPr>
          <w:sz w:val="18"/>
          <w:szCs w:val="18"/>
        </w:rPr>
        <w:t xml:space="preserve"> </w:t>
      </w:r>
      <w:r w:rsidRPr="004B6E44">
        <w:rPr>
          <w:sz w:val="18"/>
          <w:szCs w:val="18"/>
        </w:rPr>
        <w:tab/>
      </w:r>
      <w:r>
        <w:rPr>
          <w:sz w:val="18"/>
          <w:szCs w:val="18"/>
        </w:rPr>
        <w:t xml:space="preserve">See Appendices 8 and 9 for a detailed discussion of the limitations of the income data in decile 1 in relation to its use as an indicator of (potential) living standards.  </w:t>
      </w:r>
    </w:p>
  </w:footnote>
  <w:footnote w:id="33">
    <w:p w:rsidR="00DE4A2A" w:rsidRPr="000C17AC" w:rsidRDefault="00DE4A2A" w:rsidP="007B3E55">
      <w:pPr>
        <w:pStyle w:val="FootnoteText"/>
        <w:ind w:left="274" w:hanging="274"/>
        <w:jc w:val="both"/>
        <w:rPr>
          <w:sz w:val="18"/>
          <w:szCs w:val="18"/>
        </w:rPr>
      </w:pPr>
      <w:r w:rsidRPr="000C17AC">
        <w:rPr>
          <w:rStyle w:val="FootnoteReference"/>
          <w:sz w:val="18"/>
          <w:szCs w:val="18"/>
        </w:rPr>
        <w:footnoteRef/>
      </w:r>
      <w:r w:rsidRPr="000C17AC">
        <w:rPr>
          <w:sz w:val="18"/>
          <w:szCs w:val="18"/>
        </w:rPr>
        <w:t xml:space="preserve"> </w:t>
      </w:r>
      <w:r w:rsidRPr="000C17AC">
        <w:rPr>
          <w:sz w:val="18"/>
          <w:szCs w:val="18"/>
        </w:rPr>
        <w:tab/>
        <w:t>In Figure B.</w:t>
      </w:r>
      <w:r>
        <w:rPr>
          <w:sz w:val="18"/>
          <w:szCs w:val="18"/>
        </w:rPr>
        <w:t>5</w:t>
      </w:r>
      <w:r w:rsidRPr="000C17AC">
        <w:rPr>
          <w:sz w:val="18"/>
          <w:szCs w:val="18"/>
        </w:rPr>
        <w:t xml:space="preserve"> the deciles are deciles of individuals </w:t>
      </w:r>
      <w:r>
        <w:rPr>
          <w:sz w:val="18"/>
          <w:szCs w:val="18"/>
        </w:rPr>
        <w:t>ranked according to their household’s equivalised disposable income.</w:t>
      </w:r>
      <w:r w:rsidRPr="000C17AC">
        <w:rPr>
          <w:sz w:val="18"/>
          <w:szCs w:val="18"/>
        </w:rPr>
        <w:t xml:space="preserve">   The difference </w:t>
      </w:r>
      <w:r>
        <w:rPr>
          <w:sz w:val="18"/>
          <w:szCs w:val="18"/>
        </w:rPr>
        <w:t>for</w:t>
      </w:r>
      <w:r w:rsidRPr="000C17AC">
        <w:rPr>
          <w:sz w:val="18"/>
          <w:szCs w:val="18"/>
        </w:rPr>
        <w:t xml:space="preserve"> each decile between </w:t>
      </w:r>
      <w:r>
        <w:rPr>
          <w:sz w:val="18"/>
          <w:szCs w:val="18"/>
        </w:rPr>
        <w:t xml:space="preserve">total </w:t>
      </w:r>
      <w:r w:rsidRPr="000C17AC">
        <w:rPr>
          <w:sz w:val="18"/>
          <w:szCs w:val="18"/>
        </w:rPr>
        <w:t xml:space="preserve">income tax paid and government cash transfers received is calculated </w:t>
      </w:r>
      <w:r>
        <w:rPr>
          <w:sz w:val="18"/>
          <w:szCs w:val="18"/>
        </w:rPr>
        <w:t xml:space="preserve">(in ordinary dollars) </w:t>
      </w:r>
      <w:r w:rsidRPr="000C17AC">
        <w:rPr>
          <w:sz w:val="18"/>
          <w:szCs w:val="18"/>
        </w:rPr>
        <w:t>for the households to which the individuals belong</w:t>
      </w:r>
      <w:r>
        <w:rPr>
          <w:sz w:val="18"/>
          <w:szCs w:val="18"/>
        </w:rPr>
        <w:t xml:space="preserve">. </w:t>
      </w:r>
    </w:p>
  </w:footnote>
  <w:footnote w:id="34">
    <w:p w:rsidR="00DE4A2A" w:rsidRPr="00E27EAF" w:rsidRDefault="00DE4A2A" w:rsidP="007B3E55">
      <w:pPr>
        <w:pStyle w:val="FootnoteText"/>
        <w:spacing w:before="60"/>
        <w:ind w:left="274" w:hanging="274"/>
        <w:rPr>
          <w:lang w:val="en-NZ"/>
        </w:rPr>
      </w:pPr>
      <w:r>
        <w:rPr>
          <w:rStyle w:val="FootnoteReference"/>
        </w:rPr>
        <w:footnoteRef/>
      </w:r>
      <w:r>
        <w:t xml:space="preserve"> </w:t>
      </w:r>
      <w:r>
        <w:tab/>
      </w:r>
      <w:r w:rsidRPr="00E27EAF">
        <w:rPr>
          <w:sz w:val="18"/>
          <w:szCs w:val="18"/>
        </w:rPr>
        <w:t xml:space="preserve">Tax Working Group </w:t>
      </w:r>
      <w:r>
        <w:rPr>
          <w:sz w:val="18"/>
          <w:szCs w:val="18"/>
        </w:rPr>
        <w:t>(2010).</w:t>
      </w:r>
    </w:p>
  </w:footnote>
  <w:footnote w:id="35">
    <w:p w:rsidR="00DE4A2A" w:rsidRPr="006F11DF" w:rsidRDefault="00DE4A2A" w:rsidP="007B3E55">
      <w:pPr>
        <w:pStyle w:val="Heading1"/>
        <w:ind w:left="270" w:hanging="270"/>
        <w:jc w:val="both"/>
        <w:rPr>
          <w:b w:val="0"/>
          <w:sz w:val="18"/>
          <w:szCs w:val="18"/>
        </w:rPr>
      </w:pPr>
      <w:r w:rsidRPr="006F11DF">
        <w:rPr>
          <w:rStyle w:val="FootnoteReference"/>
          <w:b w:val="0"/>
          <w:sz w:val="18"/>
          <w:szCs w:val="18"/>
        </w:rPr>
        <w:footnoteRef/>
      </w:r>
      <w:r w:rsidRPr="006F11DF">
        <w:rPr>
          <w:b w:val="0"/>
          <w:sz w:val="18"/>
          <w:szCs w:val="18"/>
        </w:rPr>
        <w:t xml:space="preserve"> </w:t>
      </w:r>
      <w:r w:rsidRPr="006F11DF">
        <w:rPr>
          <w:b w:val="0"/>
          <w:sz w:val="18"/>
          <w:szCs w:val="18"/>
        </w:rPr>
        <w:tab/>
      </w:r>
      <w:r>
        <w:rPr>
          <w:b w:val="0"/>
          <w:sz w:val="18"/>
          <w:szCs w:val="18"/>
        </w:rPr>
        <w:t>Note</w:t>
      </w:r>
      <w:r w:rsidRPr="006F11DF">
        <w:rPr>
          <w:b w:val="0"/>
          <w:sz w:val="18"/>
          <w:szCs w:val="18"/>
        </w:rPr>
        <w:t xml:space="preserve"> that Figures B.5 and B.6 are both simply cross-sectional snapshots of income re-distribution across the deciles and do not show how incomes of individuals or households change over time.  At one point in time a household may be a net ‘receiver’ and at another time, a net ‘payer’.  </w:t>
      </w:r>
    </w:p>
  </w:footnote>
  <w:footnote w:id="36">
    <w:p w:rsidR="00DE4A2A" w:rsidRPr="0076169E" w:rsidRDefault="00DE4A2A" w:rsidP="007B3E55">
      <w:pPr>
        <w:pStyle w:val="FootnoteText"/>
        <w:spacing w:before="60"/>
        <w:ind w:left="270" w:hanging="270"/>
        <w:rPr>
          <w:sz w:val="18"/>
          <w:szCs w:val="18"/>
          <w:lang w:val="en-NZ"/>
        </w:rPr>
      </w:pPr>
      <w:r w:rsidRPr="0076169E">
        <w:rPr>
          <w:rStyle w:val="FootnoteReference"/>
          <w:sz w:val="18"/>
          <w:szCs w:val="18"/>
        </w:rPr>
        <w:footnoteRef/>
      </w:r>
      <w:r w:rsidRPr="0076169E">
        <w:rPr>
          <w:sz w:val="18"/>
          <w:szCs w:val="18"/>
        </w:rPr>
        <w:t xml:space="preserve"> </w:t>
      </w:r>
      <w:r w:rsidRPr="0076169E">
        <w:rPr>
          <w:sz w:val="18"/>
          <w:szCs w:val="18"/>
        </w:rPr>
        <w:tab/>
        <w:t>See Chapter 9 in OECD (2008).</w:t>
      </w:r>
    </w:p>
  </w:footnote>
  <w:footnote w:id="37">
    <w:p w:rsidR="00DE4A2A" w:rsidRPr="0076169E" w:rsidRDefault="00DE4A2A" w:rsidP="007B3E55">
      <w:pPr>
        <w:pStyle w:val="FootnoteText"/>
        <w:spacing w:before="60"/>
        <w:ind w:left="274" w:hanging="274"/>
        <w:rPr>
          <w:lang w:val="en-NZ"/>
        </w:rPr>
      </w:pPr>
      <w:r w:rsidRPr="0076169E">
        <w:rPr>
          <w:rStyle w:val="FootnoteReference"/>
          <w:sz w:val="18"/>
          <w:szCs w:val="18"/>
        </w:rPr>
        <w:footnoteRef/>
      </w:r>
      <w:r w:rsidRPr="0076169E">
        <w:rPr>
          <w:sz w:val="18"/>
          <w:szCs w:val="18"/>
        </w:rPr>
        <w:t xml:space="preserve"> </w:t>
      </w:r>
      <w:r w:rsidRPr="0076169E">
        <w:rPr>
          <w:sz w:val="18"/>
          <w:szCs w:val="18"/>
        </w:rPr>
        <w:tab/>
        <w:t>See S</w:t>
      </w:r>
      <w:r>
        <w:rPr>
          <w:sz w:val="18"/>
          <w:szCs w:val="18"/>
        </w:rPr>
        <w:t>e</w:t>
      </w:r>
      <w:r w:rsidRPr="0076169E">
        <w:rPr>
          <w:sz w:val="18"/>
          <w:szCs w:val="18"/>
        </w:rPr>
        <w:t>ction D for more on the Gini and other measures of ineq</w:t>
      </w:r>
      <w:r>
        <w:rPr>
          <w:sz w:val="18"/>
          <w:szCs w:val="18"/>
        </w:rPr>
        <w:t>uality.</w:t>
      </w:r>
    </w:p>
  </w:footnote>
  <w:footnote w:id="38">
    <w:p w:rsidR="00DE4A2A" w:rsidRPr="001B44B3" w:rsidRDefault="00DE4A2A" w:rsidP="007B3E55">
      <w:pPr>
        <w:pStyle w:val="FootnoteText"/>
        <w:ind w:left="270" w:hanging="270"/>
        <w:jc w:val="both"/>
        <w:rPr>
          <w:b/>
          <w:sz w:val="18"/>
          <w:szCs w:val="18"/>
        </w:rPr>
      </w:pPr>
      <w:r w:rsidRPr="009876C8">
        <w:rPr>
          <w:rStyle w:val="FootnoteReference"/>
          <w:sz w:val="18"/>
          <w:szCs w:val="18"/>
        </w:rPr>
        <w:footnoteRef/>
      </w:r>
      <w:r w:rsidRPr="009876C8">
        <w:rPr>
          <w:sz w:val="18"/>
          <w:szCs w:val="18"/>
        </w:rPr>
        <w:t xml:space="preserve"> </w:t>
      </w:r>
      <w:r w:rsidRPr="009876C8">
        <w:rPr>
          <w:sz w:val="18"/>
          <w:szCs w:val="18"/>
        </w:rPr>
        <w:tab/>
        <w:t>For more detailed analysis and explanation see</w:t>
      </w:r>
      <w:r>
        <w:rPr>
          <w:sz w:val="18"/>
          <w:szCs w:val="18"/>
        </w:rPr>
        <w:t xml:space="preserve">, for example, Easton (1996), Dixon (1998), </w:t>
      </w:r>
      <w:r w:rsidRPr="009876C8">
        <w:rPr>
          <w:sz w:val="18"/>
          <w:szCs w:val="18"/>
        </w:rPr>
        <w:t xml:space="preserve">O’Dea (2000), Hyslop and Maré (2001), </w:t>
      </w:r>
      <w:r>
        <w:rPr>
          <w:sz w:val="18"/>
          <w:szCs w:val="18"/>
        </w:rPr>
        <w:t xml:space="preserve">Singley and Callister (2003), </w:t>
      </w:r>
      <w:r w:rsidRPr="009876C8">
        <w:rPr>
          <w:sz w:val="18"/>
          <w:szCs w:val="18"/>
        </w:rPr>
        <w:t>Hyslop and Yahanpath (2005)</w:t>
      </w:r>
      <w:r>
        <w:rPr>
          <w:sz w:val="18"/>
          <w:szCs w:val="18"/>
        </w:rPr>
        <w:t>.</w:t>
      </w:r>
    </w:p>
  </w:footnote>
  <w:footnote w:id="39">
    <w:p w:rsidR="00DE4A2A" w:rsidRPr="00837E19" w:rsidRDefault="00DE4A2A" w:rsidP="007B3E55">
      <w:pPr>
        <w:pStyle w:val="FootnoteText"/>
        <w:ind w:left="270" w:hanging="270"/>
        <w:jc w:val="both"/>
        <w:rPr>
          <w:lang w:val="en-NZ"/>
        </w:rPr>
      </w:pPr>
      <w:r>
        <w:rPr>
          <w:rStyle w:val="FootnoteReference"/>
        </w:rPr>
        <w:footnoteRef/>
      </w:r>
      <w:r>
        <w:t xml:space="preserve"> </w:t>
      </w:r>
      <w:r>
        <w:rPr>
          <w:lang w:val="en-NZ"/>
        </w:rPr>
        <w:tab/>
      </w:r>
      <w:r w:rsidRPr="00837E19">
        <w:rPr>
          <w:sz w:val="18"/>
          <w:szCs w:val="18"/>
          <w:lang w:val="en-NZ"/>
        </w:rPr>
        <w:t>Changes in tax credits or other forms of state cash assistance for families with children (such as the Working for Families package introduced over the 2004 to 2007 period) can also have significan</w:t>
      </w:r>
      <w:r>
        <w:rPr>
          <w:sz w:val="18"/>
          <w:szCs w:val="18"/>
          <w:lang w:val="en-NZ"/>
        </w:rPr>
        <w:t>t impacts on the incomes of two-</w:t>
      </w:r>
      <w:r w:rsidRPr="00837E19">
        <w:rPr>
          <w:sz w:val="18"/>
          <w:szCs w:val="18"/>
          <w:lang w:val="en-NZ"/>
        </w:rPr>
        <w:t>parent families, but generally do not have a great impact on the median itself as they are usually targeted at families below or well below the median.</w:t>
      </w:r>
    </w:p>
  </w:footnote>
  <w:footnote w:id="40">
    <w:p w:rsidR="00DE4A2A" w:rsidRPr="00796112" w:rsidRDefault="00DE4A2A" w:rsidP="007B3E55">
      <w:pPr>
        <w:pStyle w:val="FootnoteText"/>
        <w:ind w:left="270" w:hanging="270"/>
        <w:rPr>
          <w:sz w:val="18"/>
          <w:szCs w:val="18"/>
          <w:lang w:val="en-NZ"/>
        </w:rPr>
      </w:pPr>
      <w:r w:rsidRPr="00796112">
        <w:rPr>
          <w:rStyle w:val="FootnoteReference"/>
          <w:sz w:val="18"/>
          <w:szCs w:val="18"/>
        </w:rPr>
        <w:footnoteRef/>
      </w:r>
      <w:r w:rsidRPr="00796112">
        <w:rPr>
          <w:sz w:val="18"/>
          <w:szCs w:val="18"/>
        </w:rPr>
        <w:t xml:space="preserve"> </w:t>
      </w:r>
      <w:r>
        <w:rPr>
          <w:sz w:val="18"/>
          <w:szCs w:val="18"/>
        </w:rPr>
        <w:tab/>
      </w:r>
      <w:r w:rsidRPr="00796112">
        <w:rPr>
          <w:sz w:val="18"/>
          <w:szCs w:val="18"/>
        </w:rPr>
        <w:t>OECD (2011), Figure 1.10, p38.</w:t>
      </w:r>
    </w:p>
  </w:footnote>
  <w:footnote w:id="41">
    <w:p w:rsidR="00DE4A2A" w:rsidRPr="00B639EF" w:rsidRDefault="00DE4A2A" w:rsidP="007B3E55">
      <w:pPr>
        <w:pStyle w:val="FootnoteText"/>
        <w:ind w:left="270" w:hanging="270"/>
        <w:rPr>
          <w:sz w:val="18"/>
          <w:szCs w:val="18"/>
        </w:rPr>
      </w:pPr>
      <w:r w:rsidRPr="00B639EF">
        <w:rPr>
          <w:rStyle w:val="FootnoteReference"/>
          <w:sz w:val="18"/>
          <w:szCs w:val="18"/>
        </w:rPr>
        <w:footnoteRef/>
      </w:r>
      <w:r w:rsidRPr="00B639EF">
        <w:rPr>
          <w:sz w:val="18"/>
          <w:szCs w:val="18"/>
        </w:rPr>
        <w:t xml:space="preserve"> </w:t>
      </w:r>
      <w:r>
        <w:rPr>
          <w:sz w:val="18"/>
          <w:szCs w:val="18"/>
        </w:rPr>
        <w:tab/>
      </w:r>
      <w:r w:rsidRPr="00B639EF">
        <w:rPr>
          <w:sz w:val="18"/>
          <w:szCs w:val="18"/>
        </w:rPr>
        <w:t>Note that if the household incomes</w:t>
      </w:r>
      <w:r>
        <w:rPr>
          <w:sz w:val="18"/>
          <w:szCs w:val="18"/>
        </w:rPr>
        <w:t xml:space="preserve"> derived</w:t>
      </w:r>
      <w:r w:rsidRPr="00B639EF">
        <w:rPr>
          <w:sz w:val="18"/>
          <w:szCs w:val="18"/>
        </w:rPr>
        <w:t xml:space="preserve"> from social assistance were equivalised, there would be much less of a difference in income between the </w:t>
      </w:r>
      <w:r>
        <w:rPr>
          <w:sz w:val="18"/>
          <w:szCs w:val="18"/>
        </w:rPr>
        <w:t>different household and benefit types</w:t>
      </w:r>
      <w:r w:rsidRPr="00B639EF">
        <w:rPr>
          <w:sz w:val="18"/>
          <w:szCs w:val="18"/>
        </w:rPr>
        <w:t xml:space="preserve"> used in the graphs.</w:t>
      </w:r>
    </w:p>
  </w:footnote>
  <w:footnote w:id="42">
    <w:p w:rsidR="00EB0A84" w:rsidRPr="00A54DC6" w:rsidRDefault="00EB0A84" w:rsidP="00EB0A84">
      <w:pPr>
        <w:pStyle w:val="FootnoteText"/>
        <w:ind w:left="274" w:hanging="274"/>
        <w:rPr>
          <w:rFonts w:cs="Arial"/>
          <w:sz w:val="18"/>
          <w:szCs w:val="18"/>
        </w:rPr>
      </w:pPr>
      <w:r w:rsidRPr="00FE7FF9">
        <w:rPr>
          <w:rStyle w:val="FootnoteReference"/>
          <w:rFonts w:cs="Arial"/>
          <w:sz w:val="18"/>
          <w:szCs w:val="18"/>
        </w:rPr>
        <w:footnoteRef/>
      </w:r>
      <w:r w:rsidRPr="00FE7FF9">
        <w:rPr>
          <w:rFonts w:cs="Arial"/>
          <w:sz w:val="18"/>
          <w:szCs w:val="18"/>
        </w:rPr>
        <w:t xml:space="preserve"> </w:t>
      </w:r>
      <w:r w:rsidRPr="00FE7FF9">
        <w:rPr>
          <w:rFonts w:cs="Arial"/>
          <w:sz w:val="18"/>
          <w:szCs w:val="18"/>
        </w:rPr>
        <w:tab/>
      </w:r>
      <w:r w:rsidRPr="00A54DC6">
        <w:rPr>
          <w:rFonts w:cs="Arial"/>
          <w:sz w:val="18"/>
          <w:szCs w:val="18"/>
        </w:rPr>
        <w:t xml:space="preserve">When the income distribution is divided into 100 equal groups each group is called a percentile (P).  The top of the first decile is labelled P10 as it is also the top of the 10th percentile. </w:t>
      </w:r>
    </w:p>
  </w:footnote>
  <w:footnote w:id="43">
    <w:p w:rsidR="00DE4A2A" w:rsidRPr="00A54DC6" w:rsidRDefault="00DE4A2A" w:rsidP="00E46063">
      <w:pPr>
        <w:pStyle w:val="FootnoteText"/>
        <w:ind w:left="274" w:hanging="274"/>
        <w:rPr>
          <w:rFonts w:cs="Arial"/>
          <w:sz w:val="18"/>
          <w:szCs w:val="18"/>
        </w:rPr>
      </w:pPr>
      <w:r w:rsidRPr="00FE7FF9">
        <w:rPr>
          <w:rStyle w:val="FootnoteReference"/>
          <w:rFonts w:cs="Arial"/>
          <w:sz w:val="18"/>
          <w:szCs w:val="18"/>
        </w:rPr>
        <w:footnoteRef/>
      </w:r>
      <w:r w:rsidRPr="00FE7FF9">
        <w:rPr>
          <w:rFonts w:cs="Arial"/>
          <w:sz w:val="18"/>
          <w:szCs w:val="18"/>
        </w:rPr>
        <w:t xml:space="preserve"> </w:t>
      </w:r>
      <w:r w:rsidRPr="00FE7FF9">
        <w:rPr>
          <w:rFonts w:cs="Arial"/>
          <w:sz w:val="18"/>
          <w:szCs w:val="18"/>
        </w:rPr>
        <w:tab/>
      </w:r>
      <w:r w:rsidRPr="00A54DC6">
        <w:rPr>
          <w:rFonts w:cs="Arial"/>
          <w:sz w:val="18"/>
          <w:szCs w:val="18"/>
        </w:rPr>
        <w:t xml:space="preserve">When the income distribution is divided into 100 equal groups each group is called a percentile (P).  The top of the first decile is labelled P10 as it is also the top of the 10th percentile. </w:t>
      </w:r>
    </w:p>
  </w:footnote>
  <w:footnote w:id="44">
    <w:p w:rsidR="00DE4A2A" w:rsidRPr="00F12819" w:rsidRDefault="00DE4A2A" w:rsidP="00E46063">
      <w:pPr>
        <w:pStyle w:val="FootnoteText"/>
        <w:spacing w:before="60"/>
        <w:ind w:left="274" w:hanging="274"/>
        <w:jc w:val="both"/>
        <w:rPr>
          <w:sz w:val="18"/>
          <w:szCs w:val="18"/>
        </w:rPr>
      </w:pPr>
      <w:r w:rsidRPr="00F12819">
        <w:rPr>
          <w:rStyle w:val="FootnoteReference"/>
          <w:sz w:val="18"/>
          <w:szCs w:val="18"/>
        </w:rPr>
        <w:footnoteRef/>
      </w:r>
      <w:r w:rsidRPr="00F12819">
        <w:rPr>
          <w:sz w:val="18"/>
          <w:szCs w:val="18"/>
        </w:rPr>
        <w:t xml:space="preserve"> </w:t>
      </w:r>
      <w:r>
        <w:rPr>
          <w:sz w:val="18"/>
          <w:szCs w:val="18"/>
        </w:rPr>
        <w:tab/>
      </w:r>
      <w:r w:rsidRPr="00F12819">
        <w:rPr>
          <w:sz w:val="18"/>
          <w:szCs w:val="18"/>
        </w:rPr>
        <w:t>When using equivalised household income, virtually all</w:t>
      </w:r>
      <w:r>
        <w:rPr>
          <w:sz w:val="18"/>
          <w:szCs w:val="18"/>
        </w:rPr>
        <w:t xml:space="preserve"> the new money for WFF went to households at or below the median.  When using unequivalised income, some of the WFF transfers go to higher-income families who have more dependent children.</w:t>
      </w:r>
    </w:p>
  </w:footnote>
  <w:footnote w:id="45">
    <w:p w:rsidR="00DE4A2A" w:rsidRPr="00FE7FF9" w:rsidRDefault="00DE4A2A" w:rsidP="00E46063">
      <w:pPr>
        <w:pStyle w:val="FootnoteText"/>
        <w:spacing w:after="60"/>
        <w:ind w:left="274" w:hanging="274"/>
        <w:rPr>
          <w:rFonts w:cs="Arial"/>
          <w:sz w:val="18"/>
          <w:szCs w:val="18"/>
        </w:rPr>
      </w:pPr>
      <w:r w:rsidRPr="00FE7FF9">
        <w:rPr>
          <w:rStyle w:val="FootnoteReference"/>
          <w:rFonts w:cs="Arial"/>
          <w:sz w:val="18"/>
          <w:szCs w:val="18"/>
        </w:rPr>
        <w:footnoteRef/>
      </w:r>
      <w:r w:rsidRPr="00FE7FF9">
        <w:rPr>
          <w:rFonts w:cs="Arial"/>
          <w:sz w:val="18"/>
          <w:szCs w:val="18"/>
        </w:rPr>
        <w:t xml:space="preserve"> </w:t>
      </w:r>
      <w:r w:rsidRPr="00FE7FF9">
        <w:rPr>
          <w:rFonts w:cs="Arial"/>
          <w:sz w:val="18"/>
          <w:szCs w:val="18"/>
        </w:rPr>
        <w:tab/>
      </w:r>
      <w:r>
        <w:rPr>
          <w:rFonts w:cs="Arial"/>
          <w:sz w:val="18"/>
          <w:szCs w:val="18"/>
        </w:rPr>
        <w:t xml:space="preserve">When the income distribution is divided into 100 equal groups each group is called a percentile (P).  </w:t>
      </w:r>
      <w:r w:rsidRPr="00FE7FF9">
        <w:rPr>
          <w:rFonts w:cs="Arial"/>
          <w:sz w:val="18"/>
          <w:szCs w:val="18"/>
        </w:rPr>
        <w:t>The top of the first decile</w:t>
      </w:r>
      <w:r>
        <w:rPr>
          <w:rFonts w:cs="Arial"/>
          <w:sz w:val="18"/>
          <w:szCs w:val="18"/>
        </w:rPr>
        <w:t xml:space="preserve"> is labelled P10 as it is also the top of the 10th percentile. </w:t>
      </w:r>
    </w:p>
  </w:footnote>
  <w:footnote w:id="46">
    <w:p w:rsidR="00DE4A2A" w:rsidRPr="008479B9" w:rsidRDefault="00DE4A2A" w:rsidP="00E46063">
      <w:pPr>
        <w:pStyle w:val="FootnoteText"/>
        <w:ind w:left="270" w:hanging="270"/>
        <w:jc w:val="both"/>
        <w:rPr>
          <w:sz w:val="18"/>
          <w:szCs w:val="18"/>
        </w:rPr>
      </w:pPr>
      <w:r w:rsidRPr="008479B9">
        <w:rPr>
          <w:rStyle w:val="FootnoteReference"/>
          <w:sz w:val="18"/>
          <w:szCs w:val="18"/>
        </w:rPr>
        <w:footnoteRef/>
      </w:r>
      <w:r w:rsidRPr="008479B9">
        <w:rPr>
          <w:sz w:val="18"/>
          <w:szCs w:val="18"/>
        </w:rPr>
        <w:t xml:space="preserve"> </w:t>
      </w:r>
      <w:r w:rsidRPr="008479B9">
        <w:rPr>
          <w:sz w:val="18"/>
          <w:szCs w:val="18"/>
        </w:rPr>
        <w:tab/>
      </w:r>
      <w:r>
        <w:rPr>
          <w:sz w:val="18"/>
          <w:szCs w:val="18"/>
        </w:rPr>
        <w:t>In 2010, 10% of the population was in m</w:t>
      </w:r>
      <w:r w:rsidRPr="008479B9">
        <w:rPr>
          <w:sz w:val="18"/>
          <w:szCs w:val="18"/>
        </w:rPr>
        <w:t>ulti-adult family households (no dependent children)</w:t>
      </w:r>
      <w:r>
        <w:rPr>
          <w:sz w:val="18"/>
          <w:szCs w:val="18"/>
        </w:rPr>
        <w:t>, compared with 7% in the 1980s.</w:t>
      </w:r>
    </w:p>
  </w:footnote>
  <w:footnote w:id="47">
    <w:p w:rsidR="00DE4A2A" w:rsidRPr="00EC75A9" w:rsidRDefault="00DE4A2A" w:rsidP="00E46063">
      <w:pPr>
        <w:pStyle w:val="FootnoteText"/>
        <w:spacing w:before="60"/>
        <w:ind w:left="270" w:hanging="270"/>
        <w:rPr>
          <w:sz w:val="18"/>
          <w:szCs w:val="18"/>
        </w:rPr>
      </w:pPr>
      <w:r w:rsidRPr="00EC75A9">
        <w:rPr>
          <w:rStyle w:val="FootnoteReference"/>
          <w:sz w:val="18"/>
          <w:szCs w:val="18"/>
        </w:rPr>
        <w:footnoteRef/>
      </w:r>
      <w:r w:rsidRPr="00EC75A9">
        <w:rPr>
          <w:sz w:val="18"/>
          <w:szCs w:val="18"/>
        </w:rPr>
        <w:t xml:space="preserve"> </w:t>
      </w:r>
      <w:r>
        <w:rPr>
          <w:sz w:val="18"/>
          <w:szCs w:val="18"/>
        </w:rPr>
        <w:tab/>
        <w:t>See Section I (</w:t>
      </w:r>
      <w:r w:rsidRPr="00EC75A9">
        <w:rPr>
          <w:sz w:val="18"/>
          <w:szCs w:val="18"/>
        </w:rPr>
        <w:t>n70</w:t>
      </w:r>
      <w:r>
        <w:rPr>
          <w:sz w:val="18"/>
          <w:szCs w:val="18"/>
        </w:rPr>
        <w:t>)</w:t>
      </w:r>
      <w:r w:rsidRPr="00EC75A9">
        <w:rPr>
          <w:sz w:val="18"/>
          <w:szCs w:val="18"/>
        </w:rPr>
        <w:t xml:space="preserve"> for details of the NZS ‘floor’.</w:t>
      </w:r>
    </w:p>
  </w:footnote>
  <w:footnote w:id="48">
    <w:p w:rsidR="00DE4A2A" w:rsidRPr="005A32BF" w:rsidRDefault="00DE4A2A" w:rsidP="00E46063">
      <w:pPr>
        <w:pStyle w:val="FootnoteText"/>
        <w:ind w:left="270" w:hanging="270"/>
        <w:rPr>
          <w:sz w:val="18"/>
          <w:szCs w:val="18"/>
        </w:rPr>
      </w:pPr>
      <w:r w:rsidRPr="005A32BF">
        <w:rPr>
          <w:rStyle w:val="FootnoteReference"/>
          <w:sz w:val="18"/>
          <w:szCs w:val="18"/>
        </w:rPr>
        <w:footnoteRef/>
      </w:r>
      <w:r w:rsidR="00C06CDD">
        <w:rPr>
          <w:sz w:val="18"/>
          <w:szCs w:val="18"/>
        </w:rPr>
        <w:t xml:space="preserve"> </w:t>
      </w:r>
      <w:r w:rsidR="00C06CDD">
        <w:rPr>
          <w:sz w:val="18"/>
          <w:szCs w:val="18"/>
        </w:rPr>
        <w:tab/>
        <w:t>Using a ‘total counts’</w:t>
      </w:r>
      <w:r w:rsidRPr="005A32BF">
        <w:rPr>
          <w:sz w:val="18"/>
          <w:szCs w:val="18"/>
        </w:rPr>
        <w:t xml:space="preserve"> ethnicity approach makes no measurable difference to the findings in this report.</w:t>
      </w:r>
    </w:p>
  </w:footnote>
  <w:footnote w:id="49">
    <w:p w:rsidR="00DE4A2A" w:rsidRPr="005A32BF" w:rsidRDefault="00DE4A2A" w:rsidP="00E46063">
      <w:pPr>
        <w:pStyle w:val="FootnoteText"/>
        <w:spacing w:before="60"/>
        <w:ind w:left="270" w:hanging="270"/>
        <w:jc w:val="both"/>
        <w:rPr>
          <w:sz w:val="18"/>
          <w:szCs w:val="18"/>
        </w:rPr>
      </w:pPr>
      <w:r w:rsidRPr="005A32BF">
        <w:rPr>
          <w:rStyle w:val="FootnoteReference"/>
          <w:sz w:val="18"/>
          <w:szCs w:val="18"/>
        </w:rPr>
        <w:footnoteRef/>
      </w:r>
      <w:r w:rsidRPr="005A32BF">
        <w:rPr>
          <w:sz w:val="18"/>
          <w:szCs w:val="18"/>
        </w:rPr>
        <w:t xml:space="preserve"> </w:t>
      </w:r>
      <w:r w:rsidRPr="005A32BF">
        <w:rPr>
          <w:sz w:val="18"/>
          <w:szCs w:val="18"/>
        </w:rPr>
        <w:tab/>
        <w:t>See the discussion in Section A on the issue of sampling error and the care needed in interpreting estimates for small subgroups like Pacific (6%) or slightly larger subgroups like Other (13%) that are very diverse groups.</w:t>
      </w:r>
    </w:p>
  </w:footnote>
  <w:footnote w:id="50">
    <w:p w:rsidR="00DE4A2A" w:rsidRPr="005A32BF" w:rsidRDefault="00DE4A2A" w:rsidP="00E46063">
      <w:pPr>
        <w:spacing w:before="60"/>
        <w:ind w:left="272" w:hanging="272"/>
        <w:jc w:val="both"/>
        <w:rPr>
          <w:rFonts w:cs="Arial"/>
          <w:sz w:val="18"/>
          <w:szCs w:val="18"/>
        </w:rPr>
      </w:pPr>
      <w:r w:rsidRPr="005A32BF">
        <w:rPr>
          <w:rStyle w:val="FootnoteReference"/>
          <w:sz w:val="18"/>
          <w:szCs w:val="18"/>
        </w:rPr>
        <w:footnoteRef/>
      </w:r>
      <w:r w:rsidRPr="005A32BF">
        <w:rPr>
          <w:sz w:val="18"/>
          <w:szCs w:val="18"/>
        </w:rPr>
        <w:t xml:space="preserve"> </w:t>
      </w:r>
      <w:r>
        <w:rPr>
          <w:sz w:val="18"/>
          <w:szCs w:val="18"/>
        </w:rPr>
        <w:tab/>
      </w:r>
      <w:r w:rsidRPr="005A32BF">
        <w:rPr>
          <w:rFonts w:cs="Arial"/>
          <w:sz w:val="18"/>
          <w:szCs w:val="18"/>
        </w:rPr>
        <w:t xml:space="preserve">In the 2008 Household Incomes Report, the strong rise in the Pacific median and the slight fall in the Maori median from 2004 to 2007 were noted.  On the basis of income information from the Household Labour Force Survey (HLFS), which has a larger sample than the HES, caution was advised regarding the 2007 HES figures for each of these groups.  The respective medians for 2009 and 2010 in Figure D.11 are more like what is expected from the longer-term trend and the HLFS information. The volatility of the median for those of Other ethnicity remains an issue and most likely reflects the relative heterogeneity of this group. </w:t>
      </w:r>
    </w:p>
    <w:p w:rsidR="00DE4A2A" w:rsidRPr="005A32BF" w:rsidRDefault="00DE4A2A" w:rsidP="00E46063">
      <w:pPr>
        <w:pStyle w:val="FootnoteText"/>
      </w:pPr>
    </w:p>
  </w:footnote>
  <w:footnote w:id="51">
    <w:p w:rsidR="00DE4A2A" w:rsidRPr="00487431" w:rsidRDefault="00DE4A2A" w:rsidP="00E46063">
      <w:pPr>
        <w:pStyle w:val="FootnoteText"/>
        <w:ind w:left="270" w:hanging="270"/>
        <w:rPr>
          <w:sz w:val="18"/>
          <w:szCs w:val="18"/>
        </w:rPr>
      </w:pPr>
      <w:r w:rsidRPr="00487431">
        <w:rPr>
          <w:rStyle w:val="FootnoteReference"/>
          <w:sz w:val="18"/>
          <w:szCs w:val="18"/>
        </w:rPr>
        <w:footnoteRef/>
      </w:r>
      <w:r w:rsidRPr="00487431">
        <w:rPr>
          <w:sz w:val="18"/>
          <w:szCs w:val="18"/>
        </w:rPr>
        <w:t xml:space="preserve"> </w:t>
      </w:r>
      <w:r w:rsidRPr="00487431">
        <w:rPr>
          <w:sz w:val="18"/>
          <w:szCs w:val="18"/>
        </w:rPr>
        <w:tab/>
      </w:r>
      <w:r>
        <w:rPr>
          <w:sz w:val="18"/>
          <w:szCs w:val="18"/>
        </w:rPr>
        <w:t>S</w:t>
      </w:r>
      <w:r w:rsidRPr="00487431">
        <w:rPr>
          <w:sz w:val="18"/>
          <w:szCs w:val="18"/>
        </w:rPr>
        <w:t>ee A</w:t>
      </w:r>
      <w:r>
        <w:rPr>
          <w:sz w:val="18"/>
          <w:szCs w:val="18"/>
        </w:rPr>
        <w:t>ustralian Bureau of Statistics</w:t>
      </w:r>
      <w:r w:rsidRPr="00487431">
        <w:rPr>
          <w:sz w:val="18"/>
          <w:szCs w:val="18"/>
        </w:rPr>
        <w:t xml:space="preserve"> </w:t>
      </w:r>
      <w:r>
        <w:rPr>
          <w:sz w:val="18"/>
          <w:szCs w:val="18"/>
        </w:rPr>
        <w:t xml:space="preserve">(2004: </w:t>
      </w:r>
      <w:r w:rsidRPr="00487431">
        <w:rPr>
          <w:sz w:val="18"/>
          <w:szCs w:val="18"/>
        </w:rPr>
        <w:t>pp36ff) for a useful discussion.</w:t>
      </w:r>
    </w:p>
  </w:footnote>
  <w:footnote w:id="52">
    <w:p w:rsidR="00DE4A2A" w:rsidRPr="00786BAA" w:rsidRDefault="00DE4A2A" w:rsidP="00E46063">
      <w:pPr>
        <w:pStyle w:val="FootnoteText"/>
        <w:ind w:left="180" w:hanging="180"/>
        <w:rPr>
          <w:sz w:val="18"/>
          <w:szCs w:val="18"/>
        </w:rPr>
      </w:pPr>
      <w:r w:rsidRPr="00786BAA">
        <w:rPr>
          <w:rStyle w:val="FootnoteReference"/>
          <w:sz w:val="18"/>
          <w:szCs w:val="18"/>
        </w:rPr>
        <w:footnoteRef/>
      </w:r>
      <w:r w:rsidRPr="00786BAA">
        <w:rPr>
          <w:sz w:val="18"/>
          <w:szCs w:val="18"/>
        </w:rPr>
        <w:t xml:space="preserve"> For international comparisons the OECD uses a different equivalence scale.  The impact of this is </w:t>
      </w:r>
      <w:r>
        <w:rPr>
          <w:sz w:val="18"/>
          <w:szCs w:val="18"/>
        </w:rPr>
        <w:t>that the OECD-based calculations give a slightly higher</w:t>
      </w:r>
      <w:r w:rsidRPr="00786BAA">
        <w:rPr>
          <w:sz w:val="18"/>
          <w:szCs w:val="18"/>
        </w:rPr>
        <w:t xml:space="preserve"> Gini by around 0.8 each year.  See Section I for the OECD comparisons.</w:t>
      </w:r>
    </w:p>
  </w:footnote>
  <w:footnote w:id="53">
    <w:p w:rsidR="00DE4A2A" w:rsidRPr="00687751" w:rsidRDefault="00DE4A2A" w:rsidP="00E46063">
      <w:pPr>
        <w:pStyle w:val="FootnoteText"/>
        <w:spacing w:before="60"/>
        <w:rPr>
          <w:sz w:val="18"/>
          <w:szCs w:val="18"/>
        </w:rPr>
      </w:pPr>
      <w:r w:rsidRPr="00687751">
        <w:rPr>
          <w:rStyle w:val="FootnoteReference"/>
          <w:sz w:val="18"/>
          <w:szCs w:val="18"/>
        </w:rPr>
        <w:footnoteRef/>
      </w:r>
      <w:r w:rsidRPr="00687751">
        <w:rPr>
          <w:sz w:val="18"/>
          <w:szCs w:val="18"/>
        </w:rPr>
        <w:t xml:space="preserve"> See </w:t>
      </w:r>
      <w:r w:rsidR="00B0276C" w:rsidRPr="00B0276C">
        <w:rPr>
          <w:sz w:val="18"/>
          <w:szCs w:val="18"/>
        </w:rPr>
        <w:t xml:space="preserve">Section </w:t>
      </w:r>
      <w:r w:rsidR="00B0276C">
        <w:rPr>
          <w:sz w:val="18"/>
          <w:szCs w:val="18"/>
        </w:rPr>
        <w:t>B (p54)</w:t>
      </w:r>
      <w:r w:rsidRPr="00687751">
        <w:rPr>
          <w:sz w:val="18"/>
          <w:szCs w:val="18"/>
        </w:rPr>
        <w:t xml:space="preserve"> for some </w:t>
      </w:r>
      <w:r w:rsidR="00B0276C">
        <w:rPr>
          <w:sz w:val="18"/>
          <w:szCs w:val="18"/>
        </w:rPr>
        <w:t>more</w:t>
      </w:r>
      <w:r w:rsidRPr="00687751">
        <w:rPr>
          <w:sz w:val="18"/>
          <w:szCs w:val="18"/>
        </w:rPr>
        <w:t xml:space="preserve"> inequality </w:t>
      </w:r>
      <w:r w:rsidR="00B0276C">
        <w:rPr>
          <w:sz w:val="18"/>
          <w:szCs w:val="18"/>
        </w:rPr>
        <w:t>information</w:t>
      </w:r>
      <w:r w:rsidRPr="00687751">
        <w:rPr>
          <w:sz w:val="18"/>
          <w:szCs w:val="18"/>
        </w:rPr>
        <w:t>.</w:t>
      </w:r>
    </w:p>
  </w:footnote>
  <w:footnote w:id="54">
    <w:p w:rsidR="00DE4A2A" w:rsidRPr="0003470D" w:rsidRDefault="00DE4A2A" w:rsidP="00E46063">
      <w:pPr>
        <w:pStyle w:val="FootnoteText"/>
        <w:spacing w:after="60"/>
        <w:ind w:left="270" w:hanging="270"/>
        <w:rPr>
          <w:sz w:val="18"/>
          <w:szCs w:val="18"/>
        </w:rPr>
      </w:pPr>
      <w:r w:rsidRPr="00DA514F">
        <w:rPr>
          <w:rStyle w:val="FootnoteReference"/>
          <w:sz w:val="18"/>
          <w:szCs w:val="18"/>
        </w:rPr>
        <w:footnoteRef/>
      </w:r>
      <w:r>
        <w:rPr>
          <w:sz w:val="18"/>
          <w:szCs w:val="18"/>
        </w:rPr>
        <w:t xml:space="preserve"> </w:t>
      </w:r>
      <w:r>
        <w:rPr>
          <w:sz w:val="18"/>
          <w:szCs w:val="18"/>
        </w:rPr>
        <w:tab/>
        <w:t>A household’s wealth or net worth</w:t>
      </w:r>
      <w:r w:rsidRPr="00DA514F">
        <w:rPr>
          <w:sz w:val="18"/>
          <w:szCs w:val="18"/>
        </w:rPr>
        <w:t xml:space="preserve"> is its total assets (financial and non-financial) less its total liabilities (mortgage and other home-secured debt, vehicle loans, credit card and instalment debt, educational </w:t>
      </w:r>
      <w:r w:rsidRPr="0003470D">
        <w:rPr>
          <w:sz w:val="18"/>
          <w:szCs w:val="18"/>
        </w:rPr>
        <w:t>loans, loans from financial in</w:t>
      </w:r>
      <w:r>
        <w:rPr>
          <w:sz w:val="18"/>
          <w:szCs w:val="18"/>
        </w:rPr>
        <w:t>stitutions</w:t>
      </w:r>
      <w:r w:rsidRPr="0003470D">
        <w:rPr>
          <w:sz w:val="18"/>
          <w:szCs w:val="18"/>
        </w:rPr>
        <w:t>, informal debt, and so on).</w:t>
      </w:r>
    </w:p>
  </w:footnote>
  <w:footnote w:id="55">
    <w:p w:rsidR="00DE4A2A" w:rsidRPr="0003470D" w:rsidRDefault="00DE4A2A" w:rsidP="00E46063">
      <w:pPr>
        <w:pStyle w:val="FootnoteText"/>
        <w:spacing w:after="60"/>
        <w:ind w:left="270" w:hanging="270"/>
      </w:pPr>
      <w:r w:rsidRPr="0003470D">
        <w:rPr>
          <w:rStyle w:val="FootnoteReference"/>
          <w:sz w:val="18"/>
          <w:szCs w:val="18"/>
        </w:rPr>
        <w:footnoteRef/>
      </w:r>
      <w:r w:rsidRPr="0003470D">
        <w:rPr>
          <w:sz w:val="18"/>
          <w:szCs w:val="18"/>
        </w:rPr>
        <w:t xml:space="preserve"> </w:t>
      </w:r>
      <w:r>
        <w:rPr>
          <w:sz w:val="18"/>
          <w:szCs w:val="18"/>
        </w:rPr>
        <w:tab/>
      </w:r>
      <w:r w:rsidRPr="0003470D">
        <w:rPr>
          <w:rFonts w:cs="Arial"/>
          <w:sz w:val="18"/>
          <w:szCs w:val="18"/>
        </w:rPr>
        <w:t>See</w:t>
      </w:r>
      <w:r>
        <w:rPr>
          <w:rFonts w:cs="Arial"/>
          <w:sz w:val="18"/>
          <w:szCs w:val="18"/>
        </w:rPr>
        <w:t xml:space="preserve"> also</w:t>
      </w:r>
      <w:r w:rsidRPr="0003470D">
        <w:rPr>
          <w:rFonts w:cs="Arial"/>
          <w:sz w:val="18"/>
          <w:szCs w:val="18"/>
        </w:rPr>
        <w:t xml:space="preserve"> </w:t>
      </w:r>
      <w:r w:rsidRPr="0003470D">
        <w:rPr>
          <w:rFonts w:cs="Arial"/>
          <w:b/>
          <w:sz w:val="18"/>
          <w:szCs w:val="18"/>
        </w:rPr>
        <w:t>Figure A.1</w:t>
      </w:r>
      <w:r w:rsidRPr="0003470D">
        <w:rPr>
          <w:rFonts w:cs="Arial"/>
          <w:sz w:val="18"/>
          <w:szCs w:val="18"/>
        </w:rPr>
        <w:t xml:space="preserve"> and the associated text in the Introduction (Section A).</w:t>
      </w:r>
    </w:p>
  </w:footnote>
  <w:footnote w:id="56">
    <w:p w:rsidR="00DE4A2A" w:rsidRPr="00EF1AEC" w:rsidRDefault="00DE4A2A" w:rsidP="00E46063">
      <w:pPr>
        <w:pStyle w:val="FootnoteText"/>
        <w:spacing w:after="60"/>
        <w:ind w:left="274" w:hanging="270"/>
        <w:rPr>
          <w:sz w:val="18"/>
          <w:szCs w:val="18"/>
        </w:rPr>
      </w:pPr>
      <w:r w:rsidRPr="00EF1AEC">
        <w:rPr>
          <w:rStyle w:val="FootnoteReference"/>
          <w:sz w:val="18"/>
          <w:szCs w:val="18"/>
        </w:rPr>
        <w:footnoteRef/>
      </w:r>
      <w:r w:rsidRPr="00EF1AEC">
        <w:rPr>
          <w:sz w:val="18"/>
          <w:szCs w:val="18"/>
        </w:rPr>
        <w:t xml:space="preserve"> </w:t>
      </w:r>
      <w:r>
        <w:rPr>
          <w:sz w:val="18"/>
          <w:szCs w:val="18"/>
        </w:rPr>
        <w:tab/>
      </w:r>
      <w:smartTag w:uri="urn:schemas-microsoft-com:office:smarttags" w:element="place">
        <w:smartTag w:uri="urn:schemas-microsoft-com:office:smarttags" w:element="country-region">
          <w:r w:rsidRPr="00EF1AEC">
            <w:rPr>
              <w:i/>
              <w:sz w:val="18"/>
              <w:szCs w:val="18"/>
            </w:rPr>
            <w:t>New Zealand</w:t>
          </w:r>
        </w:smartTag>
      </w:smartTag>
      <w:r w:rsidRPr="00EF1AEC">
        <w:rPr>
          <w:i/>
          <w:sz w:val="18"/>
          <w:szCs w:val="18"/>
        </w:rPr>
        <w:t xml:space="preserve"> Herald</w:t>
      </w:r>
      <w:r w:rsidRPr="00EF1AEC">
        <w:rPr>
          <w:sz w:val="18"/>
          <w:szCs w:val="18"/>
        </w:rPr>
        <w:t xml:space="preserve"> </w:t>
      </w:r>
      <w:smartTag w:uri="urn:schemas-microsoft-com:office:smarttags" w:element="date">
        <w:smartTagPr>
          <w:attr w:name="Year" w:val="1996"/>
          <w:attr w:name="Day" w:val="13"/>
          <w:attr w:name="Month" w:val="4"/>
        </w:smartTagPr>
        <w:r w:rsidRPr="00EF1AEC">
          <w:rPr>
            <w:i/>
            <w:sz w:val="18"/>
            <w:szCs w:val="18"/>
          </w:rPr>
          <w:t>13 April 1996</w:t>
        </w:r>
      </w:smartTag>
      <w:r w:rsidRPr="00EF1AEC">
        <w:rPr>
          <w:sz w:val="18"/>
          <w:szCs w:val="18"/>
        </w:rPr>
        <w:t>.</w:t>
      </w:r>
    </w:p>
  </w:footnote>
  <w:footnote w:id="57">
    <w:p w:rsidR="00DE4A2A" w:rsidRPr="00EF1AEC" w:rsidRDefault="00DE4A2A" w:rsidP="00E46063">
      <w:pPr>
        <w:pStyle w:val="FootnoteText"/>
        <w:ind w:left="270" w:hanging="270"/>
        <w:rPr>
          <w:sz w:val="18"/>
          <w:szCs w:val="18"/>
        </w:rPr>
      </w:pPr>
      <w:r w:rsidRPr="00EF1AEC">
        <w:rPr>
          <w:rStyle w:val="FootnoteReference"/>
          <w:sz w:val="18"/>
          <w:szCs w:val="18"/>
        </w:rPr>
        <w:footnoteRef/>
      </w:r>
      <w:r w:rsidRPr="00EF1AEC">
        <w:rPr>
          <w:sz w:val="18"/>
          <w:szCs w:val="18"/>
        </w:rPr>
        <w:t xml:space="preserve"> </w:t>
      </w:r>
      <w:r>
        <w:rPr>
          <w:sz w:val="18"/>
          <w:szCs w:val="18"/>
        </w:rPr>
        <w:tab/>
      </w:r>
      <w:r w:rsidRPr="00EF1AEC">
        <w:rPr>
          <w:sz w:val="18"/>
          <w:szCs w:val="18"/>
        </w:rPr>
        <w:t xml:space="preserve">For one of the earliest examples, see </w:t>
      </w:r>
      <w:smartTag w:uri="urn:schemas-microsoft-com:office:smarttags" w:element="place">
        <w:smartTag w:uri="urn:schemas-microsoft-com:office:smarttags" w:element="country-region">
          <w:r w:rsidRPr="00EF1AEC">
            <w:rPr>
              <w:i/>
              <w:sz w:val="18"/>
              <w:szCs w:val="18"/>
            </w:rPr>
            <w:t>New Zealand</w:t>
          </w:r>
        </w:smartTag>
      </w:smartTag>
      <w:r w:rsidRPr="00EF1AEC">
        <w:rPr>
          <w:i/>
          <w:sz w:val="18"/>
          <w:szCs w:val="18"/>
        </w:rPr>
        <w:t xml:space="preserve"> Herald </w:t>
      </w:r>
      <w:smartTag w:uri="urn:schemas-microsoft-com:office:smarttags" w:element="date">
        <w:smartTagPr>
          <w:attr w:name="Year" w:val="1996"/>
          <w:attr w:name="Day" w:val="12"/>
          <w:attr w:name="Month" w:val="4"/>
        </w:smartTagPr>
        <w:r w:rsidRPr="00EF1AEC">
          <w:rPr>
            <w:i/>
            <w:sz w:val="18"/>
            <w:szCs w:val="18"/>
          </w:rPr>
          <w:t>12 April 1996</w:t>
        </w:r>
      </w:smartTag>
      <w:r w:rsidRPr="00EF1AEC">
        <w:rPr>
          <w:sz w:val="18"/>
          <w:szCs w:val="18"/>
        </w:rPr>
        <w:t xml:space="preserve"> </w:t>
      </w:r>
      <w:r w:rsidRPr="00EF1AEC">
        <w:rPr>
          <w:i/>
          <w:sz w:val="18"/>
          <w:szCs w:val="18"/>
        </w:rPr>
        <w:t>Section 1(5)</w:t>
      </w:r>
      <w:r w:rsidRPr="00EF1AEC">
        <w:rPr>
          <w:sz w:val="18"/>
          <w:szCs w:val="18"/>
        </w:rPr>
        <w:t>.</w:t>
      </w:r>
    </w:p>
  </w:footnote>
  <w:footnote w:id="58">
    <w:p w:rsidR="00DE4A2A" w:rsidRPr="00681EAB" w:rsidRDefault="00DE4A2A" w:rsidP="00E46063">
      <w:pPr>
        <w:ind w:left="270" w:hanging="270"/>
        <w:jc w:val="both"/>
        <w:rPr>
          <w:sz w:val="24"/>
          <w:szCs w:val="24"/>
        </w:rPr>
      </w:pPr>
      <w:r w:rsidRPr="0009419D">
        <w:rPr>
          <w:rStyle w:val="FootnoteReference"/>
          <w:sz w:val="18"/>
          <w:szCs w:val="18"/>
        </w:rPr>
        <w:footnoteRef/>
      </w:r>
      <w:r w:rsidRPr="0009419D">
        <w:rPr>
          <w:sz w:val="18"/>
          <w:szCs w:val="18"/>
        </w:rPr>
        <w:t xml:space="preserve"> </w:t>
      </w:r>
      <w:r>
        <w:rPr>
          <w:sz w:val="18"/>
          <w:szCs w:val="18"/>
        </w:rPr>
        <w:tab/>
      </w:r>
      <w:r w:rsidRPr="0009419D">
        <w:rPr>
          <w:sz w:val="18"/>
          <w:szCs w:val="18"/>
        </w:rPr>
        <w:t>Its prevalence can be traced to the influence of Townsend’s definition, which he promoted in the early 1970s</w:t>
      </w:r>
      <w:r>
        <w:rPr>
          <w:sz w:val="18"/>
          <w:szCs w:val="18"/>
        </w:rPr>
        <w:t>:</w:t>
      </w:r>
    </w:p>
    <w:p w:rsidR="00DE4A2A" w:rsidRPr="0009419D" w:rsidRDefault="00DE4A2A" w:rsidP="00E46063">
      <w:pPr>
        <w:pStyle w:val="FootnoteText"/>
        <w:ind w:left="810" w:right="641"/>
        <w:jc w:val="both"/>
        <w:rPr>
          <w:sz w:val="18"/>
          <w:szCs w:val="18"/>
        </w:rPr>
      </w:pPr>
      <w:r w:rsidRPr="00B24D99">
        <w:rPr>
          <w:sz w:val="18"/>
          <w:szCs w:val="18"/>
        </w:rPr>
        <w:t>Individuals, families and groups in the population can be said to be in poverty when they lack the resources to obtain the type of diet, participate in the activities and have the living conditions and amenities which are customary, or at least widely encouraged, or approved, in the societies to which they belong.  Their resources are so seriously below those commanded by the average individual or family that they are, in effect, excluded from ordinary living patterns, customs and activities.</w:t>
      </w:r>
      <w:r>
        <w:rPr>
          <w:i/>
          <w:sz w:val="18"/>
          <w:szCs w:val="18"/>
        </w:rPr>
        <w:t xml:space="preserve">  </w:t>
      </w:r>
      <w:r w:rsidRPr="00E16441">
        <w:rPr>
          <w:sz w:val="18"/>
          <w:szCs w:val="18"/>
        </w:rPr>
        <w:t>(Townsend 1979:31)</w:t>
      </w:r>
    </w:p>
  </w:footnote>
  <w:footnote w:id="59">
    <w:p w:rsidR="00DE4A2A" w:rsidRPr="007A4127" w:rsidRDefault="00DE4A2A" w:rsidP="00E46063">
      <w:pPr>
        <w:pStyle w:val="FootnoteText"/>
        <w:spacing w:after="60"/>
        <w:ind w:left="274" w:hanging="274"/>
        <w:rPr>
          <w:sz w:val="18"/>
          <w:szCs w:val="18"/>
        </w:rPr>
      </w:pPr>
      <w:r w:rsidRPr="007A4127">
        <w:rPr>
          <w:rStyle w:val="FootnoteReference"/>
          <w:sz w:val="18"/>
          <w:szCs w:val="18"/>
        </w:rPr>
        <w:footnoteRef/>
      </w:r>
      <w:r w:rsidRPr="007A4127">
        <w:rPr>
          <w:sz w:val="18"/>
          <w:szCs w:val="18"/>
        </w:rPr>
        <w:t xml:space="preserve"> </w:t>
      </w:r>
      <w:r>
        <w:rPr>
          <w:sz w:val="18"/>
          <w:szCs w:val="18"/>
        </w:rPr>
        <w:tab/>
      </w:r>
      <w:r w:rsidRPr="007A4127">
        <w:rPr>
          <w:sz w:val="18"/>
          <w:szCs w:val="18"/>
        </w:rPr>
        <w:t>See Perry</w:t>
      </w:r>
      <w:r>
        <w:rPr>
          <w:sz w:val="18"/>
          <w:szCs w:val="18"/>
        </w:rPr>
        <w:t xml:space="preserve"> </w:t>
      </w:r>
      <w:r w:rsidRPr="007A4127">
        <w:rPr>
          <w:sz w:val="18"/>
          <w:szCs w:val="18"/>
        </w:rPr>
        <w:t>(2002) for a summary of the international literature</w:t>
      </w:r>
      <w:r>
        <w:rPr>
          <w:sz w:val="18"/>
          <w:szCs w:val="18"/>
        </w:rPr>
        <w:t xml:space="preserve"> and for detailed discussion on the issue, and </w:t>
      </w:r>
      <w:smartTag w:uri="urn:schemas-microsoft-com:office:smarttags" w:element="country-region">
        <w:r>
          <w:rPr>
            <w:sz w:val="18"/>
            <w:szCs w:val="18"/>
          </w:rPr>
          <w:t>Iceland</w:t>
        </w:r>
      </w:smartTag>
      <w:r>
        <w:rPr>
          <w:sz w:val="18"/>
          <w:szCs w:val="18"/>
        </w:rPr>
        <w:t xml:space="preserve"> and Bauman (2007) for a perspective from the </w:t>
      </w:r>
      <w:smartTag w:uri="urn:schemas-microsoft-com:office:smarttags" w:element="place">
        <w:smartTag w:uri="urn:schemas-microsoft-com:office:smarttags" w:element="country-region">
          <w:r>
            <w:rPr>
              <w:sz w:val="18"/>
              <w:szCs w:val="18"/>
            </w:rPr>
            <w:t>US</w:t>
          </w:r>
        </w:smartTag>
      </w:smartTag>
      <w:r>
        <w:rPr>
          <w:sz w:val="18"/>
          <w:szCs w:val="18"/>
        </w:rPr>
        <w:t xml:space="preserve">.  For a more recent and more developed account see chapter 6 in Nolan and Whelan (2011). </w:t>
      </w:r>
    </w:p>
  </w:footnote>
  <w:footnote w:id="60">
    <w:p w:rsidR="00DE4A2A" w:rsidRDefault="00DE4A2A" w:rsidP="00E46063">
      <w:pPr>
        <w:pStyle w:val="FootnoteText"/>
        <w:spacing w:after="60"/>
        <w:ind w:left="270" w:hanging="270"/>
        <w:jc w:val="both"/>
        <w:rPr>
          <w:rStyle w:val="FootnoteReference"/>
          <w:rFonts w:cs="Arial"/>
          <w:lang w:val="fr-FR"/>
        </w:rPr>
      </w:pPr>
      <w:r w:rsidRPr="00B24D99">
        <w:rPr>
          <w:rStyle w:val="FootnoteReference"/>
          <w:sz w:val="18"/>
          <w:szCs w:val="18"/>
        </w:rPr>
        <w:footnoteRef/>
      </w:r>
      <w:r>
        <w:rPr>
          <w:sz w:val="18"/>
          <w:szCs w:val="18"/>
        </w:rPr>
        <w:tab/>
        <w:t xml:space="preserve">The ELSI measure has been further refined since 2008 and ‘ELSI mark 2’ has been developed - the Material Wellbeing Index (MWI).  The MWI retains around half the 25 items from the ELSI short-form version and replaces the deleted items with new ones.  The new set of 24 items for the MWI are now in the 2012-13 HES.  ELSI-based technical and descriptive accounts of the distribution of living standards in </w:t>
      </w:r>
      <w:smartTag w:uri="urn:schemas-microsoft-com:office:smarttags" w:element="place">
        <w:smartTag w:uri="urn:schemas-microsoft-com:office:smarttags" w:element="country-region">
          <w:r>
            <w:rPr>
              <w:sz w:val="18"/>
              <w:szCs w:val="18"/>
            </w:rPr>
            <w:t>New Zealand</w:t>
          </w:r>
        </w:smartTag>
      </w:smartTag>
      <w:r>
        <w:rPr>
          <w:sz w:val="18"/>
          <w:szCs w:val="18"/>
        </w:rPr>
        <w:t xml:space="preserve"> in 2000, 2004 and 2008 are available in </w:t>
      </w:r>
      <w:r>
        <w:rPr>
          <w:sz w:val="18"/>
          <w:szCs w:val="18"/>
          <w:lang w:val="fr-FR"/>
        </w:rPr>
        <w:t>Jensen et al (2002), Krishnan et al (2002), Jensen et al (2006), and Perry (2009).   Technical and descriptive accounts for the MWI are expected next</w:t>
      </w:r>
      <w:r w:rsidRPr="00006731">
        <w:rPr>
          <w:sz w:val="18"/>
          <w:szCs w:val="18"/>
        </w:rPr>
        <w:t xml:space="preserve"> year</w:t>
      </w:r>
      <w:r>
        <w:rPr>
          <w:sz w:val="18"/>
          <w:szCs w:val="18"/>
          <w:lang w:val="fr-FR"/>
        </w:rPr>
        <w:t xml:space="preserve"> in Perry (2013, forthcoming).  The</w:t>
      </w:r>
      <w:r w:rsidRPr="00006731">
        <w:rPr>
          <w:sz w:val="18"/>
          <w:szCs w:val="18"/>
        </w:rPr>
        <w:t xml:space="preserve"> already published</w:t>
      </w:r>
      <w:r>
        <w:rPr>
          <w:sz w:val="18"/>
          <w:szCs w:val="18"/>
          <w:lang w:val="fr-FR"/>
        </w:rPr>
        <w:t xml:space="preserve"> material is available at  </w:t>
      </w:r>
      <w:hyperlink r:id="rId5" w:history="1">
        <w:r>
          <w:rPr>
            <w:rStyle w:val="Hyperlink"/>
            <w:sz w:val="18"/>
            <w:szCs w:val="18"/>
            <w:lang w:val="fr-FR"/>
          </w:rPr>
          <w:t>http://www.msd.govt.nz/work-areas/social-research/living-standards/index.html</w:t>
        </w:r>
      </w:hyperlink>
      <w:r>
        <w:rPr>
          <w:sz w:val="18"/>
          <w:szCs w:val="18"/>
          <w:lang w:val="fr-FR"/>
        </w:rPr>
        <w:t xml:space="preserve"> .</w:t>
      </w:r>
    </w:p>
  </w:footnote>
  <w:footnote w:id="61">
    <w:p w:rsidR="00DE4A2A" w:rsidRPr="00EA4EC2" w:rsidRDefault="00DE4A2A" w:rsidP="00E46063">
      <w:pPr>
        <w:pStyle w:val="FootnoteText"/>
        <w:ind w:left="270" w:hanging="270"/>
        <w:rPr>
          <w:sz w:val="18"/>
          <w:szCs w:val="18"/>
        </w:rPr>
      </w:pPr>
      <w:r w:rsidRPr="00EA4EC2">
        <w:rPr>
          <w:rStyle w:val="FootnoteReference"/>
          <w:sz w:val="18"/>
          <w:szCs w:val="18"/>
        </w:rPr>
        <w:footnoteRef/>
      </w:r>
      <w:r w:rsidRPr="00EA4EC2">
        <w:rPr>
          <w:sz w:val="18"/>
          <w:szCs w:val="18"/>
        </w:rPr>
        <w:t xml:space="preserve"> </w:t>
      </w:r>
      <w:r>
        <w:rPr>
          <w:sz w:val="18"/>
          <w:szCs w:val="18"/>
        </w:rPr>
        <w:tab/>
      </w:r>
      <w:r w:rsidRPr="00EA4EC2">
        <w:rPr>
          <w:sz w:val="18"/>
          <w:szCs w:val="18"/>
        </w:rPr>
        <w:t>See Table I.2.</w:t>
      </w:r>
    </w:p>
  </w:footnote>
  <w:footnote w:id="62">
    <w:p w:rsidR="00345D9B" w:rsidRPr="00345D9B" w:rsidRDefault="00345D9B">
      <w:pPr>
        <w:pStyle w:val="FootnoteText"/>
        <w:rPr>
          <w:sz w:val="18"/>
          <w:szCs w:val="18"/>
          <w:lang w:val="en-NZ"/>
        </w:rPr>
      </w:pPr>
      <w:r w:rsidRPr="00345D9B">
        <w:rPr>
          <w:rStyle w:val="FootnoteReference"/>
          <w:sz w:val="18"/>
          <w:szCs w:val="18"/>
        </w:rPr>
        <w:footnoteRef/>
      </w:r>
      <w:r w:rsidRPr="00345D9B">
        <w:rPr>
          <w:sz w:val="18"/>
          <w:szCs w:val="18"/>
        </w:rPr>
        <w:t xml:space="preserve"> </w:t>
      </w:r>
      <w:r w:rsidRPr="00345D9B">
        <w:rPr>
          <w:sz w:val="18"/>
          <w:szCs w:val="18"/>
          <w:lang w:val="en-NZ"/>
        </w:rPr>
        <w:t>Carter and Imlach Gunasekara (2012)</w:t>
      </w:r>
    </w:p>
  </w:footnote>
  <w:footnote w:id="63">
    <w:p w:rsidR="00DE4A2A" w:rsidRPr="001B7575" w:rsidRDefault="00DE4A2A" w:rsidP="00E46063">
      <w:pPr>
        <w:pStyle w:val="FootnoteText"/>
        <w:ind w:left="270" w:hanging="270"/>
        <w:rPr>
          <w:sz w:val="18"/>
          <w:szCs w:val="18"/>
        </w:rPr>
      </w:pPr>
      <w:r w:rsidRPr="001B7575">
        <w:rPr>
          <w:rStyle w:val="FootnoteReference"/>
          <w:sz w:val="18"/>
          <w:szCs w:val="18"/>
        </w:rPr>
        <w:footnoteRef/>
      </w:r>
      <w:r w:rsidRPr="001B7575">
        <w:rPr>
          <w:sz w:val="18"/>
          <w:szCs w:val="18"/>
        </w:rPr>
        <w:t xml:space="preserve"> </w:t>
      </w:r>
      <w:r>
        <w:rPr>
          <w:sz w:val="18"/>
          <w:szCs w:val="18"/>
        </w:rPr>
        <w:tab/>
        <w:t xml:space="preserve">Reports of WFF financial support going to above average and even to high-income households with children are normally based on incomes not adjusted for household size and composition. </w:t>
      </w:r>
    </w:p>
  </w:footnote>
  <w:footnote w:id="64">
    <w:p w:rsidR="00DE4A2A" w:rsidRPr="00DC3711" w:rsidRDefault="00DE4A2A" w:rsidP="00E46063">
      <w:pPr>
        <w:pStyle w:val="FootnoteText"/>
        <w:ind w:left="270" w:hanging="270"/>
        <w:rPr>
          <w:sz w:val="18"/>
          <w:szCs w:val="18"/>
        </w:rPr>
      </w:pPr>
      <w:r w:rsidRPr="00DC3711">
        <w:rPr>
          <w:rStyle w:val="FootnoteReference"/>
          <w:sz w:val="18"/>
          <w:szCs w:val="18"/>
        </w:rPr>
        <w:footnoteRef/>
      </w:r>
      <w:r w:rsidRPr="00DC3711">
        <w:rPr>
          <w:sz w:val="18"/>
          <w:szCs w:val="18"/>
        </w:rPr>
        <w:t xml:space="preserve"> </w:t>
      </w:r>
      <w:r>
        <w:rPr>
          <w:sz w:val="18"/>
          <w:szCs w:val="18"/>
        </w:rPr>
        <w:tab/>
      </w:r>
      <w:r w:rsidRPr="00DC3711">
        <w:rPr>
          <w:sz w:val="18"/>
          <w:szCs w:val="18"/>
        </w:rPr>
        <w:t>See Section D in Perry (2009).</w:t>
      </w:r>
    </w:p>
  </w:footnote>
  <w:footnote w:id="65">
    <w:p w:rsidR="00DE4A2A" w:rsidRPr="008472BB" w:rsidRDefault="00DE4A2A" w:rsidP="00E46063">
      <w:pPr>
        <w:pStyle w:val="FootnoteText"/>
        <w:ind w:left="270" w:hanging="270"/>
        <w:rPr>
          <w:sz w:val="18"/>
          <w:szCs w:val="18"/>
        </w:rPr>
      </w:pPr>
      <w:r w:rsidRPr="008472BB">
        <w:rPr>
          <w:rStyle w:val="FootnoteReference"/>
          <w:sz w:val="18"/>
          <w:szCs w:val="18"/>
        </w:rPr>
        <w:footnoteRef/>
      </w:r>
      <w:r w:rsidRPr="008472BB">
        <w:rPr>
          <w:sz w:val="18"/>
          <w:szCs w:val="18"/>
        </w:rPr>
        <w:t xml:space="preserve"> </w:t>
      </w:r>
      <w:r>
        <w:rPr>
          <w:sz w:val="18"/>
          <w:szCs w:val="18"/>
        </w:rPr>
        <w:tab/>
      </w:r>
      <w:r w:rsidRPr="008472BB">
        <w:rPr>
          <w:sz w:val="18"/>
          <w:szCs w:val="18"/>
        </w:rPr>
        <w:t>It is not clear why there was such a drop in</w:t>
      </w:r>
      <w:r>
        <w:rPr>
          <w:sz w:val="18"/>
          <w:szCs w:val="18"/>
        </w:rPr>
        <w:t xml:space="preserve"> mean income for</w:t>
      </w:r>
      <w:r w:rsidRPr="008472BB">
        <w:rPr>
          <w:sz w:val="18"/>
          <w:szCs w:val="18"/>
        </w:rPr>
        <w:t xml:space="preserve"> low-income households in the 1990 HES compared with all other years.</w:t>
      </w:r>
    </w:p>
  </w:footnote>
  <w:footnote w:id="66">
    <w:p w:rsidR="00DE4A2A" w:rsidRPr="00DF3749" w:rsidRDefault="00DE4A2A" w:rsidP="00C96A4B">
      <w:pPr>
        <w:pStyle w:val="FootnoteText"/>
        <w:ind w:left="270" w:hanging="270"/>
        <w:jc w:val="both"/>
        <w:rPr>
          <w:b/>
          <w:sz w:val="18"/>
          <w:szCs w:val="18"/>
          <w:lang w:val="en-NZ"/>
        </w:rPr>
      </w:pPr>
      <w:r w:rsidRPr="00DF3749">
        <w:rPr>
          <w:rStyle w:val="FootnoteReference"/>
          <w:sz w:val="18"/>
          <w:szCs w:val="18"/>
        </w:rPr>
        <w:footnoteRef/>
      </w:r>
      <w:r>
        <w:rPr>
          <w:sz w:val="18"/>
          <w:szCs w:val="18"/>
        </w:rPr>
        <w:t xml:space="preserve"> </w:t>
      </w:r>
      <w:r>
        <w:rPr>
          <w:sz w:val="18"/>
          <w:szCs w:val="18"/>
        </w:rPr>
        <w:tab/>
        <w:t>Estimates of poverty rates</w:t>
      </w:r>
      <w:r w:rsidRPr="00DF3749">
        <w:rPr>
          <w:sz w:val="18"/>
          <w:szCs w:val="18"/>
        </w:rPr>
        <w:t xml:space="preserve"> by ethnicity </w:t>
      </w:r>
      <w:r>
        <w:rPr>
          <w:sz w:val="18"/>
          <w:szCs w:val="18"/>
        </w:rPr>
        <w:t>are</w:t>
      </w:r>
      <w:r w:rsidRPr="00DF3749">
        <w:rPr>
          <w:sz w:val="18"/>
          <w:szCs w:val="18"/>
        </w:rPr>
        <w:t xml:space="preserve"> too volatile to provide reliable </w:t>
      </w:r>
      <w:r>
        <w:rPr>
          <w:sz w:val="18"/>
          <w:szCs w:val="18"/>
        </w:rPr>
        <w:t>information on survey by survey trends.</w:t>
      </w:r>
      <w:r w:rsidRPr="00DF3749">
        <w:rPr>
          <w:sz w:val="18"/>
          <w:szCs w:val="18"/>
        </w:rPr>
        <w:t xml:space="preserve">  See</w:t>
      </w:r>
      <w:r>
        <w:rPr>
          <w:sz w:val="18"/>
          <w:szCs w:val="18"/>
        </w:rPr>
        <w:t xml:space="preserve"> the discussions in Section A (Introduction) </w:t>
      </w:r>
      <w:r w:rsidRPr="00DF3749">
        <w:rPr>
          <w:sz w:val="18"/>
          <w:szCs w:val="18"/>
        </w:rPr>
        <w:t xml:space="preserve">and Section B.  Trends in median </w:t>
      </w:r>
      <w:r>
        <w:rPr>
          <w:sz w:val="18"/>
          <w:szCs w:val="18"/>
        </w:rPr>
        <w:t xml:space="preserve">household </w:t>
      </w:r>
      <w:r w:rsidRPr="00DF3749">
        <w:rPr>
          <w:sz w:val="18"/>
          <w:szCs w:val="18"/>
        </w:rPr>
        <w:t>incomes by ethn</w:t>
      </w:r>
      <w:r>
        <w:rPr>
          <w:sz w:val="18"/>
          <w:szCs w:val="18"/>
        </w:rPr>
        <w:t>icity are given in Section D, and indicative relativities between ethnic groups are given in this Section, and in Section H for children.</w:t>
      </w:r>
    </w:p>
  </w:footnote>
  <w:footnote w:id="67">
    <w:p w:rsidR="00DE4A2A" w:rsidRPr="00B57111" w:rsidRDefault="00DE4A2A" w:rsidP="00C96A4B">
      <w:pPr>
        <w:spacing w:after="60"/>
        <w:ind w:left="274" w:hanging="274"/>
        <w:jc w:val="both"/>
        <w:rPr>
          <w:sz w:val="18"/>
          <w:szCs w:val="18"/>
        </w:rPr>
      </w:pPr>
      <w:r w:rsidRPr="00B57111">
        <w:rPr>
          <w:rStyle w:val="FootnoteReference"/>
          <w:sz w:val="18"/>
          <w:szCs w:val="18"/>
        </w:rPr>
        <w:footnoteRef/>
      </w:r>
      <w:r w:rsidRPr="00B57111">
        <w:rPr>
          <w:sz w:val="18"/>
          <w:szCs w:val="18"/>
        </w:rPr>
        <w:t xml:space="preserve"> </w:t>
      </w:r>
      <w:r w:rsidRPr="00B57111">
        <w:rPr>
          <w:sz w:val="18"/>
          <w:szCs w:val="18"/>
        </w:rPr>
        <w:tab/>
        <w:t>Some of the embedded SP EFUs are in the HH grouping ‘sole-parent HHs with (any) dependent children’ (along with adult children), and some are in the grouping ‘Other family HHs with children’.  Note that individuals retain the equivalised income of their household of origin for this analysis</w:t>
      </w:r>
      <w:r w:rsidRPr="00B57111">
        <w:rPr>
          <w:b/>
          <w:sz w:val="18"/>
          <w:szCs w:val="18"/>
        </w:rPr>
        <w:t xml:space="preserve"> </w:t>
      </w:r>
      <w:r w:rsidRPr="00B57111">
        <w:rPr>
          <w:sz w:val="18"/>
          <w:szCs w:val="18"/>
        </w:rPr>
        <w:t xml:space="preserve">on the grounds that those in the wider households share to a reasonable degree in the benefits of the wider households and the economies of scale. </w:t>
      </w:r>
    </w:p>
  </w:footnote>
  <w:footnote w:id="68">
    <w:p w:rsidR="00DE4A2A" w:rsidRPr="001E4799" w:rsidRDefault="00DE4A2A" w:rsidP="00C96A4B">
      <w:pPr>
        <w:pStyle w:val="FootnoteText"/>
        <w:ind w:left="274" w:hanging="274"/>
        <w:jc w:val="both"/>
        <w:rPr>
          <w:sz w:val="18"/>
          <w:szCs w:val="18"/>
        </w:rPr>
      </w:pPr>
      <w:r w:rsidRPr="00232381">
        <w:rPr>
          <w:rStyle w:val="FootnoteReference"/>
          <w:sz w:val="18"/>
          <w:szCs w:val="18"/>
        </w:rPr>
        <w:footnoteRef/>
      </w:r>
      <w:r w:rsidRPr="00232381">
        <w:rPr>
          <w:sz w:val="18"/>
          <w:szCs w:val="18"/>
        </w:rPr>
        <w:t xml:space="preserve"> </w:t>
      </w:r>
      <w:r w:rsidRPr="00232381">
        <w:rPr>
          <w:sz w:val="18"/>
          <w:szCs w:val="18"/>
        </w:rPr>
        <w:tab/>
      </w:r>
      <w:r>
        <w:rPr>
          <w:rFonts w:cs="Arial"/>
          <w:sz w:val="18"/>
          <w:szCs w:val="18"/>
        </w:rPr>
        <w:t>Preliminary analysis using non-income measures from the 2008 Living Standards Survey indicates that the hardship rates for sole parent families in households on their own are very close to those for sole parent families living with others in a wider household.  This is a quite different finding from the income-based one in this report .  Further investigation is being undertaken to better understand the difference.</w:t>
      </w:r>
    </w:p>
  </w:footnote>
  <w:footnote w:id="69">
    <w:p w:rsidR="00DE4A2A" w:rsidRPr="001E4799" w:rsidRDefault="00DE4A2A" w:rsidP="00C96A4B">
      <w:pPr>
        <w:pStyle w:val="FootnoteText"/>
        <w:ind w:left="270" w:hanging="270"/>
        <w:jc w:val="both"/>
        <w:rPr>
          <w:rFonts w:cs="Arial"/>
          <w:sz w:val="18"/>
          <w:szCs w:val="18"/>
          <w:lang w:val="en-NZ"/>
        </w:rPr>
      </w:pPr>
      <w:r>
        <w:rPr>
          <w:rStyle w:val="FootnoteReference"/>
        </w:rPr>
        <w:footnoteRef/>
      </w:r>
      <w:r>
        <w:t xml:space="preserve"> </w:t>
      </w:r>
      <w:r>
        <w:tab/>
      </w:r>
      <w:r>
        <w:rPr>
          <w:rFonts w:cs="Arial"/>
          <w:sz w:val="18"/>
          <w:szCs w:val="18"/>
        </w:rPr>
        <w:t>The risk ratio is also equal to the ratio of the sub-group’s proportion of the poor to the sub-group’s proportion of the total population (eg if 60% of poor children are from beneficiary families, and 20% of children come from beneficiary families overall, the risk ratio for these children is 3.0).</w:t>
      </w:r>
    </w:p>
  </w:footnote>
  <w:footnote w:id="70">
    <w:p w:rsidR="00DE4A2A" w:rsidRPr="00965A75" w:rsidRDefault="00DE4A2A" w:rsidP="00C96A4B">
      <w:pPr>
        <w:pStyle w:val="FootnoteText"/>
        <w:ind w:left="270" w:hanging="270"/>
        <w:jc w:val="both"/>
        <w:rPr>
          <w:sz w:val="18"/>
          <w:szCs w:val="18"/>
          <w:lang w:val="en-NZ"/>
        </w:rPr>
      </w:pPr>
      <w:r>
        <w:rPr>
          <w:rStyle w:val="FootnoteReference"/>
        </w:rPr>
        <w:footnoteRef/>
      </w:r>
      <w:r>
        <w:t xml:space="preserve"> </w:t>
      </w:r>
      <w:r>
        <w:tab/>
      </w:r>
      <w:r w:rsidRPr="00965A75">
        <w:rPr>
          <w:sz w:val="18"/>
          <w:szCs w:val="18"/>
        </w:rPr>
        <w:t xml:space="preserve">The </w:t>
      </w:r>
      <w:r>
        <w:rPr>
          <w:sz w:val="18"/>
          <w:szCs w:val="18"/>
        </w:rPr>
        <w:t xml:space="preserve">income poverty </w:t>
      </w:r>
      <w:r w:rsidRPr="00965A75">
        <w:rPr>
          <w:sz w:val="18"/>
          <w:szCs w:val="18"/>
        </w:rPr>
        <w:t>relativities</w:t>
      </w:r>
      <w:r>
        <w:rPr>
          <w:sz w:val="18"/>
          <w:szCs w:val="18"/>
        </w:rPr>
        <w:t xml:space="preserve"> from the HES</w:t>
      </w:r>
      <w:r w:rsidRPr="00965A75">
        <w:rPr>
          <w:sz w:val="18"/>
          <w:szCs w:val="18"/>
        </w:rPr>
        <w:t xml:space="preserve"> for children f</w:t>
      </w:r>
      <w:r>
        <w:rPr>
          <w:sz w:val="18"/>
          <w:szCs w:val="18"/>
        </w:rPr>
        <w:t xml:space="preserve">rom </w:t>
      </w:r>
      <w:r w:rsidRPr="00965A75">
        <w:rPr>
          <w:sz w:val="18"/>
          <w:szCs w:val="18"/>
        </w:rPr>
        <w:t xml:space="preserve">the Maori and European/Pakeha ethnic groups are </w:t>
      </w:r>
      <w:r>
        <w:rPr>
          <w:sz w:val="18"/>
          <w:szCs w:val="18"/>
        </w:rPr>
        <w:t xml:space="preserve">generally </w:t>
      </w:r>
      <w:r w:rsidRPr="00965A75">
        <w:rPr>
          <w:sz w:val="18"/>
          <w:szCs w:val="18"/>
        </w:rPr>
        <w:t>relatively stable</w:t>
      </w:r>
      <w:r>
        <w:rPr>
          <w:sz w:val="18"/>
          <w:szCs w:val="18"/>
        </w:rPr>
        <w:t xml:space="preserve"> from survey to survey</w:t>
      </w:r>
      <w:r w:rsidRPr="00965A75">
        <w:rPr>
          <w:sz w:val="18"/>
          <w:szCs w:val="18"/>
        </w:rPr>
        <w:t xml:space="preserve"> and are similar to th</w:t>
      </w:r>
      <w:r>
        <w:rPr>
          <w:sz w:val="18"/>
          <w:szCs w:val="18"/>
        </w:rPr>
        <w:t>ose reported</w:t>
      </w:r>
      <w:r w:rsidRPr="00965A75">
        <w:rPr>
          <w:sz w:val="18"/>
          <w:szCs w:val="18"/>
        </w:rPr>
        <w:t xml:space="preserve"> from the 2008 Living Standards Survey (hardship rates of 32% and 14% respectively</w:t>
      </w:r>
      <w:r>
        <w:rPr>
          <w:sz w:val="18"/>
          <w:szCs w:val="18"/>
        </w:rPr>
        <w:t xml:space="preserve"> – see Perry (2009</w:t>
      </w:r>
      <w:r w:rsidRPr="00965A75">
        <w:rPr>
          <w:sz w:val="18"/>
          <w:szCs w:val="18"/>
        </w:rPr>
        <w:t>)</w:t>
      </w:r>
      <w:r>
        <w:rPr>
          <w:sz w:val="18"/>
          <w:szCs w:val="18"/>
        </w:rPr>
        <w:t>)</w:t>
      </w:r>
      <w:r w:rsidRPr="00965A75">
        <w:rPr>
          <w:sz w:val="18"/>
          <w:szCs w:val="18"/>
        </w:rPr>
        <w:t xml:space="preserve">.  Rates for Pacific children are more volatile as the Pacific population is around half </w:t>
      </w:r>
      <w:r>
        <w:rPr>
          <w:sz w:val="18"/>
          <w:szCs w:val="18"/>
        </w:rPr>
        <w:t>th</w:t>
      </w:r>
      <w:r w:rsidRPr="00965A75">
        <w:rPr>
          <w:sz w:val="18"/>
          <w:szCs w:val="18"/>
        </w:rPr>
        <w:t xml:space="preserve">at for Maori and the sample numbers are that much smaller too. </w:t>
      </w:r>
    </w:p>
  </w:footnote>
  <w:footnote w:id="71">
    <w:p w:rsidR="00DE4A2A" w:rsidRPr="001E4799" w:rsidRDefault="00DE4A2A" w:rsidP="00C96A4B">
      <w:pPr>
        <w:pStyle w:val="FootnoteText"/>
        <w:ind w:left="274" w:hanging="274"/>
        <w:jc w:val="both"/>
        <w:rPr>
          <w:sz w:val="18"/>
          <w:szCs w:val="18"/>
        </w:rPr>
      </w:pPr>
      <w:r w:rsidRPr="00232381">
        <w:rPr>
          <w:rStyle w:val="FootnoteReference"/>
          <w:sz w:val="18"/>
          <w:szCs w:val="18"/>
        </w:rPr>
        <w:footnoteRef/>
      </w:r>
      <w:r w:rsidRPr="00232381">
        <w:rPr>
          <w:sz w:val="18"/>
          <w:szCs w:val="18"/>
        </w:rPr>
        <w:t xml:space="preserve"> </w:t>
      </w:r>
      <w:r w:rsidRPr="00232381">
        <w:rPr>
          <w:sz w:val="18"/>
          <w:szCs w:val="18"/>
        </w:rPr>
        <w:tab/>
      </w:r>
      <w:r>
        <w:rPr>
          <w:rFonts w:cs="Arial"/>
          <w:sz w:val="18"/>
          <w:szCs w:val="18"/>
        </w:rPr>
        <w:t>Preliminary analysis using non-income measures from the 2008 Living Standards Survey indicates that the hardship rates for sole parent families in households on their own are very close to those for sole parent families living with others in a wider household.  This is a quite different finding from the income-based one in this report .  Further investigation is being undertaken to better understand the difference.</w:t>
      </w:r>
    </w:p>
  </w:footnote>
  <w:footnote w:id="72">
    <w:p w:rsidR="00DE4A2A" w:rsidRPr="005778BD" w:rsidRDefault="00DE4A2A" w:rsidP="00C96A4B">
      <w:pPr>
        <w:pStyle w:val="FootnoteText"/>
        <w:spacing w:before="60"/>
        <w:ind w:left="274" w:hanging="274"/>
        <w:rPr>
          <w:sz w:val="18"/>
          <w:szCs w:val="18"/>
          <w:lang w:val="en-NZ"/>
        </w:rPr>
      </w:pPr>
      <w:r w:rsidRPr="005778BD">
        <w:rPr>
          <w:rStyle w:val="FootnoteReference"/>
          <w:sz w:val="18"/>
          <w:szCs w:val="18"/>
        </w:rPr>
        <w:footnoteRef/>
      </w:r>
      <w:r w:rsidRPr="005778BD">
        <w:rPr>
          <w:sz w:val="18"/>
          <w:szCs w:val="18"/>
        </w:rPr>
        <w:t xml:space="preserve"> </w:t>
      </w:r>
      <w:r>
        <w:rPr>
          <w:sz w:val="18"/>
          <w:szCs w:val="18"/>
        </w:rPr>
        <w:tab/>
      </w:r>
      <w:r w:rsidRPr="005778BD">
        <w:rPr>
          <w:sz w:val="18"/>
          <w:szCs w:val="18"/>
        </w:rPr>
        <w:t>In 20</w:t>
      </w:r>
      <w:r>
        <w:rPr>
          <w:sz w:val="18"/>
          <w:szCs w:val="18"/>
        </w:rPr>
        <w:t>10,</w:t>
      </w:r>
      <w:r w:rsidRPr="005778BD">
        <w:rPr>
          <w:sz w:val="18"/>
          <w:szCs w:val="18"/>
        </w:rPr>
        <w:t xml:space="preserve"> </w:t>
      </w:r>
      <w:r>
        <w:rPr>
          <w:sz w:val="18"/>
          <w:szCs w:val="18"/>
        </w:rPr>
        <w:t xml:space="preserve">38% of children were in households with 3 or more children, 39% with 2 or more and 23% in one child households. </w:t>
      </w:r>
    </w:p>
  </w:footnote>
  <w:footnote w:id="73">
    <w:p w:rsidR="00DE4A2A" w:rsidRPr="00212B51" w:rsidRDefault="00DE4A2A" w:rsidP="00C96A4B">
      <w:pPr>
        <w:pStyle w:val="FootnoteText"/>
        <w:tabs>
          <w:tab w:val="left" w:pos="270"/>
        </w:tabs>
        <w:ind w:left="270" w:hanging="270"/>
        <w:rPr>
          <w:sz w:val="18"/>
          <w:szCs w:val="18"/>
          <w:lang w:val="en-NZ"/>
        </w:rPr>
      </w:pPr>
      <w:r w:rsidRPr="00212B51">
        <w:rPr>
          <w:rStyle w:val="FootnoteReference"/>
          <w:sz w:val="18"/>
          <w:szCs w:val="18"/>
        </w:rPr>
        <w:footnoteRef/>
      </w:r>
      <w:r w:rsidRPr="00212B51">
        <w:rPr>
          <w:sz w:val="18"/>
          <w:szCs w:val="18"/>
        </w:rPr>
        <w:t xml:space="preserve"> </w:t>
      </w:r>
      <w:r>
        <w:rPr>
          <w:sz w:val="18"/>
          <w:szCs w:val="18"/>
        </w:rPr>
        <w:tab/>
      </w:r>
      <w:r w:rsidRPr="00212B51">
        <w:rPr>
          <w:sz w:val="18"/>
          <w:szCs w:val="18"/>
        </w:rPr>
        <w:t xml:space="preserve">There is some repetition here from earlier in this Section.  </w:t>
      </w:r>
      <w:smartTag w:uri="urn:schemas-microsoft-com:office:smarttags" w:element="PersonName">
        <w:r w:rsidRPr="00212B51">
          <w:rPr>
            <w:sz w:val="18"/>
            <w:szCs w:val="18"/>
          </w:rPr>
          <w:t>Info</w:t>
        </w:r>
      </w:smartTag>
      <w:r w:rsidRPr="00212B51">
        <w:rPr>
          <w:sz w:val="18"/>
          <w:szCs w:val="18"/>
        </w:rPr>
        <w:t>rmation from this Incomes Report and from elsewhere is brought together in one place for the reader’s convenience.</w:t>
      </w:r>
    </w:p>
  </w:footnote>
  <w:footnote w:id="74">
    <w:p w:rsidR="00DE4A2A" w:rsidRPr="00CE7C6D" w:rsidRDefault="00DE4A2A" w:rsidP="00C96A4B">
      <w:pPr>
        <w:tabs>
          <w:tab w:val="left" w:pos="270"/>
        </w:tabs>
        <w:ind w:left="270" w:hanging="270"/>
        <w:jc w:val="both"/>
        <w:rPr>
          <w:b/>
          <w:lang w:val="en-NZ"/>
        </w:rPr>
      </w:pPr>
      <w:r>
        <w:rPr>
          <w:rStyle w:val="FootnoteReference"/>
        </w:rPr>
        <w:footnoteRef/>
      </w:r>
      <w:r>
        <w:t xml:space="preserve"> </w:t>
      </w:r>
      <w:r w:rsidRPr="006F21D4">
        <w:rPr>
          <w:sz w:val="18"/>
          <w:szCs w:val="18"/>
        </w:rPr>
        <w:tab/>
        <w:t>The proportion of children in beneficiary families is unlikely to ever match either of the other two lines for several reasons: (a) a beneficiary family may live in a household where an adult is in FT work (eg a sole parent family living with th</w:t>
      </w:r>
      <w:r>
        <w:rPr>
          <w:sz w:val="18"/>
          <w:szCs w:val="18"/>
        </w:rPr>
        <w:t>e</w:t>
      </w:r>
      <w:r w:rsidRPr="006F21D4">
        <w:rPr>
          <w:sz w:val="18"/>
          <w:szCs w:val="18"/>
        </w:rPr>
        <w:t xml:space="preserve"> mother’s parents or other relatives), (b)</w:t>
      </w:r>
      <w:r>
        <w:rPr>
          <w:sz w:val="18"/>
          <w:szCs w:val="18"/>
        </w:rPr>
        <w:t xml:space="preserve"> some beneficiary families receive income from PT employment, and (c)</w:t>
      </w:r>
      <w:r w:rsidRPr="006F21D4">
        <w:rPr>
          <w:sz w:val="18"/>
          <w:szCs w:val="18"/>
        </w:rPr>
        <w:t xml:space="preserve"> the benefici</w:t>
      </w:r>
      <w:r>
        <w:rPr>
          <w:sz w:val="18"/>
          <w:szCs w:val="18"/>
        </w:rPr>
        <w:t>ar</w:t>
      </w:r>
      <w:r w:rsidRPr="006F21D4">
        <w:rPr>
          <w:sz w:val="18"/>
          <w:szCs w:val="18"/>
        </w:rPr>
        <w:t>y information is a snapshot at 30 June whereas the HES based figures are an average over the full year</w:t>
      </w:r>
      <w:r>
        <w:rPr>
          <w:sz w:val="18"/>
          <w:szCs w:val="18"/>
        </w:rPr>
        <w:t>.</w:t>
      </w:r>
      <w:r w:rsidRPr="006F21D4">
        <w:rPr>
          <w:sz w:val="18"/>
          <w:szCs w:val="18"/>
        </w:rPr>
        <w:t xml:space="preserve"> </w:t>
      </w:r>
    </w:p>
  </w:footnote>
  <w:footnote w:id="75">
    <w:p w:rsidR="00DE4A2A" w:rsidRPr="00AE14C5" w:rsidRDefault="00DE4A2A" w:rsidP="00C96A4B">
      <w:pPr>
        <w:pStyle w:val="FootnoteText"/>
        <w:ind w:left="270" w:hanging="270"/>
        <w:jc w:val="both"/>
        <w:rPr>
          <w:sz w:val="18"/>
          <w:szCs w:val="18"/>
          <w:lang w:val="en-NZ"/>
        </w:rPr>
      </w:pPr>
      <w:r w:rsidRPr="00AE14C5">
        <w:rPr>
          <w:rStyle w:val="FootnoteReference"/>
          <w:sz w:val="18"/>
          <w:szCs w:val="18"/>
        </w:rPr>
        <w:footnoteRef/>
      </w:r>
      <w:r w:rsidRPr="00AE14C5">
        <w:rPr>
          <w:sz w:val="18"/>
          <w:szCs w:val="18"/>
        </w:rPr>
        <w:t xml:space="preserve"> </w:t>
      </w:r>
      <w:r>
        <w:rPr>
          <w:sz w:val="18"/>
          <w:szCs w:val="18"/>
        </w:rPr>
        <w:tab/>
        <w:t>The material wellbeing of older New Zealanders is determined by more than just their incomes.  Physical and financial assets are very important too, as are special demands on the budget such as high health-related costs.  These issues are discussed in the Introduction.  See especially Figure A.1 and the reference there to the Ministry of Social Development’s research using non-income measures of wellbeing.  Nevertheless, income does matter, and in line with the focus of this Incomes report, this section reports only on incomes of older New Zealanders</w:t>
      </w:r>
      <w:r w:rsidR="00A51B92">
        <w:rPr>
          <w:sz w:val="18"/>
          <w:szCs w:val="18"/>
        </w:rPr>
        <w:t>.</w:t>
      </w:r>
    </w:p>
  </w:footnote>
  <w:footnote w:id="76">
    <w:p w:rsidR="00DE4A2A" w:rsidRPr="004F049B" w:rsidRDefault="00DE4A2A" w:rsidP="00C96A4B">
      <w:pPr>
        <w:pStyle w:val="FootnoteText"/>
        <w:ind w:left="270" w:hanging="270"/>
        <w:rPr>
          <w:sz w:val="18"/>
          <w:szCs w:val="18"/>
          <w:lang w:val="en-NZ"/>
        </w:rPr>
      </w:pPr>
      <w:r w:rsidRPr="004F049B">
        <w:rPr>
          <w:rStyle w:val="FootnoteReference"/>
          <w:sz w:val="18"/>
          <w:szCs w:val="18"/>
        </w:rPr>
        <w:footnoteRef/>
      </w:r>
      <w:r w:rsidRPr="004F049B">
        <w:rPr>
          <w:sz w:val="18"/>
          <w:szCs w:val="18"/>
        </w:rPr>
        <w:t xml:space="preserve"> </w:t>
      </w:r>
      <w:r>
        <w:rPr>
          <w:sz w:val="18"/>
          <w:szCs w:val="18"/>
        </w:rPr>
        <w:tab/>
      </w:r>
      <w:r w:rsidRPr="004F049B">
        <w:rPr>
          <w:sz w:val="18"/>
          <w:szCs w:val="18"/>
        </w:rPr>
        <w:t>HES 2009 rather than 2010 is used as the latest figures that Statistics New Zealand have sent the OECD are from HES 2009.</w:t>
      </w:r>
      <w:r>
        <w:rPr>
          <w:sz w:val="18"/>
          <w:szCs w:val="18"/>
        </w:rPr>
        <w:t xml:space="preserve">  When the OECD publishes an update, this report and the OECD should square off.</w:t>
      </w:r>
    </w:p>
  </w:footnote>
  <w:footnote w:id="77">
    <w:p w:rsidR="00DE4A2A" w:rsidRPr="00D936FF" w:rsidRDefault="00DE4A2A" w:rsidP="00C96A4B">
      <w:pPr>
        <w:pStyle w:val="FootnoteText"/>
        <w:spacing w:before="60"/>
        <w:ind w:left="274" w:hanging="274"/>
        <w:jc w:val="both"/>
        <w:rPr>
          <w:sz w:val="18"/>
          <w:szCs w:val="18"/>
          <w:lang w:val="en-NZ"/>
        </w:rPr>
      </w:pPr>
      <w:r w:rsidRPr="00D936FF">
        <w:rPr>
          <w:rStyle w:val="FootnoteReference"/>
          <w:sz w:val="18"/>
          <w:szCs w:val="18"/>
        </w:rPr>
        <w:footnoteRef/>
      </w:r>
      <w:r w:rsidRPr="00D936FF">
        <w:rPr>
          <w:sz w:val="18"/>
          <w:szCs w:val="18"/>
        </w:rPr>
        <w:t xml:space="preserve"> </w:t>
      </w:r>
      <w:r>
        <w:rPr>
          <w:sz w:val="18"/>
          <w:szCs w:val="18"/>
        </w:rPr>
        <w:tab/>
      </w:r>
      <w:r w:rsidRPr="00D936FF">
        <w:rPr>
          <w:sz w:val="18"/>
          <w:szCs w:val="18"/>
        </w:rPr>
        <w:t xml:space="preserve">For older New Zealanders living alone, NZS is paid at 65% of the married couple rate.   The equivalence ratio for a one-person </w:t>
      </w:r>
      <w:r>
        <w:rPr>
          <w:sz w:val="18"/>
          <w:szCs w:val="18"/>
        </w:rPr>
        <w:t>household</w:t>
      </w:r>
      <w:r w:rsidRPr="00D936FF">
        <w:rPr>
          <w:sz w:val="18"/>
          <w:szCs w:val="18"/>
        </w:rPr>
        <w:t xml:space="preserve"> relative to a couple </w:t>
      </w:r>
      <w:r>
        <w:rPr>
          <w:sz w:val="18"/>
          <w:szCs w:val="18"/>
        </w:rPr>
        <w:t>household</w:t>
      </w:r>
      <w:r w:rsidRPr="00D936FF">
        <w:rPr>
          <w:sz w:val="18"/>
          <w:szCs w:val="18"/>
        </w:rPr>
        <w:t xml:space="preserve"> is 0.65 (for the equ</w:t>
      </w:r>
      <w:r>
        <w:rPr>
          <w:sz w:val="18"/>
          <w:szCs w:val="18"/>
        </w:rPr>
        <w:t>i</w:t>
      </w:r>
      <w:r w:rsidRPr="00D936FF">
        <w:rPr>
          <w:sz w:val="18"/>
          <w:szCs w:val="18"/>
        </w:rPr>
        <w:t xml:space="preserve">valences </w:t>
      </w:r>
      <w:r>
        <w:rPr>
          <w:sz w:val="18"/>
          <w:szCs w:val="18"/>
        </w:rPr>
        <w:t>usually used in this report</w:t>
      </w:r>
      <w:r w:rsidRPr="00D936FF">
        <w:rPr>
          <w:sz w:val="18"/>
          <w:szCs w:val="18"/>
        </w:rPr>
        <w:t xml:space="preserve">).  This means that equivalised </w:t>
      </w:r>
      <w:r>
        <w:rPr>
          <w:sz w:val="18"/>
          <w:szCs w:val="18"/>
        </w:rPr>
        <w:t>household</w:t>
      </w:r>
      <w:r w:rsidRPr="00D936FF">
        <w:rPr>
          <w:sz w:val="18"/>
          <w:szCs w:val="18"/>
        </w:rPr>
        <w:t xml:space="preserve"> income </w:t>
      </w:r>
      <w:r>
        <w:rPr>
          <w:sz w:val="18"/>
          <w:szCs w:val="18"/>
        </w:rPr>
        <w:t xml:space="preserve">is the same </w:t>
      </w:r>
      <w:r w:rsidRPr="00D936FF">
        <w:rPr>
          <w:sz w:val="18"/>
          <w:szCs w:val="18"/>
        </w:rPr>
        <w:t xml:space="preserve">for older (65+) one person and couple </w:t>
      </w:r>
      <w:r>
        <w:rPr>
          <w:sz w:val="18"/>
          <w:szCs w:val="18"/>
        </w:rPr>
        <w:t>households</w:t>
      </w:r>
      <w:r w:rsidRPr="00D936FF">
        <w:rPr>
          <w:sz w:val="18"/>
          <w:szCs w:val="18"/>
        </w:rPr>
        <w:t xml:space="preserve"> where there is little or no other income over and above NZS</w:t>
      </w:r>
      <w:r>
        <w:rPr>
          <w:sz w:val="18"/>
          <w:szCs w:val="18"/>
        </w:rPr>
        <w:t>.</w:t>
      </w:r>
      <w:r w:rsidRPr="00D936FF">
        <w:rPr>
          <w:sz w:val="18"/>
          <w:szCs w:val="18"/>
        </w:rPr>
        <w:t xml:space="preserve"> </w:t>
      </w:r>
    </w:p>
  </w:footnote>
  <w:footnote w:id="78">
    <w:p w:rsidR="00DE4A2A" w:rsidRPr="0058554D" w:rsidRDefault="00DE4A2A" w:rsidP="00C96A4B">
      <w:pPr>
        <w:autoSpaceDE w:val="0"/>
        <w:autoSpaceDN w:val="0"/>
        <w:adjustRightInd w:val="0"/>
        <w:ind w:left="180" w:hanging="180"/>
        <w:jc w:val="both"/>
        <w:rPr>
          <w:rFonts w:cs="Arial"/>
          <w:sz w:val="18"/>
          <w:szCs w:val="18"/>
          <w:lang w:val="en-US"/>
        </w:rPr>
      </w:pPr>
      <w:r w:rsidRPr="0058554D">
        <w:rPr>
          <w:rStyle w:val="FootnoteReference"/>
          <w:rFonts w:cs="Arial"/>
          <w:sz w:val="18"/>
          <w:szCs w:val="18"/>
        </w:rPr>
        <w:footnoteRef/>
      </w:r>
      <w:r>
        <w:rPr>
          <w:rFonts w:cs="Arial"/>
          <w:sz w:val="18"/>
          <w:szCs w:val="18"/>
          <w:lang w:val="en-US"/>
        </w:rPr>
        <w:tab/>
      </w:r>
      <w:r w:rsidRPr="0058554D">
        <w:rPr>
          <w:rFonts w:cs="Arial"/>
          <w:sz w:val="18"/>
          <w:szCs w:val="18"/>
          <w:lang w:val="en-US"/>
        </w:rPr>
        <w:t xml:space="preserve">The net weekly rates of NZS/VP must </w:t>
      </w:r>
      <w:r>
        <w:rPr>
          <w:rFonts w:cs="Arial"/>
          <w:sz w:val="18"/>
          <w:szCs w:val="18"/>
          <w:lang w:val="en-US"/>
        </w:rPr>
        <w:t xml:space="preserve">by law </w:t>
      </w:r>
      <w:r w:rsidRPr="0058554D">
        <w:rPr>
          <w:rFonts w:cs="Arial"/>
          <w:sz w:val="18"/>
          <w:szCs w:val="18"/>
          <w:lang w:val="en-US"/>
        </w:rPr>
        <w:t>be adjusted on 1 April</w:t>
      </w:r>
      <w:r>
        <w:rPr>
          <w:rFonts w:cs="Arial"/>
          <w:sz w:val="18"/>
          <w:szCs w:val="18"/>
          <w:lang w:val="en-US"/>
        </w:rPr>
        <w:t xml:space="preserve"> </w:t>
      </w:r>
      <w:r w:rsidRPr="0058554D">
        <w:rPr>
          <w:rFonts w:cs="Arial"/>
          <w:sz w:val="18"/>
          <w:szCs w:val="18"/>
          <w:lang w:val="en-US"/>
        </w:rPr>
        <w:t>each year, in line with any annual percentage increa</w:t>
      </w:r>
      <w:r>
        <w:rPr>
          <w:rFonts w:cs="Arial"/>
          <w:sz w:val="18"/>
          <w:szCs w:val="18"/>
          <w:lang w:val="en-US"/>
        </w:rPr>
        <w:t xml:space="preserve">se in the Consumers Price Index </w:t>
      </w:r>
      <w:r w:rsidRPr="0058554D">
        <w:rPr>
          <w:rFonts w:cs="Arial"/>
          <w:sz w:val="18"/>
          <w:szCs w:val="18"/>
          <w:lang w:val="en-US"/>
        </w:rPr>
        <w:t>(</w:t>
      </w:r>
      <w:smartTag w:uri="urn:schemas-microsoft-com:office:smarttags" w:element="stockticker">
        <w:r w:rsidRPr="0058554D">
          <w:rPr>
            <w:rFonts w:cs="Arial"/>
            <w:sz w:val="18"/>
            <w:szCs w:val="18"/>
            <w:lang w:val="en-US"/>
          </w:rPr>
          <w:t>CPI</w:t>
        </w:r>
      </w:smartTag>
      <w:r w:rsidRPr="0058554D">
        <w:rPr>
          <w:rFonts w:cs="Arial"/>
          <w:sz w:val="18"/>
          <w:szCs w:val="18"/>
          <w:lang w:val="en-US"/>
        </w:rPr>
        <w:t>) for the year ending the previous 31 December.</w:t>
      </w:r>
      <w:r>
        <w:rPr>
          <w:rFonts w:cs="Arial"/>
          <w:sz w:val="18"/>
          <w:szCs w:val="18"/>
          <w:lang w:val="en-US"/>
        </w:rPr>
        <w:t xml:space="preserve">   </w:t>
      </w:r>
      <w:r w:rsidRPr="0058554D">
        <w:rPr>
          <w:rFonts w:cs="Arial"/>
          <w:sz w:val="18"/>
          <w:szCs w:val="18"/>
          <w:lang w:val="en-US"/>
        </w:rPr>
        <w:t>After this adjustment, the after-tax weekly amount</w:t>
      </w:r>
      <w:r>
        <w:rPr>
          <w:rFonts w:cs="Arial"/>
          <w:sz w:val="18"/>
          <w:szCs w:val="18"/>
          <w:lang w:val="en-US"/>
        </w:rPr>
        <w:t xml:space="preserve"> of NZS/VP payable to a married couple (where both </w:t>
      </w:r>
      <w:r w:rsidRPr="0058554D">
        <w:rPr>
          <w:rFonts w:cs="Arial"/>
          <w:sz w:val="18"/>
          <w:szCs w:val="18"/>
          <w:lang w:val="en-US"/>
        </w:rPr>
        <w:t>qualify) must be at least 65 per cent</w:t>
      </w:r>
      <w:r>
        <w:rPr>
          <w:rFonts w:cs="Arial"/>
          <w:sz w:val="18"/>
          <w:szCs w:val="18"/>
          <w:lang w:val="en-US"/>
        </w:rPr>
        <w:t xml:space="preserve"> of the average wage after tax (NAOTWE), </w:t>
      </w:r>
      <w:r w:rsidRPr="0058554D">
        <w:rPr>
          <w:rFonts w:cs="Arial"/>
          <w:sz w:val="18"/>
          <w:szCs w:val="18"/>
          <w:lang w:val="en-US"/>
        </w:rPr>
        <w:t>but cannot be greater than 72.5 per cent of the averag</w:t>
      </w:r>
      <w:r>
        <w:rPr>
          <w:rFonts w:cs="Arial"/>
          <w:sz w:val="18"/>
          <w:szCs w:val="18"/>
          <w:lang w:val="en-US"/>
        </w:rPr>
        <w:t xml:space="preserve">e wage after tax. It is current </w:t>
      </w:r>
      <w:r w:rsidRPr="0058554D">
        <w:rPr>
          <w:rFonts w:cs="Arial"/>
          <w:sz w:val="18"/>
          <w:szCs w:val="18"/>
          <w:lang w:val="en-US"/>
        </w:rPr>
        <w:t>Government policy to ensure that the after-tax married</w:t>
      </w:r>
      <w:r>
        <w:rPr>
          <w:rFonts w:cs="Arial"/>
          <w:sz w:val="18"/>
          <w:szCs w:val="18"/>
          <w:lang w:val="en-US"/>
        </w:rPr>
        <w:t xml:space="preserve"> couple rate is maintained at a </w:t>
      </w:r>
      <w:r w:rsidRPr="0058554D">
        <w:rPr>
          <w:rFonts w:cs="Arial"/>
          <w:sz w:val="18"/>
          <w:szCs w:val="18"/>
          <w:lang w:val="en-US"/>
        </w:rPr>
        <w:t>minimum of 66 per cent of the average wage afte</w:t>
      </w:r>
      <w:r>
        <w:rPr>
          <w:rFonts w:cs="Arial"/>
          <w:sz w:val="18"/>
          <w:szCs w:val="18"/>
          <w:lang w:val="en-US"/>
        </w:rPr>
        <w:t xml:space="preserve">r tax. </w:t>
      </w:r>
      <w:r w:rsidRPr="0058554D">
        <w:rPr>
          <w:rFonts w:cs="Arial"/>
          <w:sz w:val="18"/>
          <w:szCs w:val="18"/>
          <w:lang w:val="en-US"/>
        </w:rPr>
        <w:t xml:space="preserve"> If the after-tax married couple rate after the </w:t>
      </w:r>
      <w:smartTag w:uri="urn:schemas-microsoft-com:office:smarttags" w:element="stockticker">
        <w:r w:rsidRPr="0058554D">
          <w:rPr>
            <w:rFonts w:cs="Arial"/>
            <w:sz w:val="18"/>
            <w:szCs w:val="18"/>
            <w:lang w:val="en-US"/>
          </w:rPr>
          <w:t>CPI</w:t>
        </w:r>
      </w:smartTag>
      <w:r w:rsidRPr="0058554D">
        <w:rPr>
          <w:rFonts w:cs="Arial"/>
          <w:sz w:val="18"/>
          <w:szCs w:val="18"/>
          <w:lang w:val="en-US"/>
        </w:rPr>
        <w:t xml:space="preserve"> adjustm</w:t>
      </w:r>
      <w:r>
        <w:rPr>
          <w:rFonts w:cs="Arial"/>
          <w:sz w:val="18"/>
          <w:szCs w:val="18"/>
          <w:lang w:val="en-US"/>
        </w:rPr>
        <w:t xml:space="preserve">ent is less than 66 per cent of </w:t>
      </w:r>
      <w:r w:rsidRPr="0058554D">
        <w:rPr>
          <w:rFonts w:cs="Arial"/>
          <w:sz w:val="18"/>
          <w:szCs w:val="18"/>
          <w:lang w:val="en-US"/>
        </w:rPr>
        <w:t>the average wage after tax, a further adjustment is ma</w:t>
      </w:r>
      <w:r>
        <w:rPr>
          <w:rFonts w:cs="Arial"/>
          <w:sz w:val="18"/>
          <w:szCs w:val="18"/>
          <w:lang w:val="en-US"/>
        </w:rPr>
        <w:t xml:space="preserve">de to bring the rate up to this </w:t>
      </w:r>
      <w:r w:rsidRPr="0058554D">
        <w:rPr>
          <w:rFonts w:cs="Arial"/>
          <w:sz w:val="18"/>
          <w:szCs w:val="18"/>
          <w:lang w:val="en-US"/>
        </w:rPr>
        <w:t>level. Following the price and wage adjustment, the single sharing and</w:t>
      </w:r>
      <w:r>
        <w:rPr>
          <w:rFonts w:cs="Arial"/>
          <w:sz w:val="18"/>
          <w:szCs w:val="18"/>
          <w:lang w:val="en-US"/>
        </w:rPr>
        <w:t xml:space="preserve"> living alone rates </w:t>
      </w:r>
      <w:r w:rsidRPr="0058554D">
        <w:rPr>
          <w:rFonts w:cs="Arial"/>
          <w:sz w:val="18"/>
          <w:szCs w:val="18"/>
          <w:lang w:val="en-US"/>
        </w:rPr>
        <w:t>are set at:</w:t>
      </w:r>
    </w:p>
    <w:p w:rsidR="00DE4A2A" w:rsidRPr="0058554D" w:rsidRDefault="00DE4A2A" w:rsidP="00C96A4B">
      <w:pPr>
        <w:autoSpaceDE w:val="0"/>
        <w:autoSpaceDN w:val="0"/>
        <w:adjustRightInd w:val="0"/>
        <w:ind w:left="540" w:hanging="180"/>
        <w:jc w:val="both"/>
        <w:rPr>
          <w:rFonts w:cs="Arial"/>
          <w:sz w:val="18"/>
          <w:szCs w:val="18"/>
          <w:lang w:val="en-US"/>
        </w:rPr>
      </w:pPr>
      <w:r w:rsidRPr="0058554D">
        <w:rPr>
          <w:rFonts w:cs="Arial"/>
          <w:sz w:val="18"/>
          <w:szCs w:val="18"/>
          <w:lang w:val="en-US"/>
        </w:rPr>
        <w:t xml:space="preserve">• </w:t>
      </w:r>
      <w:r>
        <w:rPr>
          <w:rFonts w:cs="Arial"/>
          <w:sz w:val="18"/>
          <w:szCs w:val="18"/>
          <w:lang w:val="en-US"/>
        </w:rPr>
        <w:tab/>
      </w:r>
      <w:r w:rsidRPr="0058554D">
        <w:rPr>
          <w:rFonts w:cs="Arial"/>
          <w:sz w:val="18"/>
          <w:szCs w:val="18"/>
          <w:lang w:val="en-US"/>
        </w:rPr>
        <w:t>a lower rate of 60 per cent of the married couple rate for single people sharing</w:t>
      </w:r>
      <w:r>
        <w:rPr>
          <w:rFonts w:cs="Arial"/>
          <w:sz w:val="18"/>
          <w:szCs w:val="18"/>
          <w:lang w:val="en-US"/>
        </w:rPr>
        <w:t xml:space="preserve"> </w:t>
      </w:r>
      <w:r w:rsidRPr="0058554D">
        <w:rPr>
          <w:rFonts w:cs="Arial"/>
          <w:sz w:val="18"/>
          <w:szCs w:val="18"/>
          <w:lang w:val="en-US"/>
        </w:rPr>
        <w:t>accommodation</w:t>
      </w:r>
    </w:p>
    <w:p w:rsidR="00DE4A2A" w:rsidRPr="0058554D" w:rsidRDefault="00DE4A2A" w:rsidP="00C96A4B">
      <w:pPr>
        <w:autoSpaceDE w:val="0"/>
        <w:autoSpaceDN w:val="0"/>
        <w:adjustRightInd w:val="0"/>
        <w:ind w:left="540" w:hanging="180"/>
        <w:jc w:val="both"/>
        <w:rPr>
          <w:rFonts w:cs="Arial"/>
          <w:sz w:val="18"/>
          <w:szCs w:val="18"/>
          <w:lang w:val="en-US"/>
        </w:rPr>
      </w:pPr>
      <w:r w:rsidRPr="0058554D">
        <w:rPr>
          <w:rFonts w:cs="Arial"/>
          <w:sz w:val="18"/>
          <w:szCs w:val="18"/>
          <w:lang w:val="en-US"/>
        </w:rPr>
        <w:t xml:space="preserve">• </w:t>
      </w:r>
      <w:r>
        <w:rPr>
          <w:rFonts w:cs="Arial"/>
          <w:sz w:val="18"/>
          <w:szCs w:val="18"/>
          <w:lang w:val="en-US"/>
        </w:rPr>
        <w:tab/>
      </w:r>
      <w:r w:rsidRPr="0058554D">
        <w:rPr>
          <w:rFonts w:cs="Arial"/>
          <w:sz w:val="18"/>
          <w:szCs w:val="18"/>
          <w:lang w:val="en-US"/>
        </w:rPr>
        <w:t>a higher rate of 65 per cent of the married couple rate</w:t>
      </w:r>
      <w:r>
        <w:rPr>
          <w:rFonts w:cs="Arial"/>
          <w:sz w:val="18"/>
          <w:szCs w:val="18"/>
          <w:lang w:val="en-US"/>
        </w:rPr>
        <w:t xml:space="preserve"> for single people who are </w:t>
      </w:r>
      <w:r w:rsidRPr="0058554D">
        <w:rPr>
          <w:rFonts w:cs="Arial"/>
          <w:sz w:val="18"/>
          <w:szCs w:val="18"/>
          <w:lang w:val="en-US"/>
        </w:rPr>
        <w:t>living alone (and qualify for the Living Alone Payment).</w:t>
      </w:r>
    </w:p>
    <w:p w:rsidR="00DE4A2A" w:rsidRPr="0058554D" w:rsidRDefault="00DE4A2A" w:rsidP="00C96A4B">
      <w:pPr>
        <w:autoSpaceDE w:val="0"/>
        <w:autoSpaceDN w:val="0"/>
        <w:adjustRightInd w:val="0"/>
        <w:ind w:left="720" w:hanging="180"/>
        <w:rPr>
          <w:rFonts w:cs="Arial"/>
          <w:sz w:val="18"/>
          <w:szCs w:val="18"/>
          <w:lang w:val="en-US"/>
        </w:rPr>
      </w:pPr>
    </w:p>
    <w:p w:rsidR="00DE4A2A" w:rsidRPr="00E94FEF" w:rsidRDefault="00DE4A2A" w:rsidP="00C96A4B">
      <w:pPr>
        <w:pStyle w:val="FootnoteText"/>
        <w:ind w:left="180" w:hanging="180"/>
        <w:rPr>
          <w:sz w:val="18"/>
          <w:szCs w:val="18"/>
          <w:lang w:val="en-NZ"/>
        </w:rPr>
      </w:pPr>
    </w:p>
  </w:footnote>
  <w:footnote w:id="79">
    <w:p w:rsidR="00DE4A2A" w:rsidRPr="00FF163C" w:rsidRDefault="00DE4A2A" w:rsidP="00C96A4B">
      <w:pPr>
        <w:pStyle w:val="FootnoteText"/>
        <w:ind w:left="270" w:hanging="270"/>
        <w:rPr>
          <w:sz w:val="18"/>
          <w:szCs w:val="18"/>
          <w:lang w:val="en-NZ"/>
        </w:rPr>
      </w:pPr>
      <w:r w:rsidRPr="00FF163C">
        <w:rPr>
          <w:rStyle w:val="FootnoteReference"/>
          <w:sz w:val="18"/>
          <w:szCs w:val="18"/>
        </w:rPr>
        <w:footnoteRef/>
      </w:r>
      <w:r w:rsidRPr="00FF163C">
        <w:rPr>
          <w:sz w:val="18"/>
          <w:szCs w:val="18"/>
        </w:rPr>
        <w:t xml:space="preserve"> </w:t>
      </w:r>
      <w:r>
        <w:rPr>
          <w:sz w:val="18"/>
          <w:szCs w:val="18"/>
        </w:rPr>
        <w:tab/>
      </w:r>
      <w:r w:rsidRPr="00FF163C">
        <w:rPr>
          <w:rFonts w:cs="Arial"/>
          <w:sz w:val="18"/>
          <w:szCs w:val="18"/>
          <w:lang w:val="en-NZ"/>
        </w:rPr>
        <w:t xml:space="preserve">The </w:t>
      </w:r>
      <w:r>
        <w:rPr>
          <w:rFonts w:cs="Arial"/>
          <w:sz w:val="18"/>
          <w:szCs w:val="18"/>
          <w:lang w:val="en-NZ"/>
        </w:rPr>
        <w:t>‘blip’ in</w:t>
      </w:r>
      <w:r w:rsidRPr="00FF163C">
        <w:rPr>
          <w:rFonts w:cs="Arial"/>
          <w:sz w:val="18"/>
          <w:szCs w:val="18"/>
          <w:lang w:val="en-NZ"/>
        </w:rPr>
        <w:t xml:space="preserve"> 2007 reflects the unusually large number of older New Zealanders reporting incomes below the level of NZS </w:t>
      </w:r>
      <w:r>
        <w:rPr>
          <w:rFonts w:cs="Arial"/>
          <w:sz w:val="18"/>
          <w:szCs w:val="18"/>
          <w:lang w:val="en-NZ"/>
        </w:rPr>
        <w:t>in that survey.</w:t>
      </w:r>
    </w:p>
  </w:footnote>
  <w:footnote w:id="80">
    <w:p w:rsidR="00DE4A2A" w:rsidRPr="002E1764" w:rsidRDefault="00DE4A2A" w:rsidP="00C96A4B">
      <w:pPr>
        <w:pStyle w:val="FootnoteText"/>
        <w:spacing w:after="60"/>
        <w:ind w:left="274" w:hanging="274"/>
        <w:rPr>
          <w:sz w:val="18"/>
          <w:szCs w:val="18"/>
          <w:lang w:val="en-NZ"/>
        </w:rPr>
      </w:pPr>
      <w:r w:rsidRPr="002E1764">
        <w:rPr>
          <w:rStyle w:val="FootnoteReference"/>
          <w:sz w:val="18"/>
          <w:szCs w:val="18"/>
        </w:rPr>
        <w:footnoteRef/>
      </w:r>
      <w:r w:rsidRPr="002E1764">
        <w:rPr>
          <w:sz w:val="18"/>
          <w:szCs w:val="18"/>
        </w:rPr>
        <w:t xml:space="preserve"> </w:t>
      </w:r>
      <w:r w:rsidRPr="002E1764">
        <w:rPr>
          <w:sz w:val="18"/>
          <w:szCs w:val="18"/>
        </w:rPr>
        <w:tab/>
        <w:t>The HES gathers information on those in private residences.  This means that older New Zealanders in residential care are not included in the survey findings.</w:t>
      </w:r>
    </w:p>
  </w:footnote>
  <w:footnote w:id="81">
    <w:p w:rsidR="00DE4A2A" w:rsidRPr="00F82AC7" w:rsidRDefault="00DE4A2A" w:rsidP="00C96A4B">
      <w:pPr>
        <w:pStyle w:val="Heading1"/>
        <w:ind w:left="270" w:hanging="270"/>
        <w:jc w:val="both"/>
        <w:rPr>
          <w:b w:val="0"/>
          <w:sz w:val="18"/>
          <w:szCs w:val="18"/>
          <w:lang w:val="en-GB"/>
        </w:rPr>
      </w:pPr>
      <w:r w:rsidRPr="00F82AC7">
        <w:rPr>
          <w:rStyle w:val="FootnoteReference"/>
          <w:b w:val="0"/>
          <w:sz w:val="18"/>
          <w:szCs w:val="18"/>
        </w:rPr>
        <w:footnoteRef/>
      </w:r>
      <w:r w:rsidRPr="00F82AC7">
        <w:rPr>
          <w:b w:val="0"/>
          <w:sz w:val="18"/>
          <w:szCs w:val="18"/>
        </w:rPr>
        <w:t xml:space="preserve"> </w:t>
      </w:r>
      <w:r w:rsidRPr="00F82AC7">
        <w:rPr>
          <w:b w:val="0"/>
          <w:sz w:val="18"/>
          <w:szCs w:val="18"/>
        </w:rPr>
        <w:tab/>
        <w:t xml:space="preserve">In all other places this report uses the household as the income sharing unit, as the focus is usually on (household) income as an indicator of material wellbeing.  This subsection has a different focus – the sources of income for older New Zealanders – and it uses the </w:t>
      </w:r>
      <w:smartTag w:uri="urn:schemas-microsoft-com:office:smarttags" w:element="stockticker">
        <w:r w:rsidRPr="00F82AC7">
          <w:rPr>
            <w:b w:val="0"/>
            <w:sz w:val="18"/>
            <w:szCs w:val="18"/>
          </w:rPr>
          <w:t>EFU</w:t>
        </w:r>
      </w:smartTag>
      <w:r w:rsidRPr="00F82AC7">
        <w:rPr>
          <w:b w:val="0"/>
          <w:sz w:val="18"/>
          <w:szCs w:val="18"/>
        </w:rPr>
        <w:t xml:space="preserve"> as the income sharing unit rather than the household, as the </w:t>
      </w:r>
      <w:smartTag w:uri="urn:schemas-microsoft-com:office:smarttags" w:element="stockticker">
        <w:r w:rsidRPr="00F82AC7">
          <w:rPr>
            <w:b w:val="0"/>
            <w:sz w:val="18"/>
            <w:szCs w:val="18"/>
          </w:rPr>
          <w:t>EFU</w:t>
        </w:r>
      </w:smartTag>
      <w:r w:rsidRPr="00F82AC7">
        <w:rPr>
          <w:b w:val="0"/>
          <w:sz w:val="18"/>
          <w:szCs w:val="18"/>
        </w:rPr>
        <w:t xml:space="preserve"> is better suited for the task.  Some older New Zealanders live in wider households and share in and/or contribute to the overall standard of living of the household, sometimes having their living standards raised by the participation and sometimes having them lowered (eg where the rest of the household contributes little other income).  Using the </w:t>
      </w:r>
      <w:smartTag w:uri="urn:schemas-microsoft-com:office:smarttags" w:element="stockticker">
        <w:r w:rsidRPr="00F82AC7">
          <w:rPr>
            <w:b w:val="0"/>
            <w:sz w:val="18"/>
            <w:szCs w:val="18"/>
          </w:rPr>
          <w:t>EFU</w:t>
        </w:r>
      </w:smartTag>
      <w:r w:rsidRPr="00F82AC7">
        <w:rPr>
          <w:b w:val="0"/>
          <w:sz w:val="18"/>
          <w:szCs w:val="18"/>
        </w:rPr>
        <w:t xml:space="preserve"> enables the analysis to look just at the 66+ units to report their income sources, distinct from the incomes of the rest of the household. </w:t>
      </w:r>
      <w:r>
        <w:rPr>
          <w:b w:val="0"/>
          <w:sz w:val="18"/>
          <w:szCs w:val="18"/>
        </w:rPr>
        <w:t xml:space="preserve"> </w:t>
      </w:r>
      <w:r w:rsidRPr="00F82AC7">
        <w:rPr>
          <w:b w:val="0"/>
          <w:sz w:val="18"/>
          <w:szCs w:val="18"/>
        </w:rPr>
        <w:t>A small proportion of 66+ EFUs have dependent children.  Inclusion of these EFUs has no significant impact on the analysis which follows.</w:t>
      </w:r>
    </w:p>
  </w:footnote>
  <w:footnote w:id="82">
    <w:p w:rsidR="00DE4A2A" w:rsidRPr="00C906BE" w:rsidRDefault="00DE4A2A" w:rsidP="00C96A4B">
      <w:pPr>
        <w:pStyle w:val="FootnoteText"/>
        <w:ind w:left="270" w:hanging="270"/>
        <w:rPr>
          <w:sz w:val="18"/>
          <w:szCs w:val="18"/>
          <w:lang w:val="en-NZ"/>
        </w:rPr>
      </w:pPr>
      <w:r w:rsidRPr="00C906BE">
        <w:rPr>
          <w:rStyle w:val="FootnoteReference"/>
          <w:sz w:val="18"/>
          <w:szCs w:val="18"/>
        </w:rPr>
        <w:footnoteRef/>
      </w:r>
      <w:r w:rsidRPr="00C906BE">
        <w:rPr>
          <w:sz w:val="18"/>
          <w:szCs w:val="18"/>
        </w:rPr>
        <w:t xml:space="preserve"> </w:t>
      </w:r>
      <w:r>
        <w:rPr>
          <w:sz w:val="18"/>
          <w:szCs w:val="18"/>
        </w:rPr>
        <w:tab/>
      </w:r>
      <w:r w:rsidRPr="00C906BE">
        <w:rPr>
          <w:sz w:val="18"/>
          <w:szCs w:val="18"/>
        </w:rPr>
        <w:t>That is, $100 nominal in 2007, 2008 and 2009.</w:t>
      </w:r>
    </w:p>
  </w:footnote>
  <w:footnote w:id="83">
    <w:p w:rsidR="00DE4A2A" w:rsidRPr="00495ACB" w:rsidRDefault="00DE4A2A" w:rsidP="00EE3232">
      <w:pPr>
        <w:widowControl w:val="0"/>
        <w:autoSpaceDE w:val="0"/>
        <w:autoSpaceDN w:val="0"/>
        <w:adjustRightInd w:val="0"/>
        <w:spacing w:after="60"/>
        <w:ind w:left="270" w:hanging="270"/>
        <w:rPr>
          <w:sz w:val="18"/>
          <w:szCs w:val="18"/>
        </w:rPr>
      </w:pPr>
      <w:r w:rsidRPr="00495ACB">
        <w:rPr>
          <w:rStyle w:val="FootnoteReference"/>
          <w:sz w:val="18"/>
          <w:szCs w:val="18"/>
        </w:rPr>
        <w:footnoteRef/>
      </w:r>
      <w:r>
        <w:rPr>
          <w:sz w:val="18"/>
          <w:szCs w:val="18"/>
        </w:rPr>
        <w:t xml:space="preserve"> </w:t>
      </w:r>
      <w:r>
        <w:rPr>
          <w:sz w:val="18"/>
          <w:szCs w:val="18"/>
        </w:rPr>
        <w:tab/>
      </w:r>
      <w:r w:rsidRPr="00495ACB">
        <w:rPr>
          <w:sz w:val="18"/>
          <w:szCs w:val="18"/>
        </w:rPr>
        <w:t>The latest OECD synthes</w:t>
      </w:r>
      <w:r>
        <w:rPr>
          <w:sz w:val="18"/>
          <w:szCs w:val="18"/>
        </w:rPr>
        <w:t>es</w:t>
      </w:r>
      <w:r w:rsidRPr="00495ACB">
        <w:rPr>
          <w:sz w:val="18"/>
          <w:szCs w:val="18"/>
        </w:rPr>
        <w:t xml:space="preserve"> of the national reports </w:t>
      </w:r>
      <w:r>
        <w:rPr>
          <w:sz w:val="18"/>
          <w:szCs w:val="18"/>
        </w:rPr>
        <w:t xml:space="preserve">are found in the 2011 </w:t>
      </w:r>
      <w:r w:rsidRPr="00DA2F4C">
        <w:rPr>
          <w:i/>
          <w:sz w:val="18"/>
          <w:szCs w:val="18"/>
        </w:rPr>
        <w:t>Society at a Glance</w:t>
      </w:r>
      <w:r>
        <w:rPr>
          <w:sz w:val="18"/>
          <w:szCs w:val="18"/>
        </w:rPr>
        <w:t xml:space="preserve"> and </w:t>
      </w:r>
      <w:r w:rsidRPr="00DA2F4C">
        <w:rPr>
          <w:i/>
          <w:sz w:val="18"/>
          <w:szCs w:val="18"/>
        </w:rPr>
        <w:t>Pensions at a Glance</w:t>
      </w:r>
      <w:r>
        <w:rPr>
          <w:sz w:val="18"/>
          <w:szCs w:val="18"/>
        </w:rPr>
        <w:t xml:space="preserve"> publications, and papers prepared for OECD Social Ministers meetings held in May 2011.  There is also valuable material in</w:t>
      </w:r>
      <w:r w:rsidRPr="00495ACB">
        <w:rPr>
          <w:sz w:val="18"/>
          <w:szCs w:val="18"/>
        </w:rPr>
        <w:t xml:space="preserve"> </w:t>
      </w:r>
      <w:r w:rsidRPr="00495ACB">
        <w:rPr>
          <w:i/>
          <w:sz w:val="18"/>
          <w:szCs w:val="18"/>
        </w:rPr>
        <w:t>Growing Unequal</w:t>
      </w:r>
      <w:r>
        <w:rPr>
          <w:i/>
          <w:sz w:val="18"/>
          <w:szCs w:val="18"/>
        </w:rPr>
        <w:t>:  income distribut</w:t>
      </w:r>
      <w:r w:rsidRPr="00495ACB">
        <w:rPr>
          <w:i/>
          <w:sz w:val="18"/>
          <w:szCs w:val="18"/>
        </w:rPr>
        <w:t>ion and poverty in OECD countries</w:t>
      </w:r>
      <w:r>
        <w:rPr>
          <w:sz w:val="18"/>
          <w:szCs w:val="18"/>
        </w:rPr>
        <w:t>, published in 2008.</w:t>
      </w:r>
    </w:p>
  </w:footnote>
  <w:footnote w:id="84">
    <w:p w:rsidR="00DE4A2A" w:rsidRPr="00F51E2D" w:rsidRDefault="00DE4A2A" w:rsidP="00EE3232">
      <w:pPr>
        <w:pStyle w:val="FootnoteText"/>
        <w:spacing w:after="60"/>
        <w:ind w:left="270" w:hanging="270"/>
        <w:jc w:val="both"/>
        <w:rPr>
          <w:sz w:val="18"/>
          <w:szCs w:val="18"/>
        </w:rPr>
      </w:pPr>
      <w:r w:rsidRPr="00495ACB">
        <w:rPr>
          <w:rStyle w:val="FootnoteReference"/>
          <w:sz w:val="18"/>
          <w:szCs w:val="18"/>
        </w:rPr>
        <w:footnoteRef/>
      </w:r>
      <w:r>
        <w:rPr>
          <w:sz w:val="18"/>
          <w:szCs w:val="18"/>
        </w:rPr>
        <w:t xml:space="preserve"> </w:t>
      </w:r>
      <w:r>
        <w:rPr>
          <w:sz w:val="18"/>
          <w:szCs w:val="18"/>
        </w:rPr>
        <w:tab/>
      </w:r>
      <w:r w:rsidRPr="00495ACB">
        <w:rPr>
          <w:sz w:val="18"/>
          <w:szCs w:val="18"/>
        </w:rPr>
        <w:t>See Appendix 3 for comparisons of trends using different equivalence scales</w:t>
      </w:r>
      <w:r>
        <w:rPr>
          <w:sz w:val="18"/>
          <w:szCs w:val="18"/>
        </w:rPr>
        <w:t>.</w:t>
      </w:r>
    </w:p>
  </w:footnote>
  <w:footnote w:id="85">
    <w:p w:rsidR="00DE4A2A" w:rsidRPr="001647D1" w:rsidRDefault="00DE4A2A" w:rsidP="00EE3232">
      <w:pPr>
        <w:pStyle w:val="FootnoteText"/>
        <w:ind w:left="270" w:hanging="270"/>
        <w:rPr>
          <w:sz w:val="18"/>
          <w:szCs w:val="18"/>
          <w:lang w:val="en-NZ"/>
        </w:rPr>
      </w:pPr>
      <w:r w:rsidRPr="001647D1">
        <w:rPr>
          <w:rStyle w:val="FootnoteReference"/>
          <w:sz w:val="18"/>
          <w:szCs w:val="18"/>
        </w:rPr>
        <w:footnoteRef/>
      </w:r>
      <w:r w:rsidRPr="001647D1">
        <w:rPr>
          <w:sz w:val="18"/>
          <w:szCs w:val="18"/>
        </w:rPr>
        <w:t xml:space="preserve"> </w:t>
      </w:r>
      <w:r>
        <w:rPr>
          <w:sz w:val="18"/>
          <w:szCs w:val="18"/>
        </w:rPr>
        <w:tab/>
        <w:t xml:space="preserve">See, </w:t>
      </w:r>
      <w:r w:rsidRPr="001647D1">
        <w:rPr>
          <w:sz w:val="18"/>
          <w:szCs w:val="18"/>
        </w:rPr>
        <w:t>for example</w:t>
      </w:r>
      <w:r>
        <w:rPr>
          <w:sz w:val="18"/>
          <w:szCs w:val="18"/>
        </w:rPr>
        <w:t>,</w:t>
      </w:r>
      <w:r w:rsidRPr="001647D1">
        <w:rPr>
          <w:sz w:val="18"/>
          <w:szCs w:val="18"/>
        </w:rPr>
        <w:t xml:space="preserve"> Fahey (2007).</w:t>
      </w:r>
    </w:p>
  </w:footnote>
  <w:footnote w:id="86">
    <w:p w:rsidR="00DE4A2A" w:rsidRPr="00637E2C" w:rsidRDefault="00DE4A2A" w:rsidP="00EE3232">
      <w:pPr>
        <w:pStyle w:val="FootnoteText"/>
        <w:spacing w:after="60"/>
        <w:ind w:left="274" w:hanging="274"/>
        <w:jc w:val="both"/>
        <w:rPr>
          <w:sz w:val="18"/>
          <w:szCs w:val="18"/>
        </w:rPr>
      </w:pPr>
      <w:r w:rsidRPr="00637E2C">
        <w:rPr>
          <w:rStyle w:val="FootnoteReference"/>
          <w:sz w:val="18"/>
          <w:szCs w:val="18"/>
        </w:rPr>
        <w:footnoteRef/>
      </w:r>
      <w:r w:rsidRPr="00637E2C">
        <w:rPr>
          <w:sz w:val="18"/>
          <w:szCs w:val="18"/>
        </w:rPr>
        <w:t xml:space="preserve"> </w:t>
      </w:r>
      <w:r>
        <w:rPr>
          <w:sz w:val="18"/>
          <w:szCs w:val="18"/>
        </w:rPr>
        <w:tab/>
        <w:t>See Boarini and Mira d’Ercole (2006), and OECD (2008).</w:t>
      </w:r>
    </w:p>
  </w:footnote>
  <w:footnote w:id="87">
    <w:p w:rsidR="00DE4A2A" w:rsidRPr="00E850EA" w:rsidRDefault="00DE4A2A" w:rsidP="00EE3232">
      <w:pPr>
        <w:pStyle w:val="FootnoteText"/>
        <w:spacing w:after="60"/>
        <w:ind w:left="274" w:hanging="274"/>
        <w:rPr>
          <w:sz w:val="18"/>
          <w:szCs w:val="18"/>
          <w:lang w:val="en-NZ"/>
        </w:rPr>
      </w:pPr>
      <w:r w:rsidRPr="00E850EA">
        <w:rPr>
          <w:rStyle w:val="FootnoteReference"/>
          <w:sz w:val="18"/>
          <w:szCs w:val="18"/>
        </w:rPr>
        <w:footnoteRef/>
      </w:r>
      <w:r w:rsidRPr="00E850EA">
        <w:rPr>
          <w:sz w:val="18"/>
          <w:szCs w:val="18"/>
        </w:rPr>
        <w:t xml:space="preserve"> </w:t>
      </w:r>
      <w:r>
        <w:rPr>
          <w:sz w:val="18"/>
          <w:szCs w:val="18"/>
        </w:rPr>
        <w:tab/>
      </w:r>
      <w:r w:rsidRPr="00E850EA">
        <w:rPr>
          <w:sz w:val="18"/>
          <w:szCs w:val="18"/>
        </w:rPr>
        <w:t>See Perry (2009), Section D, pp29ff</w:t>
      </w:r>
      <w:r>
        <w:rPr>
          <w:sz w:val="18"/>
          <w:szCs w:val="18"/>
        </w:rPr>
        <w:t>.</w:t>
      </w:r>
    </w:p>
  </w:footnote>
  <w:footnote w:id="88">
    <w:p w:rsidR="00DE4A2A" w:rsidRPr="0087207A" w:rsidRDefault="00DE4A2A" w:rsidP="00EE3232">
      <w:pPr>
        <w:pStyle w:val="ReportBody"/>
        <w:numPr>
          <w:ilvl w:val="0"/>
          <w:numId w:val="0"/>
        </w:numPr>
        <w:spacing w:after="60" w:line="240" w:lineRule="auto"/>
        <w:ind w:left="274" w:hanging="274"/>
        <w:rPr>
          <w:sz w:val="18"/>
          <w:szCs w:val="18"/>
        </w:rPr>
      </w:pPr>
      <w:r w:rsidRPr="0087207A">
        <w:rPr>
          <w:rStyle w:val="FootnoteReference"/>
          <w:sz w:val="18"/>
          <w:szCs w:val="18"/>
        </w:rPr>
        <w:footnoteRef/>
      </w:r>
      <w:r w:rsidRPr="0087207A">
        <w:t xml:space="preserve"> </w:t>
      </w:r>
      <w:r>
        <w:tab/>
      </w:r>
      <w:r w:rsidRPr="0087207A">
        <w:rPr>
          <w:sz w:val="18"/>
          <w:szCs w:val="18"/>
        </w:rPr>
        <w:t>Because international league tables almost always use ‘moving line’ (</w:t>
      </w:r>
      <w:smartTag w:uri="urn:schemas-microsoft-com:office:smarttags" w:element="stockticker">
        <w:r w:rsidRPr="0087207A">
          <w:rPr>
            <w:sz w:val="18"/>
            <w:szCs w:val="18"/>
          </w:rPr>
          <w:t>REL</w:t>
        </w:r>
      </w:smartTag>
      <w:r w:rsidRPr="0087207A">
        <w:rPr>
          <w:sz w:val="18"/>
          <w:szCs w:val="18"/>
        </w:rPr>
        <w:t xml:space="preserve">) thresholds, the income poverty rate for a country whose median income is falling in real terms can show a decrease in poverty, whereas a country whose median incomes are rising through strong economic growth can show a rise in poverty, even </w:t>
      </w:r>
      <w:r>
        <w:rPr>
          <w:sz w:val="18"/>
          <w:szCs w:val="18"/>
        </w:rPr>
        <w:t>if</w:t>
      </w:r>
      <w:r w:rsidRPr="0087207A">
        <w:rPr>
          <w:sz w:val="18"/>
          <w:szCs w:val="18"/>
        </w:rPr>
        <w:t xml:space="preserve"> in both cases the incomes of those with low incomes remain </w:t>
      </w:r>
      <w:r>
        <w:rPr>
          <w:sz w:val="18"/>
          <w:szCs w:val="18"/>
        </w:rPr>
        <w:t>much the same</w:t>
      </w:r>
      <w:r w:rsidRPr="0087207A">
        <w:rPr>
          <w:sz w:val="18"/>
          <w:szCs w:val="18"/>
        </w:rPr>
        <w:t xml:space="preserve"> in real terms.</w:t>
      </w:r>
    </w:p>
  </w:footnote>
  <w:footnote w:id="89">
    <w:p w:rsidR="00DE4A2A" w:rsidRPr="00E019D8" w:rsidRDefault="00DE4A2A" w:rsidP="00EE3232">
      <w:pPr>
        <w:pStyle w:val="FootnoteText"/>
        <w:spacing w:after="120"/>
        <w:ind w:left="274" w:hanging="274"/>
        <w:rPr>
          <w:lang w:val="en-NZ"/>
        </w:rPr>
      </w:pPr>
      <w:r w:rsidRPr="00E019D8">
        <w:rPr>
          <w:rStyle w:val="FootnoteReference"/>
          <w:sz w:val="18"/>
        </w:rPr>
        <w:footnoteRef/>
      </w:r>
      <w:r w:rsidRPr="00E019D8">
        <w:rPr>
          <w:sz w:val="18"/>
        </w:rPr>
        <w:t xml:space="preserve"> </w:t>
      </w:r>
      <w:r>
        <w:rPr>
          <w:sz w:val="18"/>
        </w:rPr>
        <w:tab/>
      </w:r>
      <w:r w:rsidRPr="00E019D8">
        <w:rPr>
          <w:sz w:val="18"/>
        </w:rPr>
        <w:t>Treasury’s Taxwell weights rather than Statistics New Zealand weights are used</w:t>
      </w:r>
      <w:r>
        <w:rPr>
          <w:sz w:val="18"/>
        </w:rPr>
        <w:t xml:space="preserve"> for the 2009 and 2010 New Zealand HES-based figures </w:t>
      </w:r>
      <w:r w:rsidRPr="00E019D8">
        <w:rPr>
          <w:sz w:val="18"/>
        </w:rPr>
        <w:t xml:space="preserve">on this page.  See Section </w:t>
      </w:r>
      <w:r>
        <w:rPr>
          <w:sz w:val="18"/>
        </w:rPr>
        <w:t>H for further discussion on this.</w:t>
      </w:r>
    </w:p>
  </w:footnote>
  <w:footnote w:id="90">
    <w:p w:rsidR="00DE4A2A" w:rsidRPr="00C26887" w:rsidRDefault="00DE4A2A" w:rsidP="00EE3232">
      <w:pPr>
        <w:pStyle w:val="FootnoteText"/>
        <w:ind w:left="270" w:hanging="270"/>
        <w:jc w:val="both"/>
        <w:rPr>
          <w:sz w:val="18"/>
          <w:szCs w:val="18"/>
          <w:lang w:val="en-NZ"/>
        </w:rPr>
      </w:pPr>
      <w:r w:rsidRPr="00C26887">
        <w:rPr>
          <w:rStyle w:val="FootnoteReference"/>
          <w:sz w:val="18"/>
          <w:szCs w:val="18"/>
        </w:rPr>
        <w:footnoteRef/>
      </w:r>
      <w:r w:rsidRPr="00C26887">
        <w:rPr>
          <w:sz w:val="18"/>
          <w:szCs w:val="18"/>
        </w:rPr>
        <w:t xml:space="preserve"> </w:t>
      </w:r>
      <w:r>
        <w:rPr>
          <w:sz w:val="18"/>
          <w:szCs w:val="18"/>
        </w:rPr>
        <w:tab/>
      </w:r>
      <w:r w:rsidRPr="00C26887">
        <w:rPr>
          <w:sz w:val="18"/>
          <w:szCs w:val="18"/>
        </w:rPr>
        <w:t xml:space="preserve">The rate for </w:t>
      </w:r>
      <w:smartTag w:uri="urn:schemas-microsoft-com:office:smarttags" w:element="place">
        <w:smartTag w:uri="urn:schemas-microsoft-com:office:smarttags" w:element="country-region">
          <w:r w:rsidRPr="00C26887">
            <w:rPr>
              <w:sz w:val="18"/>
              <w:szCs w:val="18"/>
            </w:rPr>
            <w:t>Ireland</w:t>
          </w:r>
        </w:smartTag>
      </w:smartTag>
      <w:r w:rsidRPr="00C26887">
        <w:rPr>
          <w:sz w:val="18"/>
          <w:szCs w:val="18"/>
        </w:rPr>
        <w:t xml:space="preserve"> also changed by a large amount, although in their case the rate fell from 2004 (31%) to 2009 (13%).  Figures for </w:t>
      </w:r>
      <w:smartTag w:uri="urn:schemas-microsoft-com:office:smarttags" w:element="place">
        <w:smartTag w:uri="urn:schemas-microsoft-com:office:smarttags" w:element="country-region">
          <w:r w:rsidRPr="00C26887">
            <w:rPr>
              <w:sz w:val="18"/>
              <w:szCs w:val="18"/>
            </w:rPr>
            <w:t>Austr</w:t>
          </w:r>
          <w:r>
            <w:rPr>
              <w:sz w:val="18"/>
              <w:szCs w:val="18"/>
            </w:rPr>
            <w:t>a</w:t>
          </w:r>
          <w:r w:rsidRPr="00C26887">
            <w:rPr>
              <w:sz w:val="18"/>
              <w:szCs w:val="18"/>
            </w:rPr>
            <w:t>lia</w:t>
          </w:r>
        </w:smartTag>
      </w:smartTag>
      <w:r w:rsidRPr="00C26887">
        <w:rPr>
          <w:sz w:val="18"/>
          <w:szCs w:val="18"/>
        </w:rPr>
        <w:t xml:space="preserve"> rose from 27% to 39%.  Changes for almost all other OECD countries were in the zero to three percentage point range.</w:t>
      </w:r>
    </w:p>
  </w:footnote>
  <w:footnote w:id="91">
    <w:p w:rsidR="00DE4A2A" w:rsidRPr="00191860" w:rsidRDefault="00DE4A2A" w:rsidP="00EE3232">
      <w:pPr>
        <w:pStyle w:val="FootnoteText"/>
        <w:spacing w:before="60"/>
        <w:ind w:left="274" w:hanging="274"/>
        <w:rPr>
          <w:sz w:val="18"/>
          <w:szCs w:val="18"/>
          <w:lang w:val="en-NZ"/>
        </w:rPr>
      </w:pPr>
      <w:r w:rsidRPr="00191860">
        <w:rPr>
          <w:rStyle w:val="FootnoteReference"/>
          <w:sz w:val="18"/>
          <w:szCs w:val="18"/>
        </w:rPr>
        <w:footnoteRef/>
      </w:r>
      <w:r w:rsidRPr="00191860">
        <w:rPr>
          <w:sz w:val="18"/>
          <w:szCs w:val="18"/>
        </w:rPr>
        <w:t xml:space="preserve"> </w:t>
      </w:r>
      <w:r w:rsidRPr="00191860">
        <w:rPr>
          <w:sz w:val="18"/>
          <w:szCs w:val="18"/>
        </w:rPr>
        <w:tab/>
        <w:t>OECD (2007</w:t>
      </w:r>
      <w:r>
        <w:rPr>
          <w:sz w:val="18"/>
          <w:szCs w:val="18"/>
        </w:rPr>
        <w:t>:11).</w:t>
      </w:r>
    </w:p>
  </w:footnote>
  <w:footnote w:id="92">
    <w:p w:rsidR="00DE4A2A" w:rsidRPr="00A55931" w:rsidRDefault="00DE4A2A" w:rsidP="00EE3232">
      <w:pPr>
        <w:pStyle w:val="FootnoteText"/>
        <w:ind w:left="270" w:hanging="270"/>
        <w:jc w:val="both"/>
        <w:rPr>
          <w:sz w:val="18"/>
          <w:szCs w:val="18"/>
          <w:lang w:val="en-NZ"/>
        </w:rPr>
      </w:pPr>
      <w:r w:rsidRPr="00A55931">
        <w:rPr>
          <w:rStyle w:val="FootnoteReference"/>
          <w:sz w:val="18"/>
          <w:szCs w:val="18"/>
        </w:rPr>
        <w:footnoteRef/>
      </w:r>
      <w:r w:rsidRPr="00A55931">
        <w:rPr>
          <w:sz w:val="18"/>
          <w:szCs w:val="18"/>
        </w:rPr>
        <w:t xml:space="preserve"> </w:t>
      </w:r>
      <w:r>
        <w:rPr>
          <w:sz w:val="18"/>
          <w:szCs w:val="18"/>
        </w:rPr>
        <w:tab/>
      </w:r>
      <w:r w:rsidRPr="00A55931">
        <w:rPr>
          <w:sz w:val="18"/>
          <w:szCs w:val="18"/>
        </w:rPr>
        <w:t>The</w:t>
      </w:r>
      <w:r>
        <w:rPr>
          <w:sz w:val="18"/>
          <w:szCs w:val="18"/>
        </w:rPr>
        <w:t>re are</w:t>
      </w:r>
      <w:r w:rsidRPr="00A55931">
        <w:rPr>
          <w:sz w:val="18"/>
          <w:szCs w:val="18"/>
        </w:rPr>
        <w:t xml:space="preserve"> slight difference</w:t>
      </w:r>
      <w:r>
        <w:rPr>
          <w:sz w:val="18"/>
          <w:szCs w:val="18"/>
        </w:rPr>
        <w:t>s</w:t>
      </w:r>
      <w:r w:rsidRPr="00A55931">
        <w:rPr>
          <w:sz w:val="18"/>
          <w:szCs w:val="18"/>
        </w:rPr>
        <w:t xml:space="preserve"> </w:t>
      </w:r>
      <w:r>
        <w:rPr>
          <w:sz w:val="18"/>
          <w:szCs w:val="18"/>
        </w:rPr>
        <w:t xml:space="preserve">between the New Zealand Gini scores here and those given in </w:t>
      </w:r>
      <w:r w:rsidRPr="00A55931">
        <w:rPr>
          <w:sz w:val="18"/>
          <w:szCs w:val="18"/>
        </w:rPr>
        <w:t>Section D (Table D.9)</w:t>
      </w:r>
      <w:r>
        <w:rPr>
          <w:sz w:val="18"/>
          <w:szCs w:val="18"/>
        </w:rPr>
        <w:t>.  These differences arise because of the different equivalence scales used.  The overall trends and so on are not  affected by the choice of equivalence scale.  See Appendix 3, Figure 3.2.</w:t>
      </w:r>
    </w:p>
  </w:footnote>
  <w:footnote w:id="93">
    <w:p w:rsidR="00DE4A2A" w:rsidRPr="004F668D" w:rsidRDefault="00DE4A2A" w:rsidP="00EE3232">
      <w:pPr>
        <w:pStyle w:val="FootnoteText"/>
        <w:spacing w:after="60"/>
        <w:ind w:left="274" w:hanging="274"/>
        <w:jc w:val="both"/>
        <w:rPr>
          <w:sz w:val="18"/>
          <w:szCs w:val="18"/>
          <w:lang w:val="en-NZ"/>
        </w:rPr>
      </w:pPr>
      <w:r w:rsidRPr="004F668D">
        <w:rPr>
          <w:rStyle w:val="FootnoteReference"/>
          <w:sz w:val="18"/>
          <w:szCs w:val="18"/>
        </w:rPr>
        <w:footnoteRef/>
      </w:r>
      <w:r w:rsidRPr="004F668D">
        <w:rPr>
          <w:sz w:val="18"/>
          <w:szCs w:val="18"/>
        </w:rPr>
        <w:t xml:space="preserve"> </w:t>
      </w:r>
      <w:r w:rsidRPr="004F668D">
        <w:rPr>
          <w:sz w:val="18"/>
          <w:szCs w:val="18"/>
        </w:rPr>
        <w:tab/>
        <w:t>Table J.</w:t>
      </w:r>
      <w:r>
        <w:rPr>
          <w:sz w:val="18"/>
          <w:szCs w:val="18"/>
        </w:rPr>
        <w:t>9</w:t>
      </w:r>
      <w:r w:rsidRPr="004F668D">
        <w:rPr>
          <w:sz w:val="18"/>
          <w:szCs w:val="18"/>
        </w:rPr>
        <w:t xml:space="preserve"> use</w:t>
      </w:r>
      <w:r>
        <w:rPr>
          <w:sz w:val="18"/>
          <w:szCs w:val="18"/>
        </w:rPr>
        <w:t>s</w:t>
      </w:r>
      <w:r w:rsidRPr="004F668D">
        <w:rPr>
          <w:sz w:val="18"/>
          <w:szCs w:val="18"/>
        </w:rPr>
        <w:t xml:space="preserve"> the ‘modified OECD’ </w:t>
      </w:r>
      <w:r>
        <w:rPr>
          <w:sz w:val="18"/>
          <w:szCs w:val="18"/>
        </w:rPr>
        <w:t xml:space="preserve">equivalence </w:t>
      </w:r>
      <w:r w:rsidRPr="004F668D">
        <w:rPr>
          <w:sz w:val="18"/>
          <w:szCs w:val="18"/>
        </w:rPr>
        <w:t>scale</w:t>
      </w:r>
      <w:r>
        <w:rPr>
          <w:sz w:val="18"/>
          <w:szCs w:val="18"/>
        </w:rPr>
        <w:t xml:space="preserve"> for both countries, whereas Figure J.2 for the 2008-09 comparisons uses the ‘square root scale’.  See Appendix 3 for more information.</w:t>
      </w:r>
    </w:p>
  </w:footnote>
  <w:footnote w:id="94">
    <w:p w:rsidR="00DE4A2A" w:rsidRPr="004F668D" w:rsidRDefault="00DE4A2A" w:rsidP="00EE3232">
      <w:pPr>
        <w:ind w:left="270" w:right="11" w:hanging="270"/>
        <w:jc w:val="both"/>
        <w:rPr>
          <w:rFonts w:cs="Arial"/>
          <w:sz w:val="18"/>
          <w:szCs w:val="18"/>
          <w:u w:val="single"/>
        </w:rPr>
      </w:pPr>
      <w:r w:rsidRPr="004F668D">
        <w:rPr>
          <w:rStyle w:val="FootnoteReference"/>
          <w:sz w:val="18"/>
          <w:szCs w:val="18"/>
        </w:rPr>
        <w:footnoteRef/>
      </w:r>
      <w:r w:rsidRPr="004F668D">
        <w:rPr>
          <w:sz w:val="18"/>
          <w:szCs w:val="18"/>
        </w:rPr>
        <w:t xml:space="preserve"> </w:t>
      </w:r>
      <w:r>
        <w:rPr>
          <w:sz w:val="18"/>
          <w:szCs w:val="18"/>
        </w:rPr>
        <w:tab/>
      </w:r>
      <w:r w:rsidRPr="004F668D">
        <w:rPr>
          <w:sz w:val="18"/>
          <w:szCs w:val="18"/>
        </w:rPr>
        <w:t xml:space="preserve">For the 2007-08 survey year, the </w:t>
      </w:r>
      <w:smartTag w:uri="urn:schemas-microsoft-com:office:smarttags" w:element="stockticker">
        <w:r w:rsidRPr="004F668D">
          <w:rPr>
            <w:sz w:val="18"/>
            <w:szCs w:val="18"/>
          </w:rPr>
          <w:t>ABS</w:t>
        </w:r>
      </w:smartTag>
      <w:r w:rsidRPr="004F668D">
        <w:rPr>
          <w:sz w:val="18"/>
          <w:szCs w:val="18"/>
        </w:rPr>
        <w:t xml:space="preserve"> applied improved income reporting standards</w:t>
      </w:r>
      <w:r>
        <w:rPr>
          <w:sz w:val="18"/>
          <w:szCs w:val="18"/>
        </w:rPr>
        <w:t xml:space="preserve"> in the </w:t>
      </w:r>
      <w:smartTag w:uri="urn:schemas-microsoft-com:office:smarttags" w:element="stockticker">
        <w:r>
          <w:rPr>
            <w:sz w:val="18"/>
            <w:szCs w:val="18"/>
          </w:rPr>
          <w:t>SIH</w:t>
        </w:r>
      </w:smartTag>
      <w:r w:rsidRPr="004F668D">
        <w:rPr>
          <w:sz w:val="18"/>
          <w:szCs w:val="18"/>
        </w:rPr>
        <w:t>.  One impact of these changes is that the 2007-08 inequality figures are higher than they would have been on the previous protocols (eg a Gini of 33.1</w:t>
      </w:r>
      <w:r>
        <w:rPr>
          <w:sz w:val="18"/>
          <w:szCs w:val="18"/>
        </w:rPr>
        <w:t xml:space="preserve"> rather than</w:t>
      </w:r>
      <w:r w:rsidRPr="004F668D">
        <w:rPr>
          <w:sz w:val="18"/>
          <w:szCs w:val="18"/>
        </w:rPr>
        <w:t xml:space="preserve"> 31.7</w:t>
      </w:r>
      <w:r>
        <w:rPr>
          <w:sz w:val="18"/>
          <w:szCs w:val="18"/>
        </w:rPr>
        <w:t xml:space="preserve">).   The older OECD league tables therefore have </w:t>
      </w:r>
      <w:smartTag w:uri="urn:schemas-microsoft-com:office:smarttags" w:element="country-region">
        <w:r>
          <w:rPr>
            <w:sz w:val="18"/>
            <w:szCs w:val="18"/>
          </w:rPr>
          <w:t>Australia</w:t>
        </w:r>
      </w:smartTag>
      <w:r>
        <w:rPr>
          <w:sz w:val="18"/>
          <w:szCs w:val="18"/>
        </w:rPr>
        <w:t xml:space="preserve"> with a lower inequality score than </w:t>
      </w:r>
      <w:smartTag w:uri="urn:schemas-microsoft-com:office:smarttags" w:element="place">
        <w:smartTag w:uri="urn:schemas-microsoft-com:office:smarttags" w:element="country-region">
          <w:r>
            <w:rPr>
              <w:sz w:val="18"/>
              <w:szCs w:val="18"/>
            </w:rPr>
            <w:t>New Zealand</w:t>
          </w:r>
        </w:smartTag>
      </w:smartTag>
      <w:r>
        <w:rPr>
          <w:sz w:val="18"/>
          <w:szCs w:val="18"/>
        </w:rPr>
        <w:t>.</w:t>
      </w:r>
    </w:p>
    <w:p w:rsidR="00DE4A2A" w:rsidRPr="004F668D" w:rsidRDefault="00DE4A2A" w:rsidP="00EE3232">
      <w:pPr>
        <w:pStyle w:val="FootnoteText"/>
        <w:rPr>
          <w:lang w:val="en-NZ"/>
        </w:rPr>
      </w:pPr>
    </w:p>
  </w:footnote>
  <w:footnote w:id="95">
    <w:p w:rsidR="00DE4A2A" w:rsidRPr="008B53A3" w:rsidRDefault="00DE4A2A" w:rsidP="00EE3232">
      <w:pPr>
        <w:pStyle w:val="FootnoteText"/>
        <w:ind w:left="270" w:hanging="270"/>
        <w:rPr>
          <w:sz w:val="18"/>
          <w:szCs w:val="18"/>
          <w:lang w:val="en-NZ"/>
        </w:rPr>
      </w:pPr>
      <w:r w:rsidRPr="008B53A3">
        <w:rPr>
          <w:rStyle w:val="FootnoteReference"/>
          <w:sz w:val="18"/>
          <w:szCs w:val="18"/>
        </w:rPr>
        <w:footnoteRef/>
      </w:r>
      <w:r w:rsidRPr="008B53A3">
        <w:rPr>
          <w:sz w:val="18"/>
          <w:szCs w:val="18"/>
        </w:rPr>
        <w:t xml:space="preserve"> </w:t>
      </w:r>
      <w:r w:rsidRPr="008B53A3">
        <w:rPr>
          <w:sz w:val="18"/>
          <w:szCs w:val="18"/>
        </w:rPr>
        <w:tab/>
        <w:t>A household’s wealth or ‘net worth’ is its total assets (financial and non-financial) less its total liabilities (mortgage and other home-secured debt, vehicle loans, credit card and instalment debt, educational loans, loans from financial institutions, informal debt, and so on).</w:t>
      </w:r>
    </w:p>
  </w:footnote>
  <w:footnote w:id="96">
    <w:p w:rsidR="00DE4A2A" w:rsidRPr="008B53A3" w:rsidRDefault="00DE4A2A" w:rsidP="00EE3232">
      <w:pPr>
        <w:pStyle w:val="FootnoteText"/>
        <w:spacing w:before="60"/>
        <w:ind w:left="274" w:hanging="274"/>
        <w:rPr>
          <w:lang w:val="en-NZ"/>
        </w:rPr>
      </w:pPr>
      <w:r w:rsidRPr="008B53A3">
        <w:rPr>
          <w:rStyle w:val="FootnoteReference"/>
          <w:sz w:val="18"/>
          <w:szCs w:val="18"/>
        </w:rPr>
        <w:footnoteRef/>
      </w:r>
      <w:r w:rsidRPr="008B53A3">
        <w:rPr>
          <w:sz w:val="18"/>
          <w:szCs w:val="18"/>
        </w:rPr>
        <w:t xml:space="preserve"> </w:t>
      </w:r>
      <w:r>
        <w:rPr>
          <w:sz w:val="18"/>
          <w:szCs w:val="18"/>
        </w:rPr>
        <w:tab/>
      </w:r>
      <w:r w:rsidRPr="008B53A3">
        <w:rPr>
          <w:sz w:val="18"/>
          <w:szCs w:val="18"/>
        </w:rPr>
        <w:t>The Gini score can range from 0 to 100.  The higher the score, the greater the inequality.</w:t>
      </w:r>
    </w:p>
  </w:footnote>
  <w:footnote w:id="97">
    <w:p w:rsidR="00DE4A2A" w:rsidRPr="004A35B6" w:rsidRDefault="00DE4A2A" w:rsidP="004A35B6">
      <w:pPr>
        <w:pStyle w:val="FootnoteText"/>
        <w:ind w:left="284" w:hanging="284"/>
        <w:rPr>
          <w:sz w:val="18"/>
          <w:szCs w:val="18"/>
          <w:lang w:val="en-NZ"/>
        </w:rPr>
      </w:pPr>
      <w:r w:rsidRPr="004A35B6">
        <w:rPr>
          <w:rStyle w:val="FootnoteReference"/>
          <w:sz w:val="18"/>
          <w:szCs w:val="18"/>
        </w:rPr>
        <w:footnoteRef/>
      </w:r>
      <w:r w:rsidRPr="004A35B6">
        <w:rPr>
          <w:sz w:val="18"/>
          <w:szCs w:val="18"/>
        </w:rPr>
        <w:t xml:space="preserve"> </w:t>
      </w:r>
      <w:r>
        <w:rPr>
          <w:sz w:val="18"/>
          <w:szCs w:val="18"/>
        </w:rPr>
        <w:tab/>
      </w:r>
      <w:r w:rsidRPr="004A35B6">
        <w:rPr>
          <w:sz w:val="18"/>
          <w:szCs w:val="18"/>
          <w:lang w:val="en-NZ"/>
        </w:rPr>
        <w:t>See Nolan and Whelan (2011) for a recent and comprehensive overview of the use of NMIs</w:t>
      </w:r>
      <w:r>
        <w:rPr>
          <w:sz w:val="18"/>
          <w:szCs w:val="18"/>
          <w:lang w:val="en-NZ"/>
        </w:rPr>
        <w:t xml:space="preserve"> in </w:t>
      </w:r>
      <w:smartTag w:uri="urn:schemas-microsoft-com:office:smarttags" w:element="place">
        <w:r>
          <w:rPr>
            <w:sz w:val="18"/>
            <w:szCs w:val="18"/>
            <w:lang w:val="en-NZ"/>
          </w:rPr>
          <w:t>Europe</w:t>
        </w:r>
      </w:smartTag>
      <w:r>
        <w:rPr>
          <w:sz w:val="18"/>
          <w:szCs w:val="18"/>
          <w:lang w:val="en-NZ"/>
        </w:rPr>
        <w:t>.</w:t>
      </w:r>
    </w:p>
  </w:footnote>
  <w:footnote w:id="98">
    <w:p w:rsidR="00AC66F3" w:rsidRPr="00AC66F3" w:rsidRDefault="00AC66F3">
      <w:pPr>
        <w:pStyle w:val="FootnoteText"/>
        <w:rPr>
          <w:sz w:val="18"/>
          <w:szCs w:val="18"/>
          <w:lang w:val="en-NZ"/>
        </w:rPr>
      </w:pPr>
      <w:r w:rsidRPr="00AC66F3">
        <w:rPr>
          <w:rStyle w:val="FootnoteReference"/>
          <w:sz w:val="18"/>
          <w:szCs w:val="18"/>
        </w:rPr>
        <w:footnoteRef/>
      </w:r>
      <w:r w:rsidRPr="00AC66F3">
        <w:rPr>
          <w:sz w:val="18"/>
          <w:szCs w:val="18"/>
        </w:rPr>
        <w:t xml:space="preserve"> </w:t>
      </w:r>
      <w:r w:rsidRPr="00AC66F3">
        <w:rPr>
          <w:sz w:val="18"/>
          <w:szCs w:val="18"/>
          <w:lang w:val="en-NZ"/>
        </w:rPr>
        <w:t>See Perry (2009) for more detail.</w:t>
      </w:r>
    </w:p>
  </w:footnote>
  <w:footnote w:id="99">
    <w:p w:rsidR="00DE4A2A" w:rsidRPr="007A4127" w:rsidRDefault="00DE4A2A" w:rsidP="00EE3232">
      <w:pPr>
        <w:pStyle w:val="FootnoteText"/>
        <w:spacing w:after="60"/>
        <w:ind w:left="274" w:hanging="274"/>
        <w:rPr>
          <w:sz w:val="18"/>
          <w:szCs w:val="18"/>
        </w:rPr>
      </w:pPr>
      <w:r w:rsidRPr="007A4127">
        <w:rPr>
          <w:rStyle w:val="FootnoteReference"/>
          <w:sz w:val="18"/>
          <w:szCs w:val="18"/>
        </w:rPr>
        <w:footnoteRef/>
      </w:r>
      <w:r w:rsidRPr="007A4127">
        <w:rPr>
          <w:sz w:val="18"/>
          <w:szCs w:val="18"/>
        </w:rPr>
        <w:t xml:space="preserve"> </w:t>
      </w:r>
      <w:r>
        <w:rPr>
          <w:sz w:val="18"/>
          <w:szCs w:val="18"/>
        </w:rPr>
        <w:tab/>
      </w:r>
      <w:r w:rsidRPr="007A4127">
        <w:rPr>
          <w:sz w:val="18"/>
          <w:szCs w:val="18"/>
        </w:rPr>
        <w:t>See Perry</w:t>
      </w:r>
      <w:r>
        <w:rPr>
          <w:sz w:val="18"/>
          <w:szCs w:val="18"/>
        </w:rPr>
        <w:t xml:space="preserve"> </w:t>
      </w:r>
      <w:r w:rsidRPr="007A4127">
        <w:rPr>
          <w:sz w:val="18"/>
          <w:szCs w:val="18"/>
        </w:rPr>
        <w:t>(2002) for a summary of the international literature</w:t>
      </w:r>
      <w:r>
        <w:rPr>
          <w:sz w:val="18"/>
          <w:szCs w:val="18"/>
        </w:rPr>
        <w:t xml:space="preserve"> and for detailed discussion on the issue, and </w:t>
      </w:r>
      <w:smartTag w:uri="urn:schemas-microsoft-com:office:smarttags" w:element="country-region">
        <w:r>
          <w:rPr>
            <w:sz w:val="18"/>
            <w:szCs w:val="18"/>
          </w:rPr>
          <w:t>Iceland</w:t>
        </w:r>
      </w:smartTag>
      <w:r>
        <w:rPr>
          <w:sz w:val="18"/>
          <w:szCs w:val="18"/>
        </w:rPr>
        <w:t xml:space="preserve"> and Bauman (2007) for a more recent perspective from the </w:t>
      </w:r>
      <w:smartTag w:uri="urn:schemas-microsoft-com:office:smarttags" w:element="place">
        <w:smartTag w:uri="urn:schemas-microsoft-com:office:smarttags" w:element="country-region">
          <w:r>
            <w:rPr>
              <w:sz w:val="18"/>
              <w:szCs w:val="18"/>
            </w:rPr>
            <w:t>US</w:t>
          </w:r>
        </w:smartTag>
      </w:smartTag>
      <w:r>
        <w:rPr>
          <w:sz w:val="18"/>
          <w:szCs w:val="18"/>
        </w:rPr>
        <w:t>.</w:t>
      </w:r>
    </w:p>
  </w:footnote>
  <w:footnote w:id="100">
    <w:p w:rsidR="00DE4A2A" w:rsidRPr="00E65768" w:rsidRDefault="00DE4A2A" w:rsidP="006122E4">
      <w:pPr>
        <w:pStyle w:val="FootnoteText"/>
        <w:ind w:left="426" w:hanging="426"/>
        <w:rPr>
          <w:rFonts w:cs="Arial"/>
          <w:sz w:val="18"/>
          <w:szCs w:val="18"/>
          <w:lang w:val="en-NZ"/>
        </w:rPr>
      </w:pPr>
      <w:r w:rsidRPr="00E65768">
        <w:rPr>
          <w:rStyle w:val="FootnoteReference"/>
          <w:rFonts w:cs="Arial"/>
          <w:sz w:val="18"/>
          <w:szCs w:val="18"/>
        </w:rPr>
        <w:footnoteRef/>
      </w:r>
      <w:r w:rsidRPr="00E65768">
        <w:rPr>
          <w:rFonts w:cs="Arial"/>
          <w:sz w:val="18"/>
          <w:szCs w:val="18"/>
        </w:rPr>
        <w:t xml:space="preserve"> </w:t>
      </w:r>
      <w:r>
        <w:rPr>
          <w:rFonts w:cs="Arial"/>
          <w:sz w:val="18"/>
          <w:szCs w:val="18"/>
        </w:rPr>
        <w:tab/>
      </w:r>
      <w:r w:rsidRPr="00E65768">
        <w:rPr>
          <w:rFonts w:cs="Arial"/>
          <w:sz w:val="18"/>
          <w:szCs w:val="18"/>
          <w:lang w:val="en-NZ"/>
        </w:rPr>
        <w:t xml:space="preserve">See </w:t>
      </w:r>
      <w:r>
        <w:rPr>
          <w:rFonts w:cs="Arial"/>
          <w:sz w:val="18"/>
          <w:szCs w:val="18"/>
          <w:lang w:val="en-NZ"/>
        </w:rPr>
        <w:t>UO</w:t>
      </w:r>
      <w:r w:rsidRPr="00E65768">
        <w:rPr>
          <w:rFonts w:cs="Arial"/>
          <w:sz w:val="18"/>
          <w:szCs w:val="18"/>
          <w:lang w:val="en-NZ"/>
        </w:rPr>
        <w:t xml:space="preserve"> Table A:1 for detail.</w:t>
      </w:r>
    </w:p>
  </w:footnote>
  <w:footnote w:id="101">
    <w:p w:rsidR="00DE4A2A" w:rsidRPr="009034C7" w:rsidRDefault="00DE4A2A" w:rsidP="00FD08AE">
      <w:pPr>
        <w:pStyle w:val="FootnoteText"/>
        <w:spacing w:after="60"/>
        <w:ind w:left="426" w:hanging="426"/>
        <w:rPr>
          <w:rFonts w:cs="Arial"/>
          <w:sz w:val="18"/>
          <w:szCs w:val="18"/>
          <w:lang w:val="en-NZ"/>
        </w:rPr>
      </w:pPr>
      <w:r w:rsidRPr="009034C7">
        <w:rPr>
          <w:rStyle w:val="FootnoteReference"/>
          <w:rFonts w:cs="Arial"/>
          <w:sz w:val="18"/>
          <w:szCs w:val="18"/>
        </w:rPr>
        <w:footnoteRef/>
      </w:r>
      <w:r w:rsidRPr="009034C7">
        <w:rPr>
          <w:rFonts w:cs="Arial"/>
          <w:sz w:val="18"/>
          <w:szCs w:val="18"/>
        </w:rPr>
        <w:t xml:space="preserve"> </w:t>
      </w:r>
      <w:r w:rsidRPr="009034C7">
        <w:rPr>
          <w:rFonts w:cs="Arial"/>
          <w:sz w:val="18"/>
          <w:szCs w:val="18"/>
        </w:rPr>
        <w:tab/>
      </w:r>
      <w:r w:rsidRPr="009034C7">
        <w:rPr>
          <w:rFonts w:cs="Arial"/>
          <w:sz w:val="18"/>
          <w:szCs w:val="18"/>
          <w:lang w:val="en-NZ"/>
        </w:rPr>
        <w:t xml:space="preserve">See Jenkins (2011) for a </w:t>
      </w:r>
      <w:r>
        <w:rPr>
          <w:rFonts w:cs="Arial"/>
          <w:sz w:val="18"/>
          <w:szCs w:val="18"/>
          <w:lang w:val="en-NZ"/>
        </w:rPr>
        <w:t xml:space="preserve">recent and comprehensive </w:t>
      </w:r>
      <w:r w:rsidRPr="009034C7">
        <w:rPr>
          <w:rFonts w:cs="Arial"/>
          <w:sz w:val="18"/>
          <w:szCs w:val="18"/>
          <w:lang w:val="en-NZ"/>
        </w:rPr>
        <w:t>discussion of these and other approaches</w:t>
      </w:r>
      <w:r>
        <w:rPr>
          <w:rFonts w:cs="Arial"/>
          <w:sz w:val="18"/>
          <w:szCs w:val="18"/>
          <w:lang w:val="en-NZ"/>
        </w:rPr>
        <w:t xml:space="preserve"> using British data (BHPS).</w:t>
      </w:r>
    </w:p>
  </w:footnote>
  <w:footnote w:id="102">
    <w:p w:rsidR="00DE4A2A" w:rsidRPr="009034C7" w:rsidRDefault="00DE4A2A" w:rsidP="003378AE">
      <w:pPr>
        <w:pStyle w:val="FootnoteText"/>
        <w:ind w:left="426" w:hanging="426"/>
        <w:jc w:val="both"/>
        <w:rPr>
          <w:rFonts w:cs="Arial"/>
          <w:sz w:val="18"/>
          <w:szCs w:val="18"/>
          <w:lang w:val="en-NZ"/>
        </w:rPr>
      </w:pPr>
      <w:r w:rsidRPr="009034C7">
        <w:rPr>
          <w:rStyle w:val="FootnoteReference"/>
          <w:rFonts w:cs="Arial"/>
          <w:sz w:val="18"/>
          <w:szCs w:val="18"/>
        </w:rPr>
        <w:footnoteRef/>
      </w:r>
      <w:r w:rsidRPr="009034C7">
        <w:rPr>
          <w:rFonts w:cs="Arial"/>
          <w:sz w:val="18"/>
          <w:szCs w:val="18"/>
        </w:rPr>
        <w:t xml:space="preserve"> </w:t>
      </w:r>
      <w:r>
        <w:rPr>
          <w:rFonts w:cs="Arial"/>
          <w:sz w:val="18"/>
          <w:szCs w:val="18"/>
        </w:rPr>
        <w:tab/>
      </w:r>
      <w:r w:rsidRPr="009034C7">
        <w:rPr>
          <w:rFonts w:cs="Arial"/>
          <w:sz w:val="18"/>
          <w:szCs w:val="18"/>
        </w:rPr>
        <w:t>It is rare that the number of rises is exactly the same as the number of falls.  Consider for example the situation where a person moves from decile</w:t>
      </w:r>
      <w:r>
        <w:rPr>
          <w:rFonts w:cs="Arial"/>
          <w:sz w:val="18"/>
          <w:szCs w:val="18"/>
        </w:rPr>
        <w:t xml:space="preserve"> one</w:t>
      </w:r>
      <w:r w:rsidRPr="009034C7">
        <w:rPr>
          <w:rFonts w:cs="Arial"/>
          <w:sz w:val="18"/>
          <w:szCs w:val="18"/>
        </w:rPr>
        <w:t xml:space="preserve"> in wave </w:t>
      </w:r>
      <w:r>
        <w:rPr>
          <w:rFonts w:cs="Arial"/>
          <w:sz w:val="18"/>
          <w:szCs w:val="18"/>
        </w:rPr>
        <w:t>one</w:t>
      </w:r>
      <w:r w:rsidRPr="009034C7">
        <w:rPr>
          <w:rFonts w:cs="Arial"/>
          <w:sz w:val="18"/>
          <w:szCs w:val="18"/>
        </w:rPr>
        <w:t xml:space="preserve"> to decile </w:t>
      </w:r>
      <w:r>
        <w:rPr>
          <w:rFonts w:cs="Arial"/>
          <w:sz w:val="18"/>
          <w:szCs w:val="18"/>
        </w:rPr>
        <w:t>ten</w:t>
      </w:r>
      <w:r w:rsidRPr="009034C7">
        <w:rPr>
          <w:rFonts w:cs="Arial"/>
          <w:sz w:val="18"/>
          <w:szCs w:val="18"/>
        </w:rPr>
        <w:t xml:space="preserve"> some waves later.  If that person were the only one with a change in income, then </w:t>
      </w:r>
      <w:r>
        <w:rPr>
          <w:rFonts w:cs="Arial"/>
          <w:sz w:val="18"/>
          <w:szCs w:val="18"/>
        </w:rPr>
        <w:t>one</w:t>
      </w:r>
      <w:r w:rsidRPr="009034C7">
        <w:rPr>
          <w:rFonts w:cs="Arial"/>
          <w:sz w:val="18"/>
          <w:szCs w:val="18"/>
        </w:rPr>
        <w:t xml:space="preserve"> goes up and </w:t>
      </w:r>
      <w:r>
        <w:rPr>
          <w:rFonts w:cs="Arial"/>
          <w:sz w:val="18"/>
          <w:szCs w:val="18"/>
        </w:rPr>
        <w:t>nine</w:t>
      </w:r>
      <w:r w:rsidRPr="009034C7">
        <w:rPr>
          <w:rFonts w:cs="Arial"/>
          <w:sz w:val="18"/>
          <w:szCs w:val="18"/>
        </w:rPr>
        <w:t xml:space="preserve"> go down in relative position.  With a large sample and the usual employment, wage and demographic changes that occur over several years, </w:t>
      </w:r>
      <w:r>
        <w:rPr>
          <w:rFonts w:cs="Arial"/>
          <w:sz w:val="18"/>
          <w:szCs w:val="18"/>
        </w:rPr>
        <w:t xml:space="preserve"> the movements are such that </w:t>
      </w:r>
      <w:r w:rsidRPr="009034C7">
        <w:rPr>
          <w:rFonts w:cs="Arial"/>
          <w:sz w:val="18"/>
          <w:szCs w:val="18"/>
        </w:rPr>
        <w:t>the number of rises is usually fairly close to the number of falls.</w:t>
      </w:r>
    </w:p>
  </w:footnote>
  <w:footnote w:id="103">
    <w:p w:rsidR="00DE4A2A" w:rsidRPr="008A4132" w:rsidRDefault="00DE4A2A" w:rsidP="005E534F">
      <w:pPr>
        <w:pStyle w:val="FootnoteText"/>
        <w:ind w:left="426" w:hanging="426"/>
        <w:rPr>
          <w:rFonts w:cs="Arial"/>
          <w:sz w:val="18"/>
          <w:szCs w:val="18"/>
          <w:lang w:val="en-NZ"/>
        </w:rPr>
      </w:pPr>
      <w:r w:rsidRPr="008A4132">
        <w:rPr>
          <w:rStyle w:val="FootnoteReference"/>
          <w:rFonts w:cs="Arial"/>
          <w:sz w:val="18"/>
          <w:szCs w:val="18"/>
        </w:rPr>
        <w:footnoteRef/>
      </w:r>
      <w:r w:rsidRPr="008A4132">
        <w:rPr>
          <w:rFonts w:cs="Arial"/>
          <w:sz w:val="18"/>
          <w:szCs w:val="18"/>
        </w:rPr>
        <w:t xml:space="preserve"> </w:t>
      </w:r>
      <w:r>
        <w:rPr>
          <w:rFonts w:cs="Arial"/>
          <w:sz w:val="18"/>
          <w:szCs w:val="18"/>
        </w:rPr>
        <w:tab/>
      </w:r>
      <w:r w:rsidRPr="008A4132">
        <w:rPr>
          <w:rFonts w:cs="Arial"/>
          <w:sz w:val="18"/>
          <w:szCs w:val="18"/>
        </w:rPr>
        <w:t xml:space="preserve">Table </w:t>
      </w:r>
      <w:r>
        <w:rPr>
          <w:rFonts w:cs="Arial"/>
          <w:sz w:val="18"/>
          <w:szCs w:val="18"/>
        </w:rPr>
        <w:t>L.1</w:t>
      </w:r>
      <w:r w:rsidRPr="008A4132">
        <w:rPr>
          <w:rFonts w:cs="Arial"/>
          <w:sz w:val="18"/>
          <w:szCs w:val="18"/>
        </w:rPr>
        <w:t xml:space="preserve"> shows the average for the six two-wave pairs</w:t>
      </w:r>
      <w:r>
        <w:rPr>
          <w:rFonts w:cs="Arial"/>
          <w:sz w:val="18"/>
          <w:szCs w:val="18"/>
        </w:rPr>
        <w:t>.  The</w:t>
      </w:r>
      <w:r w:rsidRPr="008A4132">
        <w:rPr>
          <w:rFonts w:cs="Arial"/>
          <w:sz w:val="18"/>
          <w:szCs w:val="18"/>
        </w:rPr>
        <w:t xml:space="preserve"> proportions are in fact very similar for each of the two-wave pairs.</w:t>
      </w:r>
    </w:p>
  </w:footnote>
  <w:footnote w:id="104">
    <w:p w:rsidR="00DE4A2A" w:rsidRPr="008A4132" w:rsidRDefault="00DE4A2A" w:rsidP="00705A07">
      <w:pPr>
        <w:pStyle w:val="FootnoteText"/>
        <w:spacing w:before="60"/>
        <w:ind w:left="425" w:hanging="425"/>
        <w:rPr>
          <w:rFonts w:cs="Arial"/>
          <w:sz w:val="18"/>
          <w:szCs w:val="18"/>
          <w:lang w:val="en-NZ"/>
        </w:rPr>
      </w:pPr>
      <w:r w:rsidRPr="008A4132">
        <w:rPr>
          <w:rStyle w:val="FootnoteReference"/>
          <w:rFonts w:cs="Arial"/>
          <w:sz w:val="18"/>
          <w:szCs w:val="18"/>
        </w:rPr>
        <w:footnoteRef/>
      </w:r>
      <w:r w:rsidRPr="008A4132">
        <w:rPr>
          <w:rFonts w:cs="Arial"/>
          <w:sz w:val="18"/>
          <w:szCs w:val="18"/>
        </w:rPr>
        <w:t xml:space="preserve"> </w:t>
      </w:r>
      <w:r>
        <w:rPr>
          <w:rFonts w:cs="Arial"/>
          <w:sz w:val="18"/>
          <w:szCs w:val="18"/>
        </w:rPr>
        <w:tab/>
      </w:r>
      <w:r w:rsidRPr="008A4132">
        <w:rPr>
          <w:rFonts w:cs="Arial"/>
          <w:sz w:val="18"/>
          <w:szCs w:val="18"/>
        </w:rPr>
        <w:t xml:space="preserve">The EU-15 countries are those who were EU members prior to the enlargement in 2004.  </w:t>
      </w:r>
      <w:r>
        <w:rPr>
          <w:rFonts w:cs="Arial"/>
          <w:sz w:val="18"/>
          <w:szCs w:val="18"/>
        </w:rPr>
        <w:t>Nolan and Er</w:t>
      </w:r>
      <w:r w:rsidRPr="008A4132">
        <w:rPr>
          <w:rFonts w:cs="Arial"/>
          <w:sz w:val="18"/>
          <w:szCs w:val="18"/>
        </w:rPr>
        <w:t>i</w:t>
      </w:r>
      <w:r>
        <w:rPr>
          <w:rFonts w:cs="Arial"/>
          <w:sz w:val="18"/>
          <w:szCs w:val="18"/>
        </w:rPr>
        <w:t>c</w:t>
      </w:r>
      <w:r w:rsidRPr="008A4132">
        <w:rPr>
          <w:rFonts w:cs="Arial"/>
          <w:sz w:val="18"/>
          <w:szCs w:val="18"/>
        </w:rPr>
        <w:t>kson (2007) report on 12</w:t>
      </w:r>
      <w:r>
        <w:rPr>
          <w:rFonts w:cs="Arial"/>
          <w:color w:val="FF0000"/>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6D78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E4A2A" w:rsidRDefault="00DE4A2A">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114</w:t>
    </w:r>
    <w:r w:rsidRPr="005F6281">
      <w:rPr>
        <w:rStyle w:val="PageNumber"/>
        <w:rFonts w:cs="Arial"/>
        <w:sz w:val="18"/>
        <w:szCs w:val="18"/>
      </w:rPr>
      <w:fldChar w:fldCharType="end"/>
    </w:r>
  </w:p>
  <w:p w:rsidR="00DE4A2A" w:rsidRPr="00F06563" w:rsidRDefault="00DE4A2A" w:rsidP="00D16CD9">
    <w:pPr>
      <w:pStyle w:val="Header"/>
      <w:ind w:right="360"/>
      <w:jc w:val="center"/>
      <w:rPr>
        <w:sz w:val="18"/>
        <w:szCs w:val="18"/>
      </w:rPr>
    </w:pPr>
    <w:r w:rsidRPr="00F06563">
      <w:rPr>
        <w:sz w:val="18"/>
        <w:szCs w:val="18"/>
      </w:rPr>
      <w:t>Section F – Headline</w:t>
    </w:r>
    <w:r>
      <w:rPr>
        <w:sz w:val="18"/>
        <w:szCs w:val="18"/>
      </w:rPr>
      <w:t xml:space="preserve"> trends in income poverty</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122</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sidRPr="0050573E">
      <w:rPr>
        <w:sz w:val="18"/>
        <w:szCs w:val="18"/>
      </w:rPr>
      <w:t>Section</w:t>
    </w:r>
    <w:r>
      <w:rPr>
        <w:sz w:val="18"/>
        <w:szCs w:val="18"/>
      </w:rPr>
      <w:t xml:space="preserve"> G</w:t>
    </w:r>
    <w:r w:rsidRPr="0050573E">
      <w:rPr>
        <w:sz w:val="18"/>
        <w:szCs w:val="18"/>
      </w:rPr>
      <w:t xml:space="preserve"> – </w:t>
    </w:r>
    <w:r>
      <w:rPr>
        <w:sz w:val="18"/>
        <w:szCs w:val="18"/>
      </w:rPr>
      <w:t xml:space="preserve"> Poverty trends for whole population: detailed breakdown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132</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sidRPr="0050573E">
      <w:rPr>
        <w:sz w:val="18"/>
        <w:szCs w:val="18"/>
      </w:rPr>
      <w:t>Section</w:t>
    </w:r>
    <w:r>
      <w:rPr>
        <w:sz w:val="18"/>
        <w:szCs w:val="18"/>
      </w:rPr>
      <w:t xml:space="preserve"> H</w:t>
    </w:r>
    <w:r w:rsidRPr="0050573E">
      <w:rPr>
        <w:sz w:val="18"/>
        <w:szCs w:val="18"/>
      </w:rPr>
      <w:t xml:space="preserve"> – </w:t>
    </w:r>
    <w:r>
      <w:rPr>
        <w:sz w:val="18"/>
        <w:szCs w:val="18"/>
      </w:rPr>
      <w:t xml:space="preserve"> Poverty trends for children: detailed breakdown</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142</w:t>
    </w:r>
    <w:r w:rsidRPr="005F6281">
      <w:rPr>
        <w:rStyle w:val="PageNumber"/>
        <w:rFonts w:cs="Arial"/>
        <w:sz w:val="18"/>
        <w:szCs w:val="18"/>
      </w:rPr>
      <w:fldChar w:fldCharType="end"/>
    </w:r>
  </w:p>
  <w:p w:rsidR="00DE4A2A" w:rsidRPr="00F06563" w:rsidRDefault="00DE4A2A" w:rsidP="00D16CD9">
    <w:pPr>
      <w:pStyle w:val="Header"/>
      <w:ind w:right="360"/>
      <w:jc w:val="center"/>
      <w:rPr>
        <w:sz w:val="18"/>
        <w:szCs w:val="18"/>
      </w:rPr>
    </w:pPr>
    <w:r>
      <w:rPr>
        <w:sz w:val="18"/>
        <w:szCs w:val="18"/>
      </w:rPr>
      <w:t>Income trends for older New Zealanders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158</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sidRPr="0050573E">
      <w:rPr>
        <w:sz w:val="18"/>
        <w:szCs w:val="18"/>
      </w:rPr>
      <w:t>Section</w:t>
    </w:r>
    <w:r>
      <w:rPr>
        <w:sz w:val="18"/>
        <w:szCs w:val="18"/>
      </w:rPr>
      <w:t xml:space="preserve"> J</w:t>
    </w:r>
    <w:r w:rsidRPr="0050573E">
      <w:rPr>
        <w:sz w:val="18"/>
        <w:szCs w:val="18"/>
      </w:rPr>
      <w:t xml:space="preserve"> – </w:t>
    </w:r>
    <w:r>
      <w:rPr>
        <w:sz w:val="18"/>
        <w:szCs w:val="18"/>
      </w:rPr>
      <w:t xml:space="preserve"> International comparisons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168</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sidRPr="0050573E">
      <w:rPr>
        <w:sz w:val="18"/>
        <w:szCs w:val="18"/>
      </w:rPr>
      <w:t>Section</w:t>
    </w:r>
    <w:r>
      <w:rPr>
        <w:sz w:val="18"/>
        <w:szCs w:val="18"/>
      </w:rPr>
      <w:t xml:space="preserve"> K</w:t>
    </w:r>
    <w:r w:rsidRPr="0050573E">
      <w:rPr>
        <w:sz w:val="18"/>
        <w:szCs w:val="18"/>
      </w:rPr>
      <w:t xml:space="preserve"> – </w:t>
    </w:r>
    <w:r>
      <w:rPr>
        <w:sz w:val="18"/>
        <w:szCs w:val="18"/>
      </w:rPr>
      <w:t xml:space="preserve"> Using non-monetary indicators to assess material hardship</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182</w:t>
    </w:r>
    <w:r w:rsidRPr="005F6281">
      <w:rPr>
        <w:rStyle w:val="PageNumber"/>
        <w:rFonts w:cs="Arial"/>
        <w:sz w:val="18"/>
        <w:szCs w:val="18"/>
      </w:rPr>
      <w:fldChar w:fldCharType="end"/>
    </w:r>
  </w:p>
  <w:p w:rsidR="00DE4A2A" w:rsidRPr="00614C04" w:rsidRDefault="00DE4A2A" w:rsidP="00614C04">
    <w:pPr>
      <w:pStyle w:val="Header"/>
      <w:ind w:right="360"/>
      <w:jc w:val="center"/>
      <w:rPr>
        <w:sz w:val="18"/>
        <w:szCs w:val="18"/>
      </w:rPr>
    </w:pPr>
    <w:r w:rsidRPr="00614C04">
      <w:rPr>
        <w:sz w:val="18"/>
        <w:szCs w:val="18"/>
      </w:rPr>
      <w:t xml:space="preserve">Section L </w:t>
    </w:r>
    <w:r>
      <w:rPr>
        <w:sz w:val="18"/>
        <w:szCs w:val="18"/>
      </w:rPr>
      <w:t>–</w:t>
    </w:r>
    <w:r w:rsidRPr="00614C04">
      <w:rPr>
        <w:sz w:val="18"/>
        <w:szCs w:val="18"/>
      </w:rPr>
      <w:t xml:space="preserve"> </w:t>
    </w:r>
    <w:r>
      <w:rPr>
        <w:sz w:val="18"/>
        <w:szCs w:val="18"/>
      </w:rPr>
      <w:t>Income mobility and low-income persistence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rsidP="00CF69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4A2A" w:rsidRDefault="00DE4A2A" w:rsidP="00CF69BD">
    <w:pPr>
      <w:pStyle w:val="Header"/>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DC1298" w:rsidRDefault="00DE4A2A" w:rsidP="00CF69BD">
    <w:pPr>
      <w:pStyle w:val="Header"/>
      <w:framePr w:wrap="around" w:vAnchor="text" w:hAnchor="margin" w:xAlign="right" w:y="1"/>
      <w:rPr>
        <w:rStyle w:val="PageNumber"/>
        <w:sz w:val="20"/>
      </w:rPr>
    </w:pPr>
    <w:r w:rsidRPr="00AD267F">
      <w:rPr>
        <w:rStyle w:val="PageNumber"/>
        <w:sz w:val="18"/>
        <w:szCs w:val="18"/>
      </w:rPr>
      <w:fldChar w:fldCharType="begin"/>
    </w:r>
    <w:r w:rsidRPr="00AD267F">
      <w:rPr>
        <w:rStyle w:val="PageNumber"/>
        <w:sz w:val="18"/>
        <w:szCs w:val="18"/>
      </w:rPr>
      <w:instrText xml:space="preserve">PAGE  </w:instrText>
    </w:r>
    <w:r w:rsidRPr="00AD267F">
      <w:rPr>
        <w:rStyle w:val="PageNumber"/>
        <w:sz w:val="18"/>
        <w:szCs w:val="18"/>
      </w:rPr>
      <w:fldChar w:fldCharType="separate"/>
    </w:r>
    <w:r w:rsidR="00EC0BE0">
      <w:rPr>
        <w:rStyle w:val="PageNumber"/>
        <w:noProof/>
        <w:sz w:val="18"/>
        <w:szCs w:val="18"/>
      </w:rPr>
      <w:t>186</w:t>
    </w:r>
    <w:r w:rsidRPr="00AD267F">
      <w:rPr>
        <w:rStyle w:val="PageNumber"/>
        <w:sz w:val="18"/>
        <w:szCs w:val="18"/>
      </w:rPr>
      <w:fldChar w:fldCharType="end"/>
    </w:r>
  </w:p>
  <w:p w:rsidR="00DE4A2A" w:rsidRPr="0050573E" w:rsidRDefault="00DE4A2A" w:rsidP="00D16CD9">
    <w:pPr>
      <w:pStyle w:val="Header"/>
      <w:ind w:right="360"/>
      <w:jc w:val="cent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Default="00DE4A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CF639F">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xi</w:t>
    </w:r>
    <w:r w:rsidRPr="005F6281">
      <w:rPr>
        <w:rStyle w:val="PageNumber"/>
        <w:rFonts w:cs="Arial"/>
        <w:sz w:val="18"/>
        <w:szCs w:val="18"/>
      </w:rPr>
      <w:fldChar w:fldCharType="end"/>
    </w:r>
  </w:p>
  <w:p w:rsidR="00DE4A2A" w:rsidRPr="00086ED8" w:rsidRDefault="00DE4A2A" w:rsidP="00086ED8">
    <w:pPr>
      <w:pStyle w:val="Header"/>
      <w:ind w:right="360"/>
      <w:jc w:val="center"/>
      <w:rPr>
        <w:rFonts w:cs="Arial"/>
        <w:b/>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2</w:t>
    </w:r>
    <w:r w:rsidRPr="005F6281">
      <w:rPr>
        <w:rStyle w:val="PageNumber"/>
        <w:rFonts w:cs="Arial"/>
        <w:sz w:val="18"/>
        <w:szCs w:val="18"/>
      </w:rPr>
      <w:fldChar w:fldCharType="end"/>
    </w:r>
  </w:p>
  <w:p w:rsidR="00DE4A2A" w:rsidRPr="00A07712" w:rsidRDefault="00DE4A2A" w:rsidP="00A07712">
    <w:pPr>
      <w:pStyle w:val="Header"/>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11</w:t>
    </w:r>
    <w:r w:rsidRPr="005F6281">
      <w:rPr>
        <w:rStyle w:val="PageNumber"/>
        <w:rFonts w:cs="Arial"/>
        <w:sz w:val="18"/>
        <w:szCs w:val="18"/>
      </w:rPr>
      <w:fldChar w:fldCharType="end"/>
    </w:r>
  </w:p>
  <w:p w:rsidR="00DE4A2A" w:rsidRPr="00A07712" w:rsidRDefault="00DE4A2A" w:rsidP="00D16CD9">
    <w:pPr>
      <w:pStyle w:val="Header"/>
      <w:ind w:right="360"/>
      <w:jc w:val="center"/>
      <w:rPr>
        <w:sz w:val="18"/>
        <w:szCs w:val="18"/>
      </w:rPr>
    </w:pPr>
    <w:r w:rsidRPr="00A07712">
      <w:rPr>
        <w:sz w:val="18"/>
        <w:szCs w:val="18"/>
      </w:rPr>
      <w:t>Summary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38</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Pr>
        <w:sz w:val="18"/>
        <w:szCs w:val="18"/>
      </w:rPr>
      <w:t>Section A - Introduction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56</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Pr>
        <w:sz w:val="18"/>
        <w:szCs w:val="18"/>
      </w:rPr>
      <w:t>Section B - Household incomes in 2010-11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64</w:t>
    </w:r>
    <w:r w:rsidRPr="005F6281">
      <w:rPr>
        <w:rStyle w:val="PageNumber"/>
        <w:rFonts w:cs="Arial"/>
        <w:sz w:val="18"/>
        <w:szCs w:val="18"/>
      </w:rPr>
      <w:fldChar w:fldCharType="end"/>
    </w:r>
  </w:p>
  <w:p w:rsidR="00DE4A2A" w:rsidRPr="0050573E" w:rsidRDefault="00DE4A2A" w:rsidP="00D16CD9">
    <w:pPr>
      <w:pStyle w:val="Header"/>
      <w:ind w:right="360"/>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86</w:t>
    </w:r>
    <w:r w:rsidRPr="005F6281">
      <w:rPr>
        <w:rStyle w:val="PageNumber"/>
        <w:rFonts w:cs="Arial"/>
        <w:sz w:val="18"/>
        <w:szCs w:val="18"/>
      </w:rPr>
      <w:fldChar w:fldCharType="end"/>
    </w:r>
  </w:p>
  <w:p w:rsidR="00DE4A2A" w:rsidRPr="0050573E" w:rsidRDefault="00DE4A2A" w:rsidP="00F62034">
    <w:pPr>
      <w:pStyle w:val="Header"/>
      <w:ind w:right="360"/>
      <w:jc w:val="center"/>
      <w:rPr>
        <w:sz w:val="18"/>
        <w:szCs w:val="18"/>
      </w:rPr>
    </w:pPr>
    <w:r w:rsidRPr="0050573E">
      <w:rPr>
        <w:sz w:val="18"/>
        <w:szCs w:val="18"/>
      </w:rPr>
      <w:t>Section</w:t>
    </w:r>
    <w:r>
      <w:rPr>
        <w:sz w:val="18"/>
        <w:szCs w:val="18"/>
      </w:rPr>
      <w:t xml:space="preserve"> D</w:t>
    </w:r>
    <w:r w:rsidRPr="0050573E">
      <w:rPr>
        <w:sz w:val="18"/>
        <w:szCs w:val="18"/>
      </w:rPr>
      <w:t xml:space="preserve"> – </w:t>
    </w:r>
    <w:r>
      <w:rPr>
        <w:sz w:val="18"/>
        <w:szCs w:val="18"/>
      </w:rPr>
      <w:t xml:space="preserve"> Household incomes and inequality, 1982 to 2011</w:t>
    </w:r>
  </w:p>
  <w:p w:rsidR="00DE4A2A" w:rsidRPr="0050573E" w:rsidRDefault="00DE4A2A" w:rsidP="00F62034">
    <w:pPr>
      <w:pStyle w:val="Header"/>
      <w:ind w:right="360"/>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2A" w:rsidRPr="00AD7567" w:rsidRDefault="00DE4A2A" w:rsidP="001E0001">
    <w:pPr>
      <w:pStyle w:val="Header"/>
      <w:framePr w:wrap="around" w:vAnchor="text" w:hAnchor="margin" w:xAlign="right" w:y="1"/>
      <w:rPr>
        <w:rStyle w:val="PageNumber"/>
        <w:rFonts w:cs="Arial"/>
        <w:sz w:val="20"/>
      </w:rPr>
    </w:pPr>
    <w:r w:rsidRPr="005F6281">
      <w:rPr>
        <w:rStyle w:val="PageNumber"/>
        <w:rFonts w:cs="Arial"/>
        <w:sz w:val="18"/>
        <w:szCs w:val="18"/>
      </w:rPr>
      <w:fldChar w:fldCharType="begin"/>
    </w:r>
    <w:r w:rsidRPr="005F6281">
      <w:rPr>
        <w:rStyle w:val="PageNumber"/>
        <w:rFonts w:cs="Arial"/>
        <w:sz w:val="18"/>
        <w:szCs w:val="18"/>
      </w:rPr>
      <w:instrText xml:space="preserve">PAGE  </w:instrText>
    </w:r>
    <w:r w:rsidRPr="005F6281">
      <w:rPr>
        <w:rStyle w:val="PageNumber"/>
        <w:rFonts w:cs="Arial"/>
        <w:sz w:val="18"/>
        <w:szCs w:val="18"/>
      </w:rPr>
      <w:fldChar w:fldCharType="separate"/>
    </w:r>
    <w:r w:rsidR="00EC0BE0">
      <w:rPr>
        <w:rStyle w:val="PageNumber"/>
        <w:rFonts w:cs="Arial"/>
        <w:noProof/>
        <w:sz w:val="18"/>
        <w:szCs w:val="18"/>
      </w:rPr>
      <w:t>98</w:t>
    </w:r>
    <w:r w:rsidRPr="005F6281">
      <w:rPr>
        <w:rStyle w:val="PageNumber"/>
        <w:rFonts w:cs="Arial"/>
        <w:sz w:val="18"/>
        <w:szCs w:val="18"/>
      </w:rPr>
      <w:fldChar w:fldCharType="end"/>
    </w:r>
  </w:p>
  <w:p w:rsidR="00DE4A2A" w:rsidRPr="0050573E" w:rsidRDefault="00DE4A2A" w:rsidP="00086ED8">
    <w:pPr>
      <w:pStyle w:val="Header"/>
      <w:ind w:right="360"/>
      <w:jc w:val="center"/>
      <w:rPr>
        <w:sz w:val="18"/>
        <w:szCs w:val="18"/>
      </w:rPr>
    </w:pPr>
    <w:r>
      <w:rPr>
        <w:sz w:val="18"/>
        <w:szCs w:val="18"/>
      </w:rPr>
      <w:t xml:space="preserve">Section E </w:t>
    </w:r>
    <w:r w:rsidRPr="0050573E">
      <w:rPr>
        <w:sz w:val="18"/>
        <w:szCs w:val="18"/>
      </w:rPr>
      <w:t>–</w:t>
    </w:r>
    <w:r>
      <w:rPr>
        <w:sz w:val="18"/>
        <w:szCs w:val="18"/>
      </w:rPr>
      <w:t xml:space="preserve"> Poverty: conceptualisation and measurement issues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73.5pt" o:bullet="t">
        <v:imagedata r:id="rId1" o:title=""/>
      </v:shape>
    </w:pict>
  </w:numPicBullet>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4561"/>
    <w:multiLevelType w:val="hybridMultilevel"/>
    <w:tmpl w:val="3DAA06E2"/>
    <w:lvl w:ilvl="0" w:tplc="2DC2D9E8">
      <w:start w:val="1"/>
      <w:numFmt w:val="bullet"/>
      <w:lvlText w:val="-"/>
      <w:lvlJc w:val="left"/>
      <w:pPr>
        <w:tabs>
          <w:tab w:val="num" w:pos="720"/>
        </w:tabs>
        <w:ind w:left="720" w:hanging="360"/>
      </w:pPr>
      <w:rPr>
        <w:rFonts w:ascii="Arial" w:hAnsi="Arial" w:hint="default"/>
      </w:rPr>
    </w:lvl>
    <w:lvl w:ilvl="1" w:tplc="A9A47756">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A573B3"/>
    <w:multiLevelType w:val="hybridMultilevel"/>
    <w:tmpl w:val="D90079F6"/>
    <w:lvl w:ilvl="0" w:tplc="2DC2D9E8">
      <w:start w:val="1"/>
      <w:numFmt w:val="bullet"/>
      <w:lvlText w:val="-"/>
      <w:lvlJc w:val="left"/>
      <w:pPr>
        <w:tabs>
          <w:tab w:val="num" w:pos="720"/>
        </w:tabs>
        <w:ind w:left="720" w:hanging="360"/>
      </w:pPr>
      <w:rPr>
        <w:rFonts w:ascii="Arial" w:hAnsi="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CC2E30"/>
    <w:multiLevelType w:val="hybridMultilevel"/>
    <w:tmpl w:val="584815B8"/>
    <w:lvl w:ilvl="0" w:tplc="2DC2D9E8">
      <w:start w:val="1"/>
      <w:numFmt w:val="bullet"/>
      <w:lvlText w:val="-"/>
      <w:lvlJc w:val="left"/>
      <w:pPr>
        <w:tabs>
          <w:tab w:val="num" w:pos="720"/>
        </w:tabs>
        <w:ind w:left="720" w:hanging="360"/>
      </w:pPr>
      <w:rPr>
        <w:rFonts w:ascii="Arial" w:hAnsi="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02285E"/>
    <w:multiLevelType w:val="hybridMultilevel"/>
    <w:tmpl w:val="B3044258"/>
    <w:lvl w:ilvl="0" w:tplc="874004F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B2082D"/>
    <w:multiLevelType w:val="hybridMultilevel"/>
    <w:tmpl w:val="9092B45E"/>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F87738"/>
    <w:multiLevelType w:val="hybridMultilevel"/>
    <w:tmpl w:val="C2968010"/>
    <w:lvl w:ilvl="0" w:tplc="0C090001">
      <w:start w:val="1"/>
      <w:numFmt w:val="bullet"/>
      <w:lvlText w:val=""/>
      <w:lvlJc w:val="left"/>
      <w:pPr>
        <w:tabs>
          <w:tab w:val="num" w:pos="1260"/>
        </w:tabs>
        <w:ind w:left="126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BC594B"/>
    <w:multiLevelType w:val="hybridMultilevel"/>
    <w:tmpl w:val="BF8A92F2"/>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56A6506"/>
    <w:multiLevelType w:val="hybridMultilevel"/>
    <w:tmpl w:val="A4026254"/>
    <w:lvl w:ilvl="0" w:tplc="2DC2D9E8">
      <w:start w:val="1"/>
      <w:numFmt w:val="bullet"/>
      <w:lvlText w:val="-"/>
      <w:lvlJc w:val="left"/>
      <w:pPr>
        <w:tabs>
          <w:tab w:val="num" w:pos="720"/>
        </w:tabs>
        <w:ind w:left="720" w:hanging="360"/>
      </w:pPr>
      <w:rPr>
        <w:rFonts w:ascii="Arial" w:hAnsi="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907873"/>
    <w:multiLevelType w:val="hybridMultilevel"/>
    <w:tmpl w:val="E9B2E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765748"/>
    <w:multiLevelType w:val="hybridMultilevel"/>
    <w:tmpl w:val="75DE3E60"/>
    <w:lvl w:ilvl="0" w:tplc="0C090001">
      <w:start w:val="1"/>
      <w:numFmt w:val="bullet"/>
      <w:lvlText w:val=""/>
      <w:lvlJc w:val="left"/>
      <w:pPr>
        <w:tabs>
          <w:tab w:val="num" w:pos="1260"/>
        </w:tabs>
        <w:ind w:left="1260" w:hanging="360"/>
      </w:pPr>
      <w:rPr>
        <w:rFonts w:ascii="Symbol" w:hAnsi="Symbol" w:hint="default"/>
      </w:rPr>
    </w:lvl>
    <w:lvl w:ilvl="1" w:tplc="A8F66F4A">
      <w:start w:val="212"/>
      <w:numFmt w:val="decimal"/>
      <w:lvlText w:val="%2."/>
      <w:lvlJc w:val="left"/>
      <w:pPr>
        <w:tabs>
          <w:tab w:val="num" w:pos="1680"/>
        </w:tabs>
        <w:ind w:left="1680" w:hanging="420"/>
      </w:pPr>
      <w:rPr>
        <w:rFonts w:hint="default"/>
      </w:rPr>
    </w:lvl>
    <w:lvl w:ilvl="2" w:tplc="BEC89864">
      <w:start w:val="13"/>
      <w:numFmt w:val="decimal"/>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083511DF"/>
    <w:multiLevelType w:val="hybridMultilevel"/>
    <w:tmpl w:val="B2C01F1A"/>
    <w:lvl w:ilvl="0" w:tplc="997A492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8973DEE"/>
    <w:multiLevelType w:val="hybridMultilevel"/>
    <w:tmpl w:val="EAD8EEE8"/>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9F2B38"/>
    <w:multiLevelType w:val="hybridMultilevel"/>
    <w:tmpl w:val="7F3ECB18"/>
    <w:lvl w:ilvl="0" w:tplc="DAF8F78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DD4107"/>
    <w:multiLevelType w:val="hybridMultilevel"/>
    <w:tmpl w:val="E4FAF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C4D2B03"/>
    <w:multiLevelType w:val="hybridMultilevel"/>
    <w:tmpl w:val="9CE46E08"/>
    <w:lvl w:ilvl="0" w:tplc="580E86E0">
      <w:start w:val="1"/>
      <w:numFmt w:val="bullet"/>
      <w:lvlText w:val=""/>
      <w:lvlJc w:val="left"/>
      <w:pPr>
        <w:tabs>
          <w:tab w:val="num" w:pos="720"/>
        </w:tabs>
        <w:ind w:left="72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595B31"/>
    <w:multiLevelType w:val="hybridMultilevel"/>
    <w:tmpl w:val="6E7E2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EF929A2"/>
    <w:multiLevelType w:val="hybridMultilevel"/>
    <w:tmpl w:val="E3943B7C"/>
    <w:lvl w:ilvl="0" w:tplc="2DC2D9E8">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07512F3"/>
    <w:multiLevelType w:val="hybridMultilevel"/>
    <w:tmpl w:val="5D641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453B0D"/>
    <w:multiLevelType w:val="hybridMultilevel"/>
    <w:tmpl w:val="672C5E30"/>
    <w:lvl w:ilvl="0" w:tplc="DAF8F7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17906D9"/>
    <w:multiLevelType w:val="hybridMultilevel"/>
    <w:tmpl w:val="AD368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19365F9"/>
    <w:multiLevelType w:val="hybridMultilevel"/>
    <w:tmpl w:val="A10AA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5A2E71"/>
    <w:multiLevelType w:val="hybridMultilevel"/>
    <w:tmpl w:val="9FF04998"/>
    <w:lvl w:ilvl="0" w:tplc="2DC2D9E8">
      <w:start w:val="1"/>
      <w:numFmt w:val="bullet"/>
      <w:lvlText w:val="-"/>
      <w:lvlJc w:val="left"/>
      <w:pPr>
        <w:tabs>
          <w:tab w:val="num" w:pos="630"/>
        </w:tabs>
        <w:ind w:left="63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43F756E"/>
    <w:multiLevelType w:val="hybridMultilevel"/>
    <w:tmpl w:val="B7A4BE30"/>
    <w:lvl w:ilvl="0" w:tplc="0C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4E669A6"/>
    <w:multiLevelType w:val="hybridMultilevel"/>
    <w:tmpl w:val="C6BE2308"/>
    <w:lvl w:ilvl="0" w:tplc="04090001">
      <w:start w:val="1"/>
      <w:numFmt w:val="bullet"/>
      <w:lvlText w:val=""/>
      <w:lvlJc w:val="left"/>
      <w:pPr>
        <w:tabs>
          <w:tab w:val="num" w:pos="630"/>
        </w:tabs>
        <w:ind w:left="630" w:hanging="360"/>
      </w:pPr>
      <w:rPr>
        <w:rFonts w:ascii="Symbol" w:hAnsi="Symbol" w:hint="default"/>
      </w:rPr>
    </w:lvl>
    <w:lvl w:ilvl="1" w:tplc="01A46DFE">
      <w:numFmt w:val="bullet"/>
      <w:lvlText w:val="-"/>
      <w:lvlJc w:val="left"/>
      <w:pPr>
        <w:tabs>
          <w:tab w:val="num" w:pos="1350"/>
        </w:tabs>
        <w:ind w:left="1350" w:hanging="360"/>
      </w:pPr>
      <w:rPr>
        <w:rFonts w:ascii="Arial" w:eastAsia="Times New Roman" w:hAnsi="Arial" w:cs="Arial"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nsid w:val="16545091"/>
    <w:multiLevelType w:val="hybridMultilevel"/>
    <w:tmpl w:val="24F0727E"/>
    <w:lvl w:ilvl="0" w:tplc="01A46DF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9338BE"/>
    <w:multiLevelType w:val="hybridMultilevel"/>
    <w:tmpl w:val="127A59E0"/>
    <w:lvl w:ilvl="0" w:tplc="FDAE9D5E">
      <w:start w:val="1"/>
      <w:numFmt w:val="bullet"/>
      <w:lvlText w:val="-"/>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6F73460"/>
    <w:multiLevelType w:val="hybridMultilevel"/>
    <w:tmpl w:val="25DCE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8DE2222"/>
    <w:multiLevelType w:val="hybridMultilevel"/>
    <w:tmpl w:val="5ABC6446"/>
    <w:lvl w:ilvl="0" w:tplc="01A46DFE">
      <w:numFmt w:val="bullet"/>
      <w:lvlText w:val="-"/>
      <w:lvlJc w:val="left"/>
      <w:pPr>
        <w:tabs>
          <w:tab w:val="num" w:pos="720"/>
        </w:tabs>
        <w:ind w:left="720" w:hanging="360"/>
      </w:pPr>
      <w:rPr>
        <w:rFonts w:ascii="Arial" w:eastAsia="Times New Roman" w:hAnsi="Arial" w:cs="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9284AC6"/>
    <w:multiLevelType w:val="hybridMultilevel"/>
    <w:tmpl w:val="9400332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19E17B3D"/>
    <w:multiLevelType w:val="hybridMultilevel"/>
    <w:tmpl w:val="5CD6F674"/>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9F45409"/>
    <w:multiLevelType w:val="hybridMultilevel"/>
    <w:tmpl w:val="26D876E0"/>
    <w:lvl w:ilvl="0" w:tplc="1B84D61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9501F5"/>
    <w:multiLevelType w:val="hybridMultilevel"/>
    <w:tmpl w:val="9250952A"/>
    <w:lvl w:ilvl="0" w:tplc="0C090001">
      <w:start w:val="1"/>
      <w:numFmt w:val="bullet"/>
      <w:lvlText w:val=""/>
      <w:lvlJc w:val="left"/>
      <w:pPr>
        <w:tabs>
          <w:tab w:val="num" w:pos="1494"/>
        </w:tabs>
        <w:ind w:left="1494" w:hanging="360"/>
      </w:pPr>
      <w:rPr>
        <w:rFonts w:ascii="Symbol" w:hAnsi="Symbol" w:hint="default"/>
      </w:rPr>
    </w:lvl>
    <w:lvl w:ilvl="1" w:tplc="0C090003" w:tentative="1">
      <w:start w:val="1"/>
      <w:numFmt w:val="bullet"/>
      <w:lvlText w:val="o"/>
      <w:lvlJc w:val="left"/>
      <w:pPr>
        <w:tabs>
          <w:tab w:val="num" w:pos="2214"/>
        </w:tabs>
        <w:ind w:left="2214" w:hanging="360"/>
      </w:pPr>
      <w:rPr>
        <w:rFonts w:ascii="Courier New" w:hAnsi="Courier New" w:cs="Courier New" w:hint="default"/>
      </w:rPr>
    </w:lvl>
    <w:lvl w:ilvl="2" w:tplc="0C090005" w:tentative="1">
      <w:start w:val="1"/>
      <w:numFmt w:val="bullet"/>
      <w:lvlText w:val=""/>
      <w:lvlJc w:val="left"/>
      <w:pPr>
        <w:tabs>
          <w:tab w:val="num" w:pos="2934"/>
        </w:tabs>
        <w:ind w:left="2934" w:hanging="360"/>
      </w:pPr>
      <w:rPr>
        <w:rFonts w:ascii="Wingdings" w:hAnsi="Wingdings" w:hint="default"/>
      </w:rPr>
    </w:lvl>
    <w:lvl w:ilvl="3" w:tplc="0C090001" w:tentative="1">
      <w:start w:val="1"/>
      <w:numFmt w:val="bullet"/>
      <w:lvlText w:val=""/>
      <w:lvlJc w:val="left"/>
      <w:pPr>
        <w:tabs>
          <w:tab w:val="num" w:pos="3654"/>
        </w:tabs>
        <w:ind w:left="3654" w:hanging="360"/>
      </w:pPr>
      <w:rPr>
        <w:rFonts w:ascii="Symbol" w:hAnsi="Symbol" w:hint="default"/>
      </w:rPr>
    </w:lvl>
    <w:lvl w:ilvl="4" w:tplc="0C090003" w:tentative="1">
      <w:start w:val="1"/>
      <w:numFmt w:val="bullet"/>
      <w:lvlText w:val="o"/>
      <w:lvlJc w:val="left"/>
      <w:pPr>
        <w:tabs>
          <w:tab w:val="num" w:pos="4374"/>
        </w:tabs>
        <w:ind w:left="4374" w:hanging="360"/>
      </w:pPr>
      <w:rPr>
        <w:rFonts w:ascii="Courier New" w:hAnsi="Courier New" w:cs="Courier New" w:hint="default"/>
      </w:rPr>
    </w:lvl>
    <w:lvl w:ilvl="5" w:tplc="0C090005" w:tentative="1">
      <w:start w:val="1"/>
      <w:numFmt w:val="bullet"/>
      <w:lvlText w:val=""/>
      <w:lvlJc w:val="left"/>
      <w:pPr>
        <w:tabs>
          <w:tab w:val="num" w:pos="5094"/>
        </w:tabs>
        <w:ind w:left="5094" w:hanging="360"/>
      </w:pPr>
      <w:rPr>
        <w:rFonts w:ascii="Wingdings" w:hAnsi="Wingdings" w:hint="default"/>
      </w:rPr>
    </w:lvl>
    <w:lvl w:ilvl="6" w:tplc="0C090001" w:tentative="1">
      <w:start w:val="1"/>
      <w:numFmt w:val="bullet"/>
      <w:lvlText w:val=""/>
      <w:lvlJc w:val="left"/>
      <w:pPr>
        <w:tabs>
          <w:tab w:val="num" w:pos="5814"/>
        </w:tabs>
        <w:ind w:left="5814" w:hanging="360"/>
      </w:pPr>
      <w:rPr>
        <w:rFonts w:ascii="Symbol" w:hAnsi="Symbol" w:hint="default"/>
      </w:rPr>
    </w:lvl>
    <w:lvl w:ilvl="7" w:tplc="0C090003" w:tentative="1">
      <w:start w:val="1"/>
      <w:numFmt w:val="bullet"/>
      <w:lvlText w:val="o"/>
      <w:lvlJc w:val="left"/>
      <w:pPr>
        <w:tabs>
          <w:tab w:val="num" w:pos="6534"/>
        </w:tabs>
        <w:ind w:left="6534" w:hanging="360"/>
      </w:pPr>
      <w:rPr>
        <w:rFonts w:ascii="Courier New" w:hAnsi="Courier New" w:cs="Courier New" w:hint="default"/>
      </w:rPr>
    </w:lvl>
    <w:lvl w:ilvl="8" w:tplc="0C090005" w:tentative="1">
      <w:start w:val="1"/>
      <w:numFmt w:val="bullet"/>
      <w:lvlText w:val=""/>
      <w:lvlJc w:val="left"/>
      <w:pPr>
        <w:tabs>
          <w:tab w:val="num" w:pos="7254"/>
        </w:tabs>
        <w:ind w:left="7254" w:hanging="360"/>
      </w:pPr>
      <w:rPr>
        <w:rFonts w:ascii="Wingdings" w:hAnsi="Wingdings" w:hint="default"/>
      </w:rPr>
    </w:lvl>
  </w:abstractNum>
  <w:abstractNum w:abstractNumId="34">
    <w:nsid w:val="1DE22BC5"/>
    <w:multiLevelType w:val="hybridMultilevel"/>
    <w:tmpl w:val="E4FE6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E5A2152"/>
    <w:multiLevelType w:val="hybridMultilevel"/>
    <w:tmpl w:val="DFC04908"/>
    <w:lvl w:ilvl="0" w:tplc="2DC2D9E8">
      <w:start w:val="1"/>
      <w:numFmt w:val="bullet"/>
      <w:lvlText w:val="-"/>
      <w:lvlJc w:val="left"/>
      <w:pPr>
        <w:tabs>
          <w:tab w:val="num" w:pos="873"/>
        </w:tabs>
        <w:ind w:left="873" w:hanging="360"/>
      </w:pPr>
      <w:rPr>
        <w:rFonts w:ascii="Arial" w:hAnsi="Arial" w:hint="default"/>
      </w:rPr>
    </w:lvl>
    <w:lvl w:ilvl="1" w:tplc="0C090003" w:tentative="1">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36">
    <w:nsid w:val="1EC809E1"/>
    <w:multiLevelType w:val="hybridMultilevel"/>
    <w:tmpl w:val="6E460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1F1A6252"/>
    <w:multiLevelType w:val="hybridMultilevel"/>
    <w:tmpl w:val="5024FC04"/>
    <w:lvl w:ilvl="0" w:tplc="A6AEFAFA">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1D1002D"/>
    <w:multiLevelType w:val="hybridMultilevel"/>
    <w:tmpl w:val="ECA87D7A"/>
    <w:lvl w:ilvl="0" w:tplc="2DC2D9E8">
      <w:start w:val="1"/>
      <w:numFmt w:val="bullet"/>
      <w:lvlText w:val="-"/>
      <w:lvlJc w:val="left"/>
      <w:pPr>
        <w:tabs>
          <w:tab w:val="num" w:pos="873"/>
        </w:tabs>
        <w:ind w:left="873" w:hanging="360"/>
      </w:pPr>
      <w:rPr>
        <w:rFonts w:ascii="Arial" w:hAnsi="Arial" w:hint="default"/>
      </w:rPr>
    </w:lvl>
    <w:lvl w:ilvl="1" w:tplc="0C090003" w:tentative="1">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39">
    <w:nsid w:val="238F5350"/>
    <w:multiLevelType w:val="hybridMultilevel"/>
    <w:tmpl w:val="F8543E6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39527F"/>
    <w:multiLevelType w:val="hybridMultilevel"/>
    <w:tmpl w:val="524EE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4A928D9"/>
    <w:multiLevelType w:val="hybridMultilevel"/>
    <w:tmpl w:val="DCA440E0"/>
    <w:lvl w:ilvl="0" w:tplc="04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5975DC1"/>
    <w:multiLevelType w:val="hybridMultilevel"/>
    <w:tmpl w:val="07E88C02"/>
    <w:lvl w:ilvl="0" w:tplc="DAF8F786">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3">
    <w:nsid w:val="25C408BD"/>
    <w:multiLevelType w:val="hybridMultilevel"/>
    <w:tmpl w:val="E0C6B3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6D8585E"/>
    <w:multiLevelType w:val="hybridMultilevel"/>
    <w:tmpl w:val="AC12A7FA"/>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72617E9"/>
    <w:multiLevelType w:val="hybridMultilevel"/>
    <w:tmpl w:val="F61C58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94D3A25"/>
    <w:multiLevelType w:val="hybridMultilevel"/>
    <w:tmpl w:val="A72A8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A6B11FB"/>
    <w:multiLevelType w:val="hybridMultilevel"/>
    <w:tmpl w:val="08064F3A"/>
    <w:lvl w:ilvl="0" w:tplc="86C6E8F4">
      <w:numFmt w:val="bullet"/>
      <w:lvlText w:val="-"/>
      <w:lvlJc w:val="left"/>
      <w:pPr>
        <w:tabs>
          <w:tab w:val="num" w:pos="720"/>
        </w:tabs>
        <w:ind w:left="720" w:hanging="360"/>
      </w:pPr>
      <w:rPr>
        <w:rFonts w:ascii="Arial" w:eastAsia="Symbol" w:hAnsi="Arial" w:cs="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A94376B"/>
    <w:multiLevelType w:val="hybridMultilevel"/>
    <w:tmpl w:val="C948731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2B0225D4"/>
    <w:multiLevelType w:val="hybridMultilevel"/>
    <w:tmpl w:val="C12C3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B451E87"/>
    <w:multiLevelType w:val="hybridMultilevel"/>
    <w:tmpl w:val="D6ACFF46"/>
    <w:lvl w:ilvl="0" w:tplc="2DC2D9E8">
      <w:start w:val="1"/>
      <w:numFmt w:val="bullet"/>
      <w:lvlText w:val="-"/>
      <w:lvlJc w:val="left"/>
      <w:pPr>
        <w:tabs>
          <w:tab w:val="num" w:pos="720"/>
        </w:tabs>
        <w:ind w:left="720" w:hanging="360"/>
      </w:pPr>
      <w:rPr>
        <w:rFonts w:ascii="Arial" w:hAnsi="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BB031F5"/>
    <w:multiLevelType w:val="hybridMultilevel"/>
    <w:tmpl w:val="70DAE8AC"/>
    <w:lvl w:ilvl="0" w:tplc="14090001">
      <w:start w:val="1"/>
      <w:numFmt w:val="bullet"/>
      <w:lvlText w:val=""/>
      <w:lvlJc w:val="left"/>
      <w:pPr>
        <w:ind w:left="720" w:hanging="360"/>
      </w:pPr>
      <w:rPr>
        <w:rFonts w:ascii="Symbol" w:hAnsi="Symbo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D6C5556"/>
    <w:multiLevelType w:val="hybridMultilevel"/>
    <w:tmpl w:val="FE1E51BC"/>
    <w:lvl w:ilvl="0" w:tplc="2DC2D9E8">
      <w:start w:val="1"/>
      <w:numFmt w:val="bullet"/>
      <w:lvlText w:val="-"/>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E1F0D92"/>
    <w:multiLevelType w:val="hybridMultilevel"/>
    <w:tmpl w:val="8AB81F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31070B5D"/>
    <w:multiLevelType w:val="hybridMultilevel"/>
    <w:tmpl w:val="3DC29534"/>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15B3E1A"/>
    <w:multiLevelType w:val="hybridMultilevel"/>
    <w:tmpl w:val="6456BA72"/>
    <w:lvl w:ilvl="0" w:tplc="0C090001">
      <w:start w:val="1"/>
      <w:numFmt w:val="bullet"/>
      <w:lvlText w:val=""/>
      <w:lvlJc w:val="left"/>
      <w:pPr>
        <w:tabs>
          <w:tab w:val="num" w:pos="720"/>
        </w:tabs>
        <w:ind w:left="720" w:hanging="360"/>
      </w:pPr>
      <w:rPr>
        <w:rFonts w:ascii="Symbol" w:hAnsi="Symbol" w:hint="default"/>
      </w:rPr>
    </w:lvl>
    <w:lvl w:ilvl="1" w:tplc="A9A47756">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194411E"/>
    <w:multiLevelType w:val="hybridMultilevel"/>
    <w:tmpl w:val="B10811A6"/>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33F3187"/>
    <w:multiLevelType w:val="hybridMultilevel"/>
    <w:tmpl w:val="66AAE348"/>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59">
    <w:nsid w:val="356F190D"/>
    <w:multiLevelType w:val="hybridMultilevel"/>
    <w:tmpl w:val="643CDC50"/>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811252A"/>
    <w:multiLevelType w:val="hybridMultilevel"/>
    <w:tmpl w:val="10828E4E"/>
    <w:lvl w:ilvl="0" w:tplc="2DC2D9E8">
      <w:start w:val="1"/>
      <w:numFmt w:val="bullet"/>
      <w:lvlText w:val="-"/>
      <w:lvlJc w:val="left"/>
      <w:pPr>
        <w:tabs>
          <w:tab w:val="num" w:pos="720"/>
        </w:tabs>
        <w:ind w:left="720" w:hanging="360"/>
      </w:pPr>
      <w:rPr>
        <w:rFonts w:ascii="Arial" w:hAnsi="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8D4493D"/>
    <w:multiLevelType w:val="hybridMultilevel"/>
    <w:tmpl w:val="ED989CB4"/>
    <w:lvl w:ilvl="0" w:tplc="04090001">
      <w:start w:val="1"/>
      <w:numFmt w:val="bullet"/>
      <w:lvlText w:val=""/>
      <w:lvlJc w:val="left"/>
      <w:pPr>
        <w:tabs>
          <w:tab w:val="num" w:pos="720"/>
        </w:tabs>
        <w:ind w:left="720" w:hanging="360"/>
      </w:pPr>
      <w:rPr>
        <w:rFonts w:ascii="Symbol" w:hAnsi="Symbol" w:hint="default"/>
      </w:rPr>
    </w:lvl>
    <w:lvl w:ilvl="1" w:tplc="31304E9E">
      <w:start w:val="1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AF45062"/>
    <w:multiLevelType w:val="hybridMultilevel"/>
    <w:tmpl w:val="08D63C98"/>
    <w:lvl w:ilvl="0" w:tplc="D262890C">
      <w:start w:val="1"/>
      <w:numFmt w:val="bullet"/>
      <w:lvlText w:val="-"/>
      <w:lvlJc w:val="left"/>
      <w:pPr>
        <w:tabs>
          <w:tab w:val="num" w:pos="801"/>
        </w:tabs>
        <w:ind w:left="801" w:hanging="288"/>
      </w:pPr>
      <w:rPr>
        <w:rFonts w:ascii="Arial" w:hAnsi="Aria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63">
    <w:nsid w:val="3B283FC2"/>
    <w:multiLevelType w:val="hybridMultilevel"/>
    <w:tmpl w:val="5936C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B8944DB"/>
    <w:multiLevelType w:val="hybridMultilevel"/>
    <w:tmpl w:val="ADA2C2E6"/>
    <w:lvl w:ilvl="0" w:tplc="997A492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3C791FD5"/>
    <w:multiLevelType w:val="hybridMultilevel"/>
    <w:tmpl w:val="0ED8B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DA472C3"/>
    <w:multiLevelType w:val="hybridMultilevel"/>
    <w:tmpl w:val="D38664E4"/>
    <w:lvl w:ilvl="0" w:tplc="997A492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3E32385F"/>
    <w:multiLevelType w:val="hybridMultilevel"/>
    <w:tmpl w:val="D14E4B5A"/>
    <w:lvl w:ilvl="0" w:tplc="0C090001">
      <w:start w:val="1"/>
      <w:numFmt w:val="bullet"/>
      <w:lvlText w:val=""/>
      <w:lvlJc w:val="left"/>
      <w:pPr>
        <w:tabs>
          <w:tab w:val="num" w:pos="720"/>
        </w:tabs>
        <w:ind w:left="720" w:hanging="360"/>
      </w:pPr>
      <w:rPr>
        <w:rFonts w:ascii="Symbol" w:hAnsi="Symbol" w:hint="default"/>
      </w:rPr>
    </w:lvl>
    <w:lvl w:ilvl="1" w:tplc="FDAE9D5E">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nsid w:val="3E4D5581"/>
    <w:multiLevelType w:val="hybridMultilevel"/>
    <w:tmpl w:val="D6587906"/>
    <w:lvl w:ilvl="0" w:tplc="2DC2D9E8">
      <w:start w:val="1"/>
      <w:numFmt w:val="bullet"/>
      <w:lvlText w:val="-"/>
      <w:lvlJc w:val="left"/>
      <w:pPr>
        <w:tabs>
          <w:tab w:val="num" w:pos="720"/>
        </w:tabs>
        <w:ind w:left="720" w:hanging="360"/>
      </w:pPr>
      <w:rPr>
        <w:rFonts w:ascii="Arial" w:hAnsi="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E713D67"/>
    <w:multiLevelType w:val="hybridMultilevel"/>
    <w:tmpl w:val="B81E0372"/>
    <w:lvl w:ilvl="0" w:tplc="D592B840">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FB12D44"/>
    <w:multiLevelType w:val="hybridMultilevel"/>
    <w:tmpl w:val="7A16395C"/>
    <w:lvl w:ilvl="0" w:tplc="D592B840">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0A4060E"/>
    <w:multiLevelType w:val="hybridMultilevel"/>
    <w:tmpl w:val="027CA552"/>
    <w:lvl w:ilvl="0" w:tplc="14090001">
      <w:start w:val="1"/>
      <w:numFmt w:val="bullet"/>
      <w:lvlText w:val=""/>
      <w:lvlJc w:val="left"/>
      <w:pPr>
        <w:ind w:left="720" w:hanging="360"/>
      </w:pPr>
      <w:rPr>
        <w:rFonts w:ascii="Symbol" w:hAnsi="Symbo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0C76412"/>
    <w:multiLevelType w:val="hybridMultilevel"/>
    <w:tmpl w:val="C30EA60E"/>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15E6255"/>
    <w:multiLevelType w:val="hybridMultilevel"/>
    <w:tmpl w:val="5196731A"/>
    <w:lvl w:ilvl="0" w:tplc="01A46DFE">
      <w:numFmt w:val="bullet"/>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41D307EF"/>
    <w:multiLevelType w:val="hybridMultilevel"/>
    <w:tmpl w:val="F826627A"/>
    <w:lvl w:ilvl="0" w:tplc="14090001">
      <w:start w:val="1"/>
      <w:numFmt w:val="bullet"/>
      <w:lvlText w:val=""/>
      <w:lvlJc w:val="left"/>
      <w:pPr>
        <w:ind w:left="720" w:hanging="360"/>
      </w:pPr>
      <w:rPr>
        <w:rFonts w:ascii="Symbol" w:hAnsi="Symbo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BF567D"/>
    <w:multiLevelType w:val="hybridMultilevel"/>
    <w:tmpl w:val="9C04C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AF2E64"/>
    <w:multiLevelType w:val="hybridMultilevel"/>
    <w:tmpl w:val="00B21DFC"/>
    <w:lvl w:ilvl="0" w:tplc="2DC2D9E8">
      <w:start w:val="1"/>
      <w:numFmt w:val="bullet"/>
      <w:lvlText w:val="-"/>
      <w:lvlJc w:val="left"/>
      <w:pPr>
        <w:tabs>
          <w:tab w:val="num" w:pos="720"/>
        </w:tabs>
        <w:ind w:left="720" w:hanging="360"/>
      </w:pPr>
      <w:rPr>
        <w:rFonts w:ascii="Arial" w:hAnsi="Arial" w:hint="default"/>
      </w:rPr>
    </w:lvl>
    <w:lvl w:ilvl="1" w:tplc="1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8B2201B"/>
    <w:multiLevelType w:val="hybridMultilevel"/>
    <w:tmpl w:val="E3885F3E"/>
    <w:lvl w:ilvl="0" w:tplc="2DC2D9E8">
      <w:start w:val="1"/>
      <w:numFmt w:val="bullet"/>
      <w:lvlText w:val="-"/>
      <w:lvlJc w:val="left"/>
      <w:pPr>
        <w:tabs>
          <w:tab w:val="num" w:pos="360"/>
        </w:tabs>
        <w:ind w:left="36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80">
    <w:nsid w:val="49BF6D05"/>
    <w:multiLevelType w:val="hybridMultilevel"/>
    <w:tmpl w:val="57248062"/>
    <w:lvl w:ilvl="0" w:tplc="539E47B2">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B06608B"/>
    <w:multiLevelType w:val="hybridMultilevel"/>
    <w:tmpl w:val="03FA09BE"/>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B1C39E1"/>
    <w:multiLevelType w:val="hybridMultilevel"/>
    <w:tmpl w:val="3A6A74B6"/>
    <w:lvl w:ilvl="0" w:tplc="01A46DFE">
      <w:numFmt w:val="bullet"/>
      <w:lvlText w:val="-"/>
      <w:lvlJc w:val="left"/>
      <w:pPr>
        <w:tabs>
          <w:tab w:val="num" w:pos="1530"/>
        </w:tabs>
        <w:ind w:left="1530" w:hanging="360"/>
      </w:pPr>
      <w:rPr>
        <w:rFonts w:ascii="Arial" w:eastAsia="Times New Roman" w:hAnsi="Arial" w:cs="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B1E0093"/>
    <w:multiLevelType w:val="hybridMultilevel"/>
    <w:tmpl w:val="888E39A8"/>
    <w:lvl w:ilvl="0" w:tplc="997A492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4B46003B"/>
    <w:multiLevelType w:val="hybridMultilevel"/>
    <w:tmpl w:val="0524A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EDF0A3D"/>
    <w:multiLevelType w:val="hybridMultilevel"/>
    <w:tmpl w:val="D85A8AFC"/>
    <w:lvl w:ilvl="0" w:tplc="01A46DF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1CD7B2F"/>
    <w:multiLevelType w:val="hybridMultilevel"/>
    <w:tmpl w:val="3252BF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88">
    <w:nsid w:val="52636210"/>
    <w:multiLevelType w:val="hybridMultilevel"/>
    <w:tmpl w:val="7242A6C0"/>
    <w:lvl w:ilvl="0" w:tplc="01A46DFE">
      <w:numFmt w:val="bullet"/>
      <w:lvlText w:val="-"/>
      <w:lvlJc w:val="left"/>
      <w:pPr>
        <w:tabs>
          <w:tab w:val="num" w:pos="720"/>
        </w:tabs>
        <w:ind w:left="720" w:hanging="360"/>
      </w:pPr>
      <w:rPr>
        <w:rFonts w:ascii="Arial" w:eastAsia="Times New Roman" w:hAnsi="Arial" w:cs="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51F5CA3"/>
    <w:multiLevelType w:val="hybridMultilevel"/>
    <w:tmpl w:val="4DECD132"/>
    <w:lvl w:ilvl="0" w:tplc="AC50E68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5586990"/>
    <w:multiLevelType w:val="hybridMultilevel"/>
    <w:tmpl w:val="02D4B766"/>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5AA23AB"/>
    <w:multiLevelType w:val="hybridMultilevel"/>
    <w:tmpl w:val="28EAF6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6083748"/>
    <w:multiLevelType w:val="hybridMultilevel"/>
    <w:tmpl w:val="F238E2AC"/>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6C51CAC"/>
    <w:multiLevelType w:val="hybridMultilevel"/>
    <w:tmpl w:val="75886862"/>
    <w:lvl w:ilvl="0" w:tplc="1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9793F4D"/>
    <w:multiLevelType w:val="hybridMultilevel"/>
    <w:tmpl w:val="5C4084C0"/>
    <w:lvl w:ilvl="0" w:tplc="6962522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9B374EC"/>
    <w:multiLevelType w:val="hybridMultilevel"/>
    <w:tmpl w:val="A4FAA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97">
    <w:nsid w:val="5A9423C6"/>
    <w:multiLevelType w:val="hybridMultilevel"/>
    <w:tmpl w:val="58C4F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AF07EB7"/>
    <w:multiLevelType w:val="hybridMultilevel"/>
    <w:tmpl w:val="0EE60F00"/>
    <w:lvl w:ilvl="0" w:tplc="FDAE9D5E">
      <w:start w:val="1"/>
      <w:numFmt w:val="bullet"/>
      <w:lvlText w:val="-"/>
      <w:lvlJc w:val="left"/>
      <w:pPr>
        <w:tabs>
          <w:tab w:val="num" w:pos="720"/>
        </w:tabs>
        <w:ind w:left="720" w:hanging="360"/>
      </w:pPr>
      <w:rPr>
        <w:rFonts w:ascii="Arial" w:hAnsi="Arial" w:hint="default"/>
      </w:rPr>
    </w:lvl>
    <w:lvl w:ilvl="1" w:tplc="FDAE9D5E">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nsid w:val="5F8C4C3F"/>
    <w:multiLevelType w:val="hybridMultilevel"/>
    <w:tmpl w:val="8C52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FCF4424"/>
    <w:multiLevelType w:val="hybridMultilevel"/>
    <w:tmpl w:val="BFFCA072"/>
    <w:lvl w:ilvl="0" w:tplc="9532253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25655CE"/>
    <w:multiLevelType w:val="hybridMultilevel"/>
    <w:tmpl w:val="F29A8078"/>
    <w:lvl w:ilvl="0" w:tplc="2DC2D9E8">
      <w:start w:val="1"/>
      <w:numFmt w:val="bullet"/>
      <w:lvlText w:val="-"/>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2CA19C1"/>
    <w:multiLevelType w:val="hybridMultilevel"/>
    <w:tmpl w:val="CC903D06"/>
    <w:lvl w:ilvl="0" w:tplc="D592B840">
      <w:start w:val="3"/>
      <w:numFmt w:val="bullet"/>
      <w:lvlText w:val=""/>
      <w:lvlJc w:val="left"/>
      <w:pPr>
        <w:tabs>
          <w:tab w:val="num" w:pos="720"/>
        </w:tabs>
        <w:ind w:left="720" w:hanging="360"/>
      </w:pPr>
      <w:rPr>
        <w:rFonts w:ascii="Symbol" w:eastAsia="Times New Roman" w:hAnsi="Symbol" w:cs="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48047D2"/>
    <w:multiLevelType w:val="hybridMultilevel"/>
    <w:tmpl w:val="18386A18"/>
    <w:lvl w:ilvl="0" w:tplc="2DC2D9E8">
      <w:start w:val="1"/>
      <w:numFmt w:val="bullet"/>
      <w:lvlText w:val="-"/>
      <w:lvlJc w:val="left"/>
      <w:pPr>
        <w:tabs>
          <w:tab w:val="num" w:pos="720"/>
        </w:tabs>
        <w:ind w:left="720" w:hanging="360"/>
      </w:pPr>
      <w:rPr>
        <w:rFonts w:ascii="Arial" w:hAnsi="Arial" w:hint="default"/>
      </w:rPr>
    </w:lvl>
    <w:lvl w:ilvl="1" w:tplc="A9A47756">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5251B64"/>
    <w:multiLevelType w:val="hybridMultilevel"/>
    <w:tmpl w:val="229E5E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53868D5"/>
    <w:multiLevelType w:val="hybridMultilevel"/>
    <w:tmpl w:val="2962D8A6"/>
    <w:lvl w:ilvl="0" w:tplc="04090001">
      <w:start w:val="1"/>
      <w:numFmt w:val="bullet"/>
      <w:lvlText w:val=""/>
      <w:lvlJc w:val="left"/>
      <w:pPr>
        <w:tabs>
          <w:tab w:val="num" w:pos="742"/>
        </w:tabs>
        <w:ind w:left="742" w:hanging="360"/>
      </w:pPr>
      <w:rPr>
        <w:rFonts w:ascii="Symbol" w:hAnsi="Symbol" w:hint="default"/>
      </w:rPr>
    </w:lvl>
    <w:lvl w:ilvl="1" w:tplc="1B84D616">
      <w:start w:val="1"/>
      <w:numFmt w:val="bullet"/>
      <w:lvlText w:val="-"/>
      <w:lvlJc w:val="left"/>
      <w:pPr>
        <w:tabs>
          <w:tab w:val="num" w:pos="1462"/>
        </w:tabs>
        <w:ind w:left="1462" w:hanging="360"/>
      </w:pPr>
      <w:rPr>
        <w:rFonts w:ascii="Arial" w:hAnsi="Arial" w:hint="default"/>
      </w:rPr>
    </w:lvl>
    <w:lvl w:ilvl="2" w:tplc="04090005" w:tentative="1">
      <w:start w:val="1"/>
      <w:numFmt w:val="bullet"/>
      <w:lvlText w:val=""/>
      <w:lvlJc w:val="left"/>
      <w:pPr>
        <w:tabs>
          <w:tab w:val="num" w:pos="2182"/>
        </w:tabs>
        <w:ind w:left="2182" w:hanging="360"/>
      </w:pPr>
      <w:rPr>
        <w:rFonts w:ascii="Wingdings" w:hAnsi="Wingdings" w:hint="default"/>
      </w:rPr>
    </w:lvl>
    <w:lvl w:ilvl="3" w:tplc="04090001" w:tentative="1">
      <w:start w:val="1"/>
      <w:numFmt w:val="bullet"/>
      <w:lvlText w:val=""/>
      <w:lvlJc w:val="left"/>
      <w:pPr>
        <w:tabs>
          <w:tab w:val="num" w:pos="2902"/>
        </w:tabs>
        <w:ind w:left="2902" w:hanging="360"/>
      </w:pPr>
      <w:rPr>
        <w:rFonts w:ascii="Symbol" w:hAnsi="Symbol" w:hint="default"/>
      </w:rPr>
    </w:lvl>
    <w:lvl w:ilvl="4" w:tplc="04090003" w:tentative="1">
      <w:start w:val="1"/>
      <w:numFmt w:val="bullet"/>
      <w:lvlText w:val="o"/>
      <w:lvlJc w:val="left"/>
      <w:pPr>
        <w:tabs>
          <w:tab w:val="num" w:pos="3622"/>
        </w:tabs>
        <w:ind w:left="3622" w:hanging="360"/>
      </w:pPr>
      <w:rPr>
        <w:rFonts w:ascii="Courier New" w:hAnsi="Courier New" w:cs="Courier New" w:hint="default"/>
      </w:rPr>
    </w:lvl>
    <w:lvl w:ilvl="5" w:tplc="04090005" w:tentative="1">
      <w:start w:val="1"/>
      <w:numFmt w:val="bullet"/>
      <w:lvlText w:val=""/>
      <w:lvlJc w:val="left"/>
      <w:pPr>
        <w:tabs>
          <w:tab w:val="num" w:pos="4342"/>
        </w:tabs>
        <w:ind w:left="4342" w:hanging="360"/>
      </w:pPr>
      <w:rPr>
        <w:rFonts w:ascii="Wingdings" w:hAnsi="Wingdings" w:hint="default"/>
      </w:rPr>
    </w:lvl>
    <w:lvl w:ilvl="6" w:tplc="04090001" w:tentative="1">
      <w:start w:val="1"/>
      <w:numFmt w:val="bullet"/>
      <w:lvlText w:val=""/>
      <w:lvlJc w:val="left"/>
      <w:pPr>
        <w:tabs>
          <w:tab w:val="num" w:pos="5062"/>
        </w:tabs>
        <w:ind w:left="5062" w:hanging="360"/>
      </w:pPr>
      <w:rPr>
        <w:rFonts w:ascii="Symbol" w:hAnsi="Symbol" w:hint="default"/>
      </w:rPr>
    </w:lvl>
    <w:lvl w:ilvl="7" w:tplc="04090003" w:tentative="1">
      <w:start w:val="1"/>
      <w:numFmt w:val="bullet"/>
      <w:lvlText w:val="o"/>
      <w:lvlJc w:val="left"/>
      <w:pPr>
        <w:tabs>
          <w:tab w:val="num" w:pos="5782"/>
        </w:tabs>
        <w:ind w:left="5782" w:hanging="360"/>
      </w:pPr>
      <w:rPr>
        <w:rFonts w:ascii="Courier New" w:hAnsi="Courier New" w:cs="Courier New" w:hint="default"/>
      </w:rPr>
    </w:lvl>
    <w:lvl w:ilvl="8" w:tplc="04090005" w:tentative="1">
      <w:start w:val="1"/>
      <w:numFmt w:val="bullet"/>
      <w:lvlText w:val=""/>
      <w:lvlJc w:val="left"/>
      <w:pPr>
        <w:tabs>
          <w:tab w:val="num" w:pos="6502"/>
        </w:tabs>
        <w:ind w:left="6502" w:hanging="360"/>
      </w:pPr>
      <w:rPr>
        <w:rFonts w:ascii="Wingdings" w:hAnsi="Wingdings" w:hint="default"/>
      </w:rPr>
    </w:lvl>
  </w:abstractNum>
  <w:abstractNum w:abstractNumId="106">
    <w:nsid w:val="662C7D60"/>
    <w:multiLevelType w:val="hybridMultilevel"/>
    <w:tmpl w:val="196A778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07">
    <w:nsid w:val="67B009D8"/>
    <w:multiLevelType w:val="hybridMultilevel"/>
    <w:tmpl w:val="BD1A1BAC"/>
    <w:lvl w:ilvl="0" w:tplc="2DC2D9E8">
      <w:start w:val="1"/>
      <w:numFmt w:val="bullet"/>
      <w:lvlText w:val="-"/>
      <w:lvlJc w:val="left"/>
      <w:pPr>
        <w:tabs>
          <w:tab w:val="num" w:pos="873"/>
        </w:tabs>
        <w:ind w:left="873" w:hanging="360"/>
      </w:pPr>
      <w:rPr>
        <w:rFonts w:ascii="Arial" w:hAnsi="Arial" w:hint="default"/>
      </w:rPr>
    </w:lvl>
    <w:lvl w:ilvl="1" w:tplc="0C090003" w:tentative="1">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108">
    <w:nsid w:val="67B420B0"/>
    <w:multiLevelType w:val="hybridMultilevel"/>
    <w:tmpl w:val="556449E6"/>
    <w:lvl w:ilvl="0" w:tplc="2DC2D9E8">
      <w:start w:val="1"/>
      <w:numFmt w:val="bullet"/>
      <w:lvlText w:val="-"/>
      <w:lvlJc w:val="left"/>
      <w:pPr>
        <w:tabs>
          <w:tab w:val="num" w:pos="720"/>
        </w:tabs>
        <w:ind w:left="720" w:hanging="360"/>
      </w:pPr>
      <w:rPr>
        <w:rFonts w:ascii="Arial" w:hAnsi="Arial" w:hint="default"/>
      </w:rPr>
    </w:lvl>
    <w:lvl w:ilvl="1" w:tplc="2DC2D9E8">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7CE0ECF"/>
    <w:multiLevelType w:val="hybridMultilevel"/>
    <w:tmpl w:val="AFBEA92E"/>
    <w:lvl w:ilvl="0" w:tplc="2DC2D9E8">
      <w:start w:val="1"/>
      <w:numFmt w:val="bullet"/>
      <w:lvlText w:val="-"/>
      <w:lvlJc w:val="left"/>
      <w:pPr>
        <w:tabs>
          <w:tab w:val="num" w:pos="720"/>
        </w:tabs>
        <w:ind w:left="720" w:hanging="360"/>
      </w:pPr>
      <w:rPr>
        <w:rFonts w:ascii="Arial" w:hAnsi="Aria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7F26F08"/>
    <w:multiLevelType w:val="hybridMultilevel"/>
    <w:tmpl w:val="7B98ED66"/>
    <w:lvl w:ilvl="0" w:tplc="04090001">
      <w:start w:val="1"/>
      <w:numFmt w:val="bullet"/>
      <w:lvlText w:val=""/>
      <w:lvlJc w:val="left"/>
      <w:pPr>
        <w:tabs>
          <w:tab w:val="num" w:pos="720"/>
        </w:tabs>
        <w:ind w:left="720" w:hanging="360"/>
      </w:pPr>
      <w:rPr>
        <w:rFonts w:ascii="Symbol" w:hAnsi="Symbol" w:hint="default"/>
      </w:rPr>
    </w:lvl>
    <w:lvl w:ilvl="1" w:tplc="FB885362">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80142EF"/>
    <w:multiLevelType w:val="hybridMultilevel"/>
    <w:tmpl w:val="F7528F6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nsid w:val="694135F7"/>
    <w:multiLevelType w:val="hybridMultilevel"/>
    <w:tmpl w:val="DA4C40C8"/>
    <w:lvl w:ilvl="0" w:tplc="0C090001">
      <w:start w:val="1"/>
      <w:numFmt w:val="bullet"/>
      <w:lvlText w:val=""/>
      <w:lvlJc w:val="left"/>
      <w:pPr>
        <w:tabs>
          <w:tab w:val="num" w:pos="873"/>
        </w:tabs>
        <w:ind w:left="873" w:hanging="360"/>
      </w:pPr>
      <w:rPr>
        <w:rFonts w:ascii="Symbol" w:hAnsi="Symbol" w:hint="default"/>
      </w:rPr>
    </w:lvl>
    <w:lvl w:ilvl="1" w:tplc="0C090003" w:tentative="1">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113">
    <w:nsid w:val="6B672F0E"/>
    <w:multiLevelType w:val="hybridMultilevel"/>
    <w:tmpl w:val="C34A6A26"/>
    <w:lvl w:ilvl="0" w:tplc="A6AEFAF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D2E576C"/>
    <w:multiLevelType w:val="hybridMultilevel"/>
    <w:tmpl w:val="28F6E25C"/>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6F671A60"/>
    <w:multiLevelType w:val="hybridMultilevel"/>
    <w:tmpl w:val="FDC658AC"/>
    <w:lvl w:ilvl="0" w:tplc="01A46DFE">
      <w:numFmt w:val="bullet"/>
      <w:lvlText w:val="-"/>
      <w:lvlJc w:val="left"/>
      <w:pPr>
        <w:tabs>
          <w:tab w:val="num" w:pos="1530"/>
        </w:tabs>
        <w:ind w:left="153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0095F3C"/>
    <w:multiLevelType w:val="hybridMultilevel"/>
    <w:tmpl w:val="844CB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1E11F8D"/>
    <w:multiLevelType w:val="hybridMultilevel"/>
    <w:tmpl w:val="02C0EE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9">
    <w:nsid w:val="72671DC1"/>
    <w:multiLevelType w:val="hybridMultilevel"/>
    <w:tmpl w:val="7D548088"/>
    <w:lvl w:ilvl="0" w:tplc="1B84D61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nsid w:val="79395BA7"/>
    <w:multiLevelType w:val="hybridMultilevel"/>
    <w:tmpl w:val="1FAA13D6"/>
    <w:lvl w:ilvl="0" w:tplc="DAF8F786">
      <w:start w:val="1"/>
      <w:numFmt w:val="bullet"/>
      <w:lvlText w:val=""/>
      <w:lvlJc w:val="left"/>
      <w:pPr>
        <w:tabs>
          <w:tab w:val="num" w:pos="720"/>
        </w:tabs>
        <w:ind w:left="72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9981B5A"/>
    <w:multiLevelType w:val="hybridMultilevel"/>
    <w:tmpl w:val="0900C9EA"/>
    <w:lvl w:ilvl="0" w:tplc="580E86E0">
      <w:start w:val="1"/>
      <w:numFmt w:val="bullet"/>
      <w:lvlText w:val=""/>
      <w:lvlJc w:val="left"/>
      <w:pPr>
        <w:tabs>
          <w:tab w:val="num" w:pos="720"/>
        </w:tabs>
        <w:ind w:left="72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A1C64C0"/>
    <w:multiLevelType w:val="multilevel"/>
    <w:tmpl w:val="BE1A6C14"/>
    <w:lvl w:ilvl="0">
      <w:start w:val="1"/>
      <w:numFmt w:val="bullet"/>
      <w:lvlText w:val=""/>
      <w:lvlJc w:val="left"/>
      <w:pPr>
        <w:tabs>
          <w:tab w:val="num" w:pos="540"/>
        </w:tabs>
        <w:ind w:left="540" w:hanging="360"/>
      </w:pPr>
      <w:rPr>
        <w:rFonts w:ascii="Symbol" w:hAnsi="Symbol"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24">
    <w:nsid w:val="7AF32222"/>
    <w:multiLevelType w:val="hybridMultilevel"/>
    <w:tmpl w:val="61FC92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nsid w:val="7B082700"/>
    <w:multiLevelType w:val="hybridMultilevel"/>
    <w:tmpl w:val="D56AF288"/>
    <w:lvl w:ilvl="0" w:tplc="0C090001">
      <w:start w:val="1"/>
      <w:numFmt w:val="bullet"/>
      <w:lvlText w:val=""/>
      <w:lvlJc w:val="left"/>
      <w:pPr>
        <w:tabs>
          <w:tab w:val="num" w:pos="1494"/>
        </w:tabs>
        <w:ind w:left="1494" w:hanging="360"/>
      </w:pPr>
      <w:rPr>
        <w:rFonts w:ascii="Symbol" w:hAnsi="Symbol" w:hint="default"/>
      </w:rPr>
    </w:lvl>
    <w:lvl w:ilvl="1" w:tplc="0C090003" w:tentative="1">
      <w:start w:val="1"/>
      <w:numFmt w:val="bullet"/>
      <w:lvlText w:val="o"/>
      <w:lvlJc w:val="left"/>
      <w:pPr>
        <w:tabs>
          <w:tab w:val="num" w:pos="2214"/>
        </w:tabs>
        <w:ind w:left="2214" w:hanging="360"/>
      </w:pPr>
      <w:rPr>
        <w:rFonts w:ascii="Courier New" w:hAnsi="Courier New" w:cs="Courier New" w:hint="default"/>
      </w:rPr>
    </w:lvl>
    <w:lvl w:ilvl="2" w:tplc="0C090005" w:tentative="1">
      <w:start w:val="1"/>
      <w:numFmt w:val="bullet"/>
      <w:lvlText w:val=""/>
      <w:lvlJc w:val="left"/>
      <w:pPr>
        <w:tabs>
          <w:tab w:val="num" w:pos="2934"/>
        </w:tabs>
        <w:ind w:left="2934" w:hanging="360"/>
      </w:pPr>
      <w:rPr>
        <w:rFonts w:ascii="Wingdings" w:hAnsi="Wingdings" w:hint="default"/>
      </w:rPr>
    </w:lvl>
    <w:lvl w:ilvl="3" w:tplc="0C090001" w:tentative="1">
      <w:start w:val="1"/>
      <w:numFmt w:val="bullet"/>
      <w:lvlText w:val=""/>
      <w:lvlJc w:val="left"/>
      <w:pPr>
        <w:tabs>
          <w:tab w:val="num" w:pos="3654"/>
        </w:tabs>
        <w:ind w:left="3654" w:hanging="360"/>
      </w:pPr>
      <w:rPr>
        <w:rFonts w:ascii="Symbol" w:hAnsi="Symbol" w:hint="default"/>
      </w:rPr>
    </w:lvl>
    <w:lvl w:ilvl="4" w:tplc="0C090003" w:tentative="1">
      <w:start w:val="1"/>
      <w:numFmt w:val="bullet"/>
      <w:lvlText w:val="o"/>
      <w:lvlJc w:val="left"/>
      <w:pPr>
        <w:tabs>
          <w:tab w:val="num" w:pos="4374"/>
        </w:tabs>
        <w:ind w:left="4374" w:hanging="360"/>
      </w:pPr>
      <w:rPr>
        <w:rFonts w:ascii="Courier New" w:hAnsi="Courier New" w:cs="Courier New" w:hint="default"/>
      </w:rPr>
    </w:lvl>
    <w:lvl w:ilvl="5" w:tplc="0C090005" w:tentative="1">
      <w:start w:val="1"/>
      <w:numFmt w:val="bullet"/>
      <w:lvlText w:val=""/>
      <w:lvlJc w:val="left"/>
      <w:pPr>
        <w:tabs>
          <w:tab w:val="num" w:pos="5094"/>
        </w:tabs>
        <w:ind w:left="5094" w:hanging="360"/>
      </w:pPr>
      <w:rPr>
        <w:rFonts w:ascii="Wingdings" w:hAnsi="Wingdings" w:hint="default"/>
      </w:rPr>
    </w:lvl>
    <w:lvl w:ilvl="6" w:tplc="0C090001" w:tentative="1">
      <w:start w:val="1"/>
      <w:numFmt w:val="bullet"/>
      <w:lvlText w:val=""/>
      <w:lvlJc w:val="left"/>
      <w:pPr>
        <w:tabs>
          <w:tab w:val="num" w:pos="5814"/>
        </w:tabs>
        <w:ind w:left="5814" w:hanging="360"/>
      </w:pPr>
      <w:rPr>
        <w:rFonts w:ascii="Symbol" w:hAnsi="Symbol" w:hint="default"/>
      </w:rPr>
    </w:lvl>
    <w:lvl w:ilvl="7" w:tplc="0C090003" w:tentative="1">
      <w:start w:val="1"/>
      <w:numFmt w:val="bullet"/>
      <w:lvlText w:val="o"/>
      <w:lvlJc w:val="left"/>
      <w:pPr>
        <w:tabs>
          <w:tab w:val="num" w:pos="6534"/>
        </w:tabs>
        <w:ind w:left="6534" w:hanging="360"/>
      </w:pPr>
      <w:rPr>
        <w:rFonts w:ascii="Courier New" w:hAnsi="Courier New" w:cs="Courier New" w:hint="default"/>
      </w:rPr>
    </w:lvl>
    <w:lvl w:ilvl="8" w:tplc="0C090005" w:tentative="1">
      <w:start w:val="1"/>
      <w:numFmt w:val="bullet"/>
      <w:lvlText w:val=""/>
      <w:lvlJc w:val="left"/>
      <w:pPr>
        <w:tabs>
          <w:tab w:val="num" w:pos="7254"/>
        </w:tabs>
        <w:ind w:left="7254" w:hanging="360"/>
      </w:pPr>
      <w:rPr>
        <w:rFonts w:ascii="Wingdings" w:hAnsi="Wingdings" w:hint="default"/>
      </w:rPr>
    </w:lvl>
  </w:abstractNum>
  <w:abstractNum w:abstractNumId="126">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27">
    <w:nsid w:val="7B832E15"/>
    <w:multiLevelType w:val="hybridMultilevel"/>
    <w:tmpl w:val="2398FC54"/>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7B9978C1"/>
    <w:multiLevelType w:val="hybridMultilevel"/>
    <w:tmpl w:val="8AAEBDFA"/>
    <w:lvl w:ilvl="0" w:tplc="DAF8F7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CBC7F45"/>
    <w:multiLevelType w:val="hybridMultilevel"/>
    <w:tmpl w:val="977C1488"/>
    <w:lvl w:ilvl="0" w:tplc="2DC2D9E8">
      <w:start w:val="1"/>
      <w:numFmt w:val="bullet"/>
      <w:lvlText w:val="-"/>
      <w:lvlJc w:val="left"/>
      <w:pPr>
        <w:tabs>
          <w:tab w:val="num" w:pos="873"/>
        </w:tabs>
        <w:ind w:left="873" w:hanging="360"/>
      </w:pPr>
      <w:rPr>
        <w:rFonts w:ascii="Arial" w:hAnsi="Arial" w:hint="default"/>
      </w:rPr>
    </w:lvl>
    <w:lvl w:ilvl="1" w:tplc="0C090003" w:tentative="1">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130">
    <w:nsid w:val="7D6B3B9F"/>
    <w:multiLevelType w:val="hybridMultilevel"/>
    <w:tmpl w:val="226AC160"/>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131">
    <w:nsid w:val="7E432DDB"/>
    <w:multiLevelType w:val="hybridMultilevel"/>
    <w:tmpl w:val="BC84C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7F704331"/>
    <w:multiLevelType w:val="hybridMultilevel"/>
    <w:tmpl w:val="DE2CF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7"/>
    <w:lvlOverride w:ilvl="0">
      <w:lvl w:ilvl="0">
        <w:start w:val="1"/>
        <w:numFmt w:val="decimal"/>
        <w:pStyle w:val="ReportBody"/>
        <w:lvlText w:val="%1"/>
        <w:lvlJc w:val="left"/>
        <w:pPr>
          <w:tabs>
            <w:tab w:val="num" w:pos="493"/>
          </w:tabs>
          <w:ind w:left="493" w:hanging="493"/>
        </w:pPr>
        <w:rPr>
          <w:rFonts w:hint="default"/>
          <w:b w:val="0"/>
        </w:rPr>
      </w:lvl>
    </w:lvlOverride>
  </w:num>
  <w:num w:numId="2">
    <w:abstractNumId w:val="79"/>
  </w:num>
  <w:num w:numId="3">
    <w:abstractNumId w:val="47"/>
  </w:num>
  <w:num w:numId="4">
    <w:abstractNumId w:val="82"/>
  </w:num>
  <w:num w:numId="5">
    <w:abstractNumId w:val="73"/>
  </w:num>
  <w:num w:numId="6">
    <w:abstractNumId w:val="110"/>
  </w:num>
  <w:num w:numId="7">
    <w:abstractNumId w:val="92"/>
  </w:num>
  <w:num w:numId="8">
    <w:abstractNumId w:val="9"/>
  </w:num>
  <w:num w:numId="9">
    <w:abstractNumId w:val="15"/>
  </w:num>
  <w:num w:numId="10">
    <w:abstractNumId w:val="69"/>
  </w:num>
  <w:num w:numId="11">
    <w:abstractNumId w:val="126"/>
  </w:num>
  <w:num w:numId="12">
    <w:abstractNumId w:val="115"/>
  </w:num>
  <w:num w:numId="13">
    <w:abstractNumId w:val="42"/>
  </w:num>
  <w:num w:numId="14">
    <w:abstractNumId w:val="102"/>
  </w:num>
  <w:num w:numId="15">
    <w:abstractNumId w:val="91"/>
  </w:num>
  <w:num w:numId="16">
    <w:abstractNumId w:val="39"/>
  </w:num>
  <w:num w:numId="17">
    <w:abstractNumId w:val="61"/>
  </w:num>
  <w:num w:numId="18">
    <w:abstractNumId w:val="104"/>
  </w:num>
  <w:num w:numId="19">
    <w:abstractNumId w:val="2"/>
  </w:num>
  <w:num w:numId="20">
    <w:abstractNumId w:val="68"/>
  </w:num>
  <w:num w:numId="21">
    <w:abstractNumId w:val="51"/>
  </w:num>
  <w:num w:numId="22">
    <w:abstractNumId w:val="71"/>
  </w:num>
  <w:num w:numId="23">
    <w:abstractNumId w:val="108"/>
  </w:num>
  <w:num w:numId="24">
    <w:abstractNumId w:val="53"/>
  </w:num>
  <w:num w:numId="25">
    <w:abstractNumId w:val="90"/>
  </w:num>
  <w:num w:numId="26">
    <w:abstractNumId w:val="52"/>
  </w:num>
  <w:num w:numId="27">
    <w:abstractNumId w:val="74"/>
  </w:num>
  <w:num w:numId="28">
    <w:abstractNumId w:val="117"/>
  </w:num>
  <w:num w:numId="29">
    <w:abstractNumId w:val="101"/>
  </w:num>
  <w:num w:numId="30">
    <w:abstractNumId w:val="63"/>
  </w:num>
  <w:num w:numId="31">
    <w:abstractNumId w:val="114"/>
  </w:num>
  <w:num w:numId="32">
    <w:abstractNumId w:val="40"/>
  </w:num>
  <w:num w:numId="33">
    <w:abstractNumId w:val="113"/>
  </w:num>
  <w:num w:numId="34">
    <w:abstractNumId w:val="44"/>
  </w:num>
  <w:num w:numId="35">
    <w:abstractNumId w:val="17"/>
  </w:num>
  <w:num w:numId="36">
    <w:abstractNumId w:val="26"/>
  </w:num>
  <w:num w:numId="37">
    <w:abstractNumId w:val="132"/>
  </w:num>
  <w:num w:numId="38">
    <w:abstractNumId w:val="75"/>
  </w:num>
  <w:num w:numId="39">
    <w:abstractNumId w:val="5"/>
  </w:num>
  <w:num w:numId="40">
    <w:abstractNumId w:val="31"/>
  </w:num>
  <w:num w:numId="41">
    <w:abstractNumId w:val="21"/>
  </w:num>
  <w:num w:numId="42">
    <w:abstractNumId w:val="106"/>
  </w:num>
  <w:num w:numId="43">
    <w:abstractNumId w:val="14"/>
  </w:num>
  <w:num w:numId="44">
    <w:abstractNumId w:val="43"/>
  </w:num>
  <w:num w:numId="45">
    <w:abstractNumId w:val="95"/>
  </w:num>
  <w:num w:numId="46">
    <w:abstractNumId w:val="45"/>
  </w:num>
  <w:num w:numId="47">
    <w:abstractNumId w:val="122"/>
  </w:num>
  <w:num w:numId="48">
    <w:abstractNumId w:val="16"/>
  </w:num>
  <w:num w:numId="49">
    <w:abstractNumId w:val="123"/>
  </w:num>
  <w:num w:numId="50">
    <w:abstractNumId w:val="41"/>
  </w:num>
  <w:num w:numId="51">
    <w:abstractNumId w:val="22"/>
  </w:num>
  <w:num w:numId="52">
    <w:abstractNumId w:val="88"/>
  </w:num>
  <w:num w:numId="53">
    <w:abstractNumId w:val="37"/>
  </w:num>
  <w:num w:numId="54">
    <w:abstractNumId w:val="57"/>
  </w:num>
  <w:num w:numId="55">
    <w:abstractNumId w:val="55"/>
  </w:num>
  <w:num w:numId="56">
    <w:abstractNumId w:val="28"/>
  </w:num>
  <w:num w:numId="57">
    <w:abstractNumId w:val="19"/>
  </w:num>
  <w:num w:numId="58">
    <w:abstractNumId w:val="109"/>
  </w:num>
  <w:num w:numId="59">
    <w:abstractNumId w:val="34"/>
  </w:num>
  <w:num w:numId="60">
    <w:abstractNumId w:val="105"/>
  </w:num>
  <w:num w:numId="61">
    <w:abstractNumId w:val="131"/>
  </w:num>
  <w:num w:numId="62">
    <w:abstractNumId w:val="121"/>
  </w:num>
  <w:num w:numId="63">
    <w:abstractNumId w:val="50"/>
  </w:num>
  <w:num w:numId="64">
    <w:abstractNumId w:val="32"/>
  </w:num>
  <w:num w:numId="65">
    <w:abstractNumId w:val="119"/>
  </w:num>
  <w:num w:numId="66">
    <w:abstractNumId w:val="81"/>
  </w:num>
  <w:num w:numId="67">
    <w:abstractNumId w:val="94"/>
  </w:num>
  <w:num w:numId="68">
    <w:abstractNumId w:val="60"/>
  </w:num>
  <w:num w:numId="69">
    <w:abstractNumId w:val="3"/>
  </w:num>
  <w:num w:numId="70">
    <w:abstractNumId w:val="99"/>
  </w:num>
  <w:num w:numId="71">
    <w:abstractNumId w:val="84"/>
  </w:num>
  <w:num w:numId="72">
    <w:abstractNumId w:val="29"/>
  </w:num>
  <w:num w:numId="73">
    <w:abstractNumId w:val="25"/>
  </w:num>
  <w:num w:numId="74">
    <w:abstractNumId w:val="72"/>
  </w:num>
  <w:num w:numId="75">
    <w:abstractNumId w:val="23"/>
  </w:num>
  <w:num w:numId="76">
    <w:abstractNumId w:val="7"/>
  </w:num>
  <w:num w:numId="77">
    <w:abstractNumId w:val="59"/>
  </w:num>
  <w:num w:numId="78">
    <w:abstractNumId w:val="96"/>
    <w:lvlOverride w:ilvl="0">
      <w:lvl w:ilvl="0">
        <w:start w:val="1"/>
        <w:numFmt w:val="decimal"/>
        <w:lvlText w:val="%1"/>
        <w:lvlJc w:val="left"/>
        <w:pPr>
          <w:tabs>
            <w:tab w:val="num" w:pos="494"/>
          </w:tabs>
          <w:ind w:left="494" w:hanging="494"/>
        </w:pPr>
        <w:rPr>
          <w:rFonts w:hint="default"/>
        </w:rPr>
      </w:lvl>
    </w:lvlOverride>
    <w:lvlOverride w:ilvl="1">
      <w:lvl w:ilvl="1">
        <w:start w:val="1"/>
        <w:numFmt w:val="decimal"/>
        <w:lvlText w:val="%1.%2"/>
        <w:lvlJc w:val="left"/>
        <w:pPr>
          <w:tabs>
            <w:tab w:val="num" w:pos="493"/>
          </w:tabs>
          <w:ind w:left="987" w:hanging="493"/>
        </w:pPr>
        <w:rPr>
          <w:rFonts w:hint="default"/>
        </w:rPr>
      </w:lvl>
    </w:lvlOverride>
    <w:lvlOverride w:ilvl="2">
      <w:lvl w:ilvl="2">
        <w:start w:val="1"/>
        <w:numFmt w:val="decimal"/>
        <w:lvlText w:val="%1.%2.%3"/>
        <w:lvlJc w:val="left"/>
        <w:pPr>
          <w:tabs>
            <w:tab w:val="num" w:pos="680"/>
          </w:tabs>
          <w:ind w:left="1667" w:hanging="680"/>
        </w:pPr>
        <w:rPr>
          <w:rFonts w:hint="default"/>
        </w:rPr>
      </w:lvl>
    </w:lvlOverride>
    <w:lvlOverride w:ilvl="3">
      <w:lvl w:ilvl="3">
        <w:start w:val="1"/>
        <w:numFmt w:val="decimal"/>
        <w:lvlText w:val="%1.%2.%3.%4."/>
        <w:lvlJc w:val="left"/>
        <w:pPr>
          <w:tabs>
            <w:tab w:val="num" w:pos="1640"/>
          </w:tabs>
          <w:ind w:left="1208" w:hanging="648"/>
        </w:pPr>
        <w:rPr>
          <w:rFonts w:hint="default"/>
        </w:rPr>
      </w:lvl>
    </w:lvlOverride>
    <w:lvlOverride w:ilvl="4">
      <w:lvl w:ilvl="4">
        <w:start w:val="1"/>
        <w:numFmt w:val="decimal"/>
        <w:lvlText w:val="%1.%2.%3.%4.%5."/>
        <w:lvlJc w:val="left"/>
        <w:pPr>
          <w:tabs>
            <w:tab w:val="num" w:pos="2000"/>
          </w:tabs>
          <w:ind w:left="1712" w:hanging="792"/>
        </w:pPr>
        <w:rPr>
          <w:rFonts w:hint="default"/>
        </w:rPr>
      </w:lvl>
    </w:lvlOverride>
    <w:lvlOverride w:ilvl="5">
      <w:lvl w:ilvl="5">
        <w:start w:val="1"/>
        <w:numFmt w:val="decimal"/>
        <w:lvlText w:val="%1.%2.%3.%4.%5.%6."/>
        <w:lvlJc w:val="left"/>
        <w:pPr>
          <w:tabs>
            <w:tab w:val="num" w:pos="2720"/>
          </w:tabs>
          <w:ind w:left="2216" w:hanging="936"/>
        </w:pPr>
        <w:rPr>
          <w:rFonts w:hint="default"/>
        </w:rPr>
      </w:lvl>
    </w:lvlOverride>
    <w:lvlOverride w:ilvl="6">
      <w:lvl w:ilvl="6">
        <w:start w:val="1"/>
        <w:numFmt w:val="decimal"/>
        <w:lvlText w:val="%1.%2.%3.%4.%5.%6.%7."/>
        <w:lvlJc w:val="left"/>
        <w:pPr>
          <w:tabs>
            <w:tab w:val="num" w:pos="3080"/>
          </w:tabs>
          <w:ind w:left="2720" w:hanging="1080"/>
        </w:pPr>
        <w:rPr>
          <w:rFonts w:hint="default"/>
        </w:rPr>
      </w:lvl>
    </w:lvlOverride>
    <w:lvlOverride w:ilvl="7">
      <w:lvl w:ilvl="7">
        <w:start w:val="1"/>
        <w:numFmt w:val="decimal"/>
        <w:lvlText w:val="%1.%2.%3.%4.%5.%6.%7.%8."/>
        <w:lvlJc w:val="left"/>
        <w:pPr>
          <w:tabs>
            <w:tab w:val="num" w:pos="3800"/>
          </w:tabs>
          <w:ind w:left="3224" w:hanging="1224"/>
        </w:pPr>
        <w:rPr>
          <w:rFonts w:hint="default"/>
        </w:rPr>
      </w:lvl>
    </w:lvlOverride>
    <w:lvlOverride w:ilvl="8">
      <w:lvl w:ilvl="8">
        <w:start w:val="1"/>
        <w:numFmt w:val="decimal"/>
        <w:lvlText w:val="%1.%2.%3.%4.%5.%6.%7.%8.%9."/>
        <w:lvlJc w:val="left"/>
        <w:pPr>
          <w:tabs>
            <w:tab w:val="num" w:pos="4160"/>
          </w:tabs>
          <w:ind w:left="3800" w:hanging="1440"/>
        </w:pPr>
        <w:rPr>
          <w:rFonts w:hint="default"/>
        </w:rPr>
      </w:lvl>
    </w:lvlOverride>
  </w:num>
  <w:num w:numId="79">
    <w:abstractNumId w:val="76"/>
  </w:num>
  <w:num w:numId="80">
    <w:abstractNumId w:val="24"/>
  </w:num>
  <w:num w:numId="81">
    <w:abstractNumId w:val="27"/>
  </w:num>
  <w:num w:numId="82">
    <w:abstractNumId w:val="10"/>
  </w:num>
  <w:num w:numId="83">
    <w:abstractNumId w:val="1"/>
  </w:num>
  <w:num w:numId="84">
    <w:abstractNumId w:val="112"/>
  </w:num>
  <w:num w:numId="85">
    <w:abstractNumId w:val="103"/>
  </w:num>
  <w:num w:numId="86">
    <w:abstractNumId w:val="0"/>
  </w:num>
  <w:num w:numId="87">
    <w:abstractNumId w:val="6"/>
  </w:num>
  <w:num w:numId="88">
    <w:abstractNumId w:val="18"/>
  </w:num>
  <w:num w:numId="89">
    <w:abstractNumId w:val="107"/>
  </w:num>
  <w:num w:numId="90">
    <w:abstractNumId w:val="38"/>
  </w:num>
  <w:num w:numId="91">
    <w:abstractNumId w:val="62"/>
  </w:num>
  <w:num w:numId="92">
    <w:abstractNumId w:val="58"/>
  </w:num>
  <w:num w:numId="93">
    <w:abstractNumId w:val="129"/>
  </w:num>
  <w:num w:numId="94">
    <w:abstractNumId w:val="35"/>
  </w:num>
  <w:num w:numId="95">
    <w:abstractNumId w:val="48"/>
  </w:num>
  <w:num w:numId="96">
    <w:abstractNumId w:val="56"/>
  </w:num>
  <w:num w:numId="97">
    <w:abstractNumId w:val="120"/>
  </w:num>
  <w:num w:numId="98">
    <w:abstractNumId w:val="67"/>
  </w:num>
  <w:num w:numId="99">
    <w:abstractNumId w:val="8"/>
  </w:num>
  <w:num w:numId="100">
    <w:abstractNumId w:val="46"/>
  </w:num>
  <w:num w:numId="101">
    <w:abstractNumId w:val="30"/>
  </w:num>
  <w:num w:numId="102">
    <w:abstractNumId w:val="64"/>
  </w:num>
  <w:num w:numId="103">
    <w:abstractNumId w:val="66"/>
  </w:num>
  <w:num w:numId="104">
    <w:abstractNumId w:val="83"/>
  </w:num>
  <w:num w:numId="105">
    <w:abstractNumId w:val="49"/>
  </w:num>
  <w:num w:numId="106">
    <w:abstractNumId w:val="12"/>
  </w:num>
  <w:num w:numId="107">
    <w:abstractNumId w:val="4"/>
  </w:num>
  <w:num w:numId="108">
    <w:abstractNumId w:val="100"/>
  </w:num>
  <w:num w:numId="109">
    <w:abstractNumId w:val="116"/>
  </w:num>
  <w:num w:numId="110">
    <w:abstractNumId w:val="97"/>
  </w:num>
  <w:num w:numId="111">
    <w:abstractNumId w:val="36"/>
  </w:num>
  <w:num w:numId="112">
    <w:abstractNumId w:val="128"/>
  </w:num>
  <w:num w:numId="113">
    <w:abstractNumId w:val="89"/>
  </w:num>
  <w:num w:numId="114">
    <w:abstractNumId w:val="70"/>
  </w:num>
  <w:num w:numId="115">
    <w:abstractNumId w:val="20"/>
  </w:num>
  <w:num w:numId="116">
    <w:abstractNumId w:val="65"/>
  </w:num>
  <w:num w:numId="117">
    <w:abstractNumId w:val="80"/>
  </w:num>
  <w:num w:numId="118">
    <w:abstractNumId w:val="93"/>
  </w:num>
  <w:num w:numId="119">
    <w:abstractNumId w:val="85"/>
  </w:num>
  <w:num w:numId="120">
    <w:abstractNumId w:val="127"/>
  </w:num>
  <w:num w:numId="121">
    <w:abstractNumId w:val="77"/>
  </w:num>
  <w:num w:numId="122">
    <w:abstractNumId w:val="13"/>
  </w:num>
  <w:num w:numId="123">
    <w:abstractNumId w:val="86"/>
  </w:num>
  <w:num w:numId="124">
    <w:abstractNumId w:val="124"/>
  </w:num>
  <w:num w:numId="125">
    <w:abstractNumId w:val="130"/>
  </w:num>
  <w:num w:numId="126">
    <w:abstractNumId w:val="11"/>
  </w:num>
  <w:num w:numId="127">
    <w:abstractNumId w:val="125"/>
  </w:num>
  <w:num w:numId="128">
    <w:abstractNumId w:val="33"/>
  </w:num>
  <w:num w:numId="129">
    <w:abstractNumId w:val="54"/>
  </w:num>
  <w:num w:numId="130">
    <w:abstractNumId w:val="98"/>
  </w:num>
  <w:num w:numId="131">
    <w:abstractNumId w:val="111"/>
  </w:num>
  <w:num w:numId="132">
    <w:abstractNumId w:val="118"/>
  </w:num>
  <w:num w:numId="133">
    <w:abstractNumId w:val="78"/>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0"/>
    <w:footnote w:id="1"/>
  </w:footnotePr>
  <w:endnotePr>
    <w:endnote w:id="0"/>
    <w:endnote w:id="1"/>
  </w:endnotePr>
  <w:compat/>
  <w:rsids>
    <w:rsidRoot w:val="009F7EF0"/>
    <w:rsid w:val="00000757"/>
    <w:rsid w:val="00000F30"/>
    <w:rsid w:val="00000F34"/>
    <w:rsid w:val="00001337"/>
    <w:rsid w:val="00001CBF"/>
    <w:rsid w:val="0000246C"/>
    <w:rsid w:val="000024A5"/>
    <w:rsid w:val="0000264E"/>
    <w:rsid w:val="00002BE3"/>
    <w:rsid w:val="00002F1C"/>
    <w:rsid w:val="00003209"/>
    <w:rsid w:val="00003B5B"/>
    <w:rsid w:val="00003BCC"/>
    <w:rsid w:val="00005A70"/>
    <w:rsid w:val="000061D3"/>
    <w:rsid w:val="000068F7"/>
    <w:rsid w:val="00006A41"/>
    <w:rsid w:val="00006ADB"/>
    <w:rsid w:val="0000716F"/>
    <w:rsid w:val="00007A09"/>
    <w:rsid w:val="00007F84"/>
    <w:rsid w:val="00007FC6"/>
    <w:rsid w:val="0001069B"/>
    <w:rsid w:val="00010B2F"/>
    <w:rsid w:val="00010B94"/>
    <w:rsid w:val="000111DF"/>
    <w:rsid w:val="000116CA"/>
    <w:rsid w:val="00011DF2"/>
    <w:rsid w:val="00011F3F"/>
    <w:rsid w:val="00012001"/>
    <w:rsid w:val="000123F0"/>
    <w:rsid w:val="000125FE"/>
    <w:rsid w:val="0001374F"/>
    <w:rsid w:val="000141D0"/>
    <w:rsid w:val="00015046"/>
    <w:rsid w:val="00015686"/>
    <w:rsid w:val="00015892"/>
    <w:rsid w:val="00015D01"/>
    <w:rsid w:val="00015D59"/>
    <w:rsid w:val="0001649F"/>
    <w:rsid w:val="0001725B"/>
    <w:rsid w:val="000172FF"/>
    <w:rsid w:val="0001739C"/>
    <w:rsid w:val="0001765C"/>
    <w:rsid w:val="0002077E"/>
    <w:rsid w:val="00020CF7"/>
    <w:rsid w:val="00021979"/>
    <w:rsid w:val="00022001"/>
    <w:rsid w:val="00022D3D"/>
    <w:rsid w:val="000235B6"/>
    <w:rsid w:val="00023789"/>
    <w:rsid w:val="000241B4"/>
    <w:rsid w:val="000242E6"/>
    <w:rsid w:val="00024A73"/>
    <w:rsid w:val="00025AE0"/>
    <w:rsid w:val="00025F04"/>
    <w:rsid w:val="00026116"/>
    <w:rsid w:val="00026A5E"/>
    <w:rsid w:val="00027725"/>
    <w:rsid w:val="00027A7D"/>
    <w:rsid w:val="00027BE3"/>
    <w:rsid w:val="000307F6"/>
    <w:rsid w:val="00030948"/>
    <w:rsid w:val="00030ED2"/>
    <w:rsid w:val="0003151F"/>
    <w:rsid w:val="0003161C"/>
    <w:rsid w:val="00031620"/>
    <w:rsid w:val="0003173A"/>
    <w:rsid w:val="00031B78"/>
    <w:rsid w:val="00031DA7"/>
    <w:rsid w:val="00032506"/>
    <w:rsid w:val="000325A1"/>
    <w:rsid w:val="0003331D"/>
    <w:rsid w:val="00033736"/>
    <w:rsid w:val="00033AEE"/>
    <w:rsid w:val="00034BA9"/>
    <w:rsid w:val="000353DD"/>
    <w:rsid w:val="000356DD"/>
    <w:rsid w:val="00035A1D"/>
    <w:rsid w:val="00035C9B"/>
    <w:rsid w:val="00035FC7"/>
    <w:rsid w:val="00036E72"/>
    <w:rsid w:val="00036FB9"/>
    <w:rsid w:val="000370FF"/>
    <w:rsid w:val="0003779B"/>
    <w:rsid w:val="000378B1"/>
    <w:rsid w:val="00037B7C"/>
    <w:rsid w:val="0004012D"/>
    <w:rsid w:val="000415DF"/>
    <w:rsid w:val="00041895"/>
    <w:rsid w:val="0004231F"/>
    <w:rsid w:val="000424AC"/>
    <w:rsid w:val="00042F54"/>
    <w:rsid w:val="0004307D"/>
    <w:rsid w:val="00044086"/>
    <w:rsid w:val="00044383"/>
    <w:rsid w:val="000447EC"/>
    <w:rsid w:val="00044846"/>
    <w:rsid w:val="00044B10"/>
    <w:rsid w:val="00044C58"/>
    <w:rsid w:val="00045AE1"/>
    <w:rsid w:val="0004606B"/>
    <w:rsid w:val="00046BAC"/>
    <w:rsid w:val="00046EC9"/>
    <w:rsid w:val="00047C29"/>
    <w:rsid w:val="00050062"/>
    <w:rsid w:val="0005065F"/>
    <w:rsid w:val="00051787"/>
    <w:rsid w:val="000517BE"/>
    <w:rsid w:val="00051DC1"/>
    <w:rsid w:val="00051FB3"/>
    <w:rsid w:val="000521A1"/>
    <w:rsid w:val="00052216"/>
    <w:rsid w:val="00052399"/>
    <w:rsid w:val="0005300B"/>
    <w:rsid w:val="00053557"/>
    <w:rsid w:val="0005380F"/>
    <w:rsid w:val="000538D6"/>
    <w:rsid w:val="000538EE"/>
    <w:rsid w:val="0005411C"/>
    <w:rsid w:val="000546EB"/>
    <w:rsid w:val="00054A32"/>
    <w:rsid w:val="00054D45"/>
    <w:rsid w:val="00055A77"/>
    <w:rsid w:val="00055D5A"/>
    <w:rsid w:val="000562D5"/>
    <w:rsid w:val="00056616"/>
    <w:rsid w:val="00056657"/>
    <w:rsid w:val="00056815"/>
    <w:rsid w:val="00056DC5"/>
    <w:rsid w:val="00057080"/>
    <w:rsid w:val="00057A22"/>
    <w:rsid w:val="00057C95"/>
    <w:rsid w:val="00060571"/>
    <w:rsid w:val="00060F17"/>
    <w:rsid w:val="000610BF"/>
    <w:rsid w:val="000614D2"/>
    <w:rsid w:val="0006178D"/>
    <w:rsid w:val="00061D62"/>
    <w:rsid w:val="00061F0F"/>
    <w:rsid w:val="00062BB5"/>
    <w:rsid w:val="00062F4D"/>
    <w:rsid w:val="00063313"/>
    <w:rsid w:val="00063426"/>
    <w:rsid w:val="00063554"/>
    <w:rsid w:val="0006446F"/>
    <w:rsid w:val="00064823"/>
    <w:rsid w:val="00064976"/>
    <w:rsid w:val="000649EA"/>
    <w:rsid w:val="00064F7C"/>
    <w:rsid w:val="00065FFF"/>
    <w:rsid w:val="000666CA"/>
    <w:rsid w:val="0006699B"/>
    <w:rsid w:val="00066DF9"/>
    <w:rsid w:val="000671A6"/>
    <w:rsid w:val="000673C5"/>
    <w:rsid w:val="00067B1B"/>
    <w:rsid w:val="00067FC3"/>
    <w:rsid w:val="00070323"/>
    <w:rsid w:val="0007092E"/>
    <w:rsid w:val="000712C7"/>
    <w:rsid w:val="00071941"/>
    <w:rsid w:val="00071B07"/>
    <w:rsid w:val="00071D6B"/>
    <w:rsid w:val="00072151"/>
    <w:rsid w:val="000725B2"/>
    <w:rsid w:val="00072793"/>
    <w:rsid w:val="000730A0"/>
    <w:rsid w:val="00073852"/>
    <w:rsid w:val="000738D3"/>
    <w:rsid w:val="00073C90"/>
    <w:rsid w:val="00074390"/>
    <w:rsid w:val="0007451D"/>
    <w:rsid w:val="00074784"/>
    <w:rsid w:val="000748AC"/>
    <w:rsid w:val="00074C78"/>
    <w:rsid w:val="000753F6"/>
    <w:rsid w:val="0007554B"/>
    <w:rsid w:val="000755DF"/>
    <w:rsid w:val="00075C51"/>
    <w:rsid w:val="000760AF"/>
    <w:rsid w:val="0008084B"/>
    <w:rsid w:val="00080948"/>
    <w:rsid w:val="00080B50"/>
    <w:rsid w:val="00080B69"/>
    <w:rsid w:val="0008197B"/>
    <w:rsid w:val="00081AF3"/>
    <w:rsid w:val="000823BF"/>
    <w:rsid w:val="00082913"/>
    <w:rsid w:val="0008294F"/>
    <w:rsid w:val="000829E9"/>
    <w:rsid w:val="00082AE8"/>
    <w:rsid w:val="00082DCF"/>
    <w:rsid w:val="0008303F"/>
    <w:rsid w:val="000834BF"/>
    <w:rsid w:val="0008425F"/>
    <w:rsid w:val="00084408"/>
    <w:rsid w:val="00084751"/>
    <w:rsid w:val="00084B92"/>
    <w:rsid w:val="00084BE7"/>
    <w:rsid w:val="00085CC7"/>
    <w:rsid w:val="00085FFF"/>
    <w:rsid w:val="0008633A"/>
    <w:rsid w:val="0008689B"/>
    <w:rsid w:val="00086B4A"/>
    <w:rsid w:val="00086C10"/>
    <w:rsid w:val="00086ED8"/>
    <w:rsid w:val="0008758E"/>
    <w:rsid w:val="0008759D"/>
    <w:rsid w:val="000875C8"/>
    <w:rsid w:val="00087616"/>
    <w:rsid w:val="000876E5"/>
    <w:rsid w:val="0009191A"/>
    <w:rsid w:val="00091A8D"/>
    <w:rsid w:val="00091E74"/>
    <w:rsid w:val="000921BD"/>
    <w:rsid w:val="00092B52"/>
    <w:rsid w:val="00093050"/>
    <w:rsid w:val="00093511"/>
    <w:rsid w:val="00093548"/>
    <w:rsid w:val="000935DC"/>
    <w:rsid w:val="00093BDB"/>
    <w:rsid w:val="00093C09"/>
    <w:rsid w:val="0009419D"/>
    <w:rsid w:val="000941A5"/>
    <w:rsid w:val="00094977"/>
    <w:rsid w:val="00094B1D"/>
    <w:rsid w:val="00094F05"/>
    <w:rsid w:val="000963E5"/>
    <w:rsid w:val="00096A21"/>
    <w:rsid w:val="00096BC3"/>
    <w:rsid w:val="0009710A"/>
    <w:rsid w:val="0009772F"/>
    <w:rsid w:val="00097BF5"/>
    <w:rsid w:val="00097D0E"/>
    <w:rsid w:val="000A054D"/>
    <w:rsid w:val="000A0653"/>
    <w:rsid w:val="000A10C2"/>
    <w:rsid w:val="000A170C"/>
    <w:rsid w:val="000A1BFB"/>
    <w:rsid w:val="000A22A6"/>
    <w:rsid w:val="000A2AC4"/>
    <w:rsid w:val="000A2B2E"/>
    <w:rsid w:val="000A31DA"/>
    <w:rsid w:val="000A3723"/>
    <w:rsid w:val="000A462D"/>
    <w:rsid w:val="000A4B0A"/>
    <w:rsid w:val="000A4CAF"/>
    <w:rsid w:val="000A5A2D"/>
    <w:rsid w:val="000A6F90"/>
    <w:rsid w:val="000A77DD"/>
    <w:rsid w:val="000A7CB8"/>
    <w:rsid w:val="000A7EAB"/>
    <w:rsid w:val="000B05DB"/>
    <w:rsid w:val="000B0ADF"/>
    <w:rsid w:val="000B0B12"/>
    <w:rsid w:val="000B1267"/>
    <w:rsid w:val="000B1535"/>
    <w:rsid w:val="000B17B5"/>
    <w:rsid w:val="000B18BB"/>
    <w:rsid w:val="000B1AE2"/>
    <w:rsid w:val="000B229C"/>
    <w:rsid w:val="000B2681"/>
    <w:rsid w:val="000B3208"/>
    <w:rsid w:val="000B3473"/>
    <w:rsid w:val="000B3D2E"/>
    <w:rsid w:val="000B3F5F"/>
    <w:rsid w:val="000B4745"/>
    <w:rsid w:val="000B4E31"/>
    <w:rsid w:val="000B4EB5"/>
    <w:rsid w:val="000B4F72"/>
    <w:rsid w:val="000B577F"/>
    <w:rsid w:val="000B58F7"/>
    <w:rsid w:val="000B5FC0"/>
    <w:rsid w:val="000B676C"/>
    <w:rsid w:val="000B6F52"/>
    <w:rsid w:val="000B767E"/>
    <w:rsid w:val="000B78AD"/>
    <w:rsid w:val="000C01A8"/>
    <w:rsid w:val="000C0BB2"/>
    <w:rsid w:val="000C17AC"/>
    <w:rsid w:val="000C1C9C"/>
    <w:rsid w:val="000C20A5"/>
    <w:rsid w:val="000C22C8"/>
    <w:rsid w:val="000C253B"/>
    <w:rsid w:val="000C3B66"/>
    <w:rsid w:val="000C40BF"/>
    <w:rsid w:val="000C4137"/>
    <w:rsid w:val="000C475B"/>
    <w:rsid w:val="000C4A7C"/>
    <w:rsid w:val="000C5082"/>
    <w:rsid w:val="000C5D45"/>
    <w:rsid w:val="000C5FE3"/>
    <w:rsid w:val="000C62B4"/>
    <w:rsid w:val="000C6374"/>
    <w:rsid w:val="000C639C"/>
    <w:rsid w:val="000C6A0D"/>
    <w:rsid w:val="000C6C93"/>
    <w:rsid w:val="000C6CE7"/>
    <w:rsid w:val="000C7749"/>
    <w:rsid w:val="000D0307"/>
    <w:rsid w:val="000D03A9"/>
    <w:rsid w:val="000D0936"/>
    <w:rsid w:val="000D0A85"/>
    <w:rsid w:val="000D0CD7"/>
    <w:rsid w:val="000D11CD"/>
    <w:rsid w:val="000D16AC"/>
    <w:rsid w:val="000D1ADE"/>
    <w:rsid w:val="000D2FC2"/>
    <w:rsid w:val="000D2FDF"/>
    <w:rsid w:val="000D3325"/>
    <w:rsid w:val="000D36C5"/>
    <w:rsid w:val="000D3B34"/>
    <w:rsid w:val="000D4D6E"/>
    <w:rsid w:val="000D4F09"/>
    <w:rsid w:val="000D52DD"/>
    <w:rsid w:val="000D59F4"/>
    <w:rsid w:val="000D6296"/>
    <w:rsid w:val="000D6780"/>
    <w:rsid w:val="000D693E"/>
    <w:rsid w:val="000D6CC1"/>
    <w:rsid w:val="000D769A"/>
    <w:rsid w:val="000D77D4"/>
    <w:rsid w:val="000D7827"/>
    <w:rsid w:val="000D7855"/>
    <w:rsid w:val="000D792A"/>
    <w:rsid w:val="000E001E"/>
    <w:rsid w:val="000E041A"/>
    <w:rsid w:val="000E083D"/>
    <w:rsid w:val="000E120D"/>
    <w:rsid w:val="000E1576"/>
    <w:rsid w:val="000E15AE"/>
    <w:rsid w:val="000E15D4"/>
    <w:rsid w:val="000E16FC"/>
    <w:rsid w:val="000E18A2"/>
    <w:rsid w:val="000E235D"/>
    <w:rsid w:val="000E23CA"/>
    <w:rsid w:val="000E2840"/>
    <w:rsid w:val="000E32A6"/>
    <w:rsid w:val="000E331E"/>
    <w:rsid w:val="000E3539"/>
    <w:rsid w:val="000E3547"/>
    <w:rsid w:val="000E3903"/>
    <w:rsid w:val="000E3ABB"/>
    <w:rsid w:val="000E3C6E"/>
    <w:rsid w:val="000E3D0E"/>
    <w:rsid w:val="000E428F"/>
    <w:rsid w:val="000E475D"/>
    <w:rsid w:val="000E5004"/>
    <w:rsid w:val="000E5157"/>
    <w:rsid w:val="000E56A1"/>
    <w:rsid w:val="000E5871"/>
    <w:rsid w:val="000E5ADB"/>
    <w:rsid w:val="000E5D33"/>
    <w:rsid w:val="000E6A66"/>
    <w:rsid w:val="000E6B1B"/>
    <w:rsid w:val="000E6C00"/>
    <w:rsid w:val="000E76BC"/>
    <w:rsid w:val="000E7A36"/>
    <w:rsid w:val="000E7C7A"/>
    <w:rsid w:val="000F00B6"/>
    <w:rsid w:val="000F0204"/>
    <w:rsid w:val="000F040B"/>
    <w:rsid w:val="000F0435"/>
    <w:rsid w:val="000F1EC2"/>
    <w:rsid w:val="000F231B"/>
    <w:rsid w:val="000F2475"/>
    <w:rsid w:val="000F2803"/>
    <w:rsid w:val="000F327D"/>
    <w:rsid w:val="000F33B0"/>
    <w:rsid w:val="000F3522"/>
    <w:rsid w:val="000F38C1"/>
    <w:rsid w:val="000F3936"/>
    <w:rsid w:val="000F3E76"/>
    <w:rsid w:val="000F410F"/>
    <w:rsid w:val="000F4181"/>
    <w:rsid w:val="000F43F9"/>
    <w:rsid w:val="000F453E"/>
    <w:rsid w:val="000F5144"/>
    <w:rsid w:val="000F527B"/>
    <w:rsid w:val="000F57AE"/>
    <w:rsid w:val="000F6049"/>
    <w:rsid w:val="000F615A"/>
    <w:rsid w:val="000F61CC"/>
    <w:rsid w:val="000F647D"/>
    <w:rsid w:val="000F6576"/>
    <w:rsid w:val="000F657F"/>
    <w:rsid w:val="000F6C79"/>
    <w:rsid w:val="000F7052"/>
    <w:rsid w:val="000F7B6B"/>
    <w:rsid w:val="000F7BED"/>
    <w:rsid w:val="000F7D74"/>
    <w:rsid w:val="00100269"/>
    <w:rsid w:val="001002AA"/>
    <w:rsid w:val="00100836"/>
    <w:rsid w:val="00100B9A"/>
    <w:rsid w:val="00100F3C"/>
    <w:rsid w:val="001012D0"/>
    <w:rsid w:val="00101634"/>
    <w:rsid w:val="00101B14"/>
    <w:rsid w:val="00101E2A"/>
    <w:rsid w:val="001026C1"/>
    <w:rsid w:val="00102949"/>
    <w:rsid w:val="00102E67"/>
    <w:rsid w:val="00102E6A"/>
    <w:rsid w:val="00103D12"/>
    <w:rsid w:val="0010402A"/>
    <w:rsid w:val="001042C5"/>
    <w:rsid w:val="001047CB"/>
    <w:rsid w:val="00104B76"/>
    <w:rsid w:val="00104F9C"/>
    <w:rsid w:val="0010580E"/>
    <w:rsid w:val="001058F2"/>
    <w:rsid w:val="00106036"/>
    <w:rsid w:val="001060C8"/>
    <w:rsid w:val="00106C3D"/>
    <w:rsid w:val="001076CB"/>
    <w:rsid w:val="00107915"/>
    <w:rsid w:val="001101DC"/>
    <w:rsid w:val="0011023F"/>
    <w:rsid w:val="001102CC"/>
    <w:rsid w:val="00110D46"/>
    <w:rsid w:val="00111142"/>
    <w:rsid w:val="00111902"/>
    <w:rsid w:val="00111D9D"/>
    <w:rsid w:val="0011217C"/>
    <w:rsid w:val="001121A4"/>
    <w:rsid w:val="001123E3"/>
    <w:rsid w:val="00112670"/>
    <w:rsid w:val="00112B52"/>
    <w:rsid w:val="00113A2D"/>
    <w:rsid w:val="0011482E"/>
    <w:rsid w:val="00114B3B"/>
    <w:rsid w:val="00114E30"/>
    <w:rsid w:val="0011552A"/>
    <w:rsid w:val="00115884"/>
    <w:rsid w:val="001159DE"/>
    <w:rsid w:val="0011605F"/>
    <w:rsid w:val="00116549"/>
    <w:rsid w:val="00116ADE"/>
    <w:rsid w:val="00116D8E"/>
    <w:rsid w:val="001176C2"/>
    <w:rsid w:val="00117812"/>
    <w:rsid w:val="00117931"/>
    <w:rsid w:val="00117A0B"/>
    <w:rsid w:val="00117C20"/>
    <w:rsid w:val="00117E41"/>
    <w:rsid w:val="001201B3"/>
    <w:rsid w:val="001201C0"/>
    <w:rsid w:val="00120350"/>
    <w:rsid w:val="00120718"/>
    <w:rsid w:val="0012092D"/>
    <w:rsid w:val="00121400"/>
    <w:rsid w:val="00121B3E"/>
    <w:rsid w:val="00121E2A"/>
    <w:rsid w:val="00121F9B"/>
    <w:rsid w:val="00122A9A"/>
    <w:rsid w:val="001230A7"/>
    <w:rsid w:val="001232A6"/>
    <w:rsid w:val="0012370C"/>
    <w:rsid w:val="00123F82"/>
    <w:rsid w:val="0012486C"/>
    <w:rsid w:val="00124E0C"/>
    <w:rsid w:val="001256DF"/>
    <w:rsid w:val="00125BAA"/>
    <w:rsid w:val="00125E95"/>
    <w:rsid w:val="00126CC2"/>
    <w:rsid w:val="00126D32"/>
    <w:rsid w:val="00126DF7"/>
    <w:rsid w:val="001275BA"/>
    <w:rsid w:val="001275D2"/>
    <w:rsid w:val="0012767D"/>
    <w:rsid w:val="00127CEB"/>
    <w:rsid w:val="0013009E"/>
    <w:rsid w:val="00130135"/>
    <w:rsid w:val="0013047F"/>
    <w:rsid w:val="0013068C"/>
    <w:rsid w:val="00130BBE"/>
    <w:rsid w:val="00131760"/>
    <w:rsid w:val="00131C8C"/>
    <w:rsid w:val="00132D8B"/>
    <w:rsid w:val="001330E3"/>
    <w:rsid w:val="001333A4"/>
    <w:rsid w:val="0013359E"/>
    <w:rsid w:val="00134727"/>
    <w:rsid w:val="00134962"/>
    <w:rsid w:val="00134986"/>
    <w:rsid w:val="00134AE0"/>
    <w:rsid w:val="00134BF9"/>
    <w:rsid w:val="001350A3"/>
    <w:rsid w:val="001350E4"/>
    <w:rsid w:val="001355EB"/>
    <w:rsid w:val="00135AC6"/>
    <w:rsid w:val="00136057"/>
    <w:rsid w:val="0013632C"/>
    <w:rsid w:val="00136EF0"/>
    <w:rsid w:val="00137210"/>
    <w:rsid w:val="00137F99"/>
    <w:rsid w:val="00141210"/>
    <w:rsid w:val="00141304"/>
    <w:rsid w:val="001416B4"/>
    <w:rsid w:val="001419E7"/>
    <w:rsid w:val="00141DC7"/>
    <w:rsid w:val="00141F4F"/>
    <w:rsid w:val="00142020"/>
    <w:rsid w:val="001420E5"/>
    <w:rsid w:val="0014267F"/>
    <w:rsid w:val="001426D2"/>
    <w:rsid w:val="00142D74"/>
    <w:rsid w:val="00142F55"/>
    <w:rsid w:val="00143D17"/>
    <w:rsid w:val="00143E19"/>
    <w:rsid w:val="0014476D"/>
    <w:rsid w:val="00144B4A"/>
    <w:rsid w:val="00144B77"/>
    <w:rsid w:val="00144B99"/>
    <w:rsid w:val="001454F5"/>
    <w:rsid w:val="001457BD"/>
    <w:rsid w:val="001459C0"/>
    <w:rsid w:val="00146DA5"/>
    <w:rsid w:val="00147511"/>
    <w:rsid w:val="00147796"/>
    <w:rsid w:val="001477D0"/>
    <w:rsid w:val="001478D6"/>
    <w:rsid w:val="0014794B"/>
    <w:rsid w:val="00147B50"/>
    <w:rsid w:val="00147C51"/>
    <w:rsid w:val="00147D16"/>
    <w:rsid w:val="00147F33"/>
    <w:rsid w:val="00147F6A"/>
    <w:rsid w:val="001507A4"/>
    <w:rsid w:val="00151391"/>
    <w:rsid w:val="00151494"/>
    <w:rsid w:val="00151CBD"/>
    <w:rsid w:val="00152343"/>
    <w:rsid w:val="00152C09"/>
    <w:rsid w:val="00152FA7"/>
    <w:rsid w:val="001530BA"/>
    <w:rsid w:val="00153137"/>
    <w:rsid w:val="001532FC"/>
    <w:rsid w:val="001538BA"/>
    <w:rsid w:val="001539C3"/>
    <w:rsid w:val="00154587"/>
    <w:rsid w:val="001550E1"/>
    <w:rsid w:val="0015526A"/>
    <w:rsid w:val="00155D64"/>
    <w:rsid w:val="00155D77"/>
    <w:rsid w:val="001564BB"/>
    <w:rsid w:val="001572D4"/>
    <w:rsid w:val="00157990"/>
    <w:rsid w:val="00160243"/>
    <w:rsid w:val="00160D3B"/>
    <w:rsid w:val="001614A8"/>
    <w:rsid w:val="0016158C"/>
    <w:rsid w:val="00161779"/>
    <w:rsid w:val="00161CAF"/>
    <w:rsid w:val="00161DCD"/>
    <w:rsid w:val="00161F8B"/>
    <w:rsid w:val="001625A2"/>
    <w:rsid w:val="001629C7"/>
    <w:rsid w:val="0016314C"/>
    <w:rsid w:val="001639A7"/>
    <w:rsid w:val="0016404C"/>
    <w:rsid w:val="0016411D"/>
    <w:rsid w:val="001647D1"/>
    <w:rsid w:val="00164837"/>
    <w:rsid w:val="00164A98"/>
    <w:rsid w:val="00164E5C"/>
    <w:rsid w:val="00164F8C"/>
    <w:rsid w:val="0016575F"/>
    <w:rsid w:val="001665C4"/>
    <w:rsid w:val="001666E7"/>
    <w:rsid w:val="001668C9"/>
    <w:rsid w:val="00166C11"/>
    <w:rsid w:val="001673F1"/>
    <w:rsid w:val="00167D3A"/>
    <w:rsid w:val="00167FFB"/>
    <w:rsid w:val="0017041B"/>
    <w:rsid w:val="00170812"/>
    <w:rsid w:val="00170F97"/>
    <w:rsid w:val="001714B2"/>
    <w:rsid w:val="0017210A"/>
    <w:rsid w:val="00173404"/>
    <w:rsid w:val="001741D8"/>
    <w:rsid w:val="0017428E"/>
    <w:rsid w:val="001747BF"/>
    <w:rsid w:val="00174D4B"/>
    <w:rsid w:val="00175148"/>
    <w:rsid w:val="001752B5"/>
    <w:rsid w:val="001752B9"/>
    <w:rsid w:val="001753E1"/>
    <w:rsid w:val="00175BDC"/>
    <w:rsid w:val="00176CA5"/>
    <w:rsid w:val="00176CD6"/>
    <w:rsid w:val="00177278"/>
    <w:rsid w:val="00177381"/>
    <w:rsid w:val="00177466"/>
    <w:rsid w:val="001778AF"/>
    <w:rsid w:val="00177C60"/>
    <w:rsid w:val="00180079"/>
    <w:rsid w:val="001805AC"/>
    <w:rsid w:val="001807B3"/>
    <w:rsid w:val="00180B3A"/>
    <w:rsid w:val="00180DDB"/>
    <w:rsid w:val="00180E3F"/>
    <w:rsid w:val="0018164C"/>
    <w:rsid w:val="00181D4A"/>
    <w:rsid w:val="00181EF3"/>
    <w:rsid w:val="001820EC"/>
    <w:rsid w:val="00183126"/>
    <w:rsid w:val="00183481"/>
    <w:rsid w:val="0018355A"/>
    <w:rsid w:val="001842EA"/>
    <w:rsid w:val="0018462B"/>
    <w:rsid w:val="00184890"/>
    <w:rsid w:val="00184A43"/>
    <w:rsid w:val="00184AA0"/>
    <w:rsid w:val="00184D4E"/>
    <w:rsid w:val="00184F1B"/>
    <w:rsid w:val="00185543"/>
    <w:rsid w:val="00185B57"/>
    <w:rsid w:val="00185B59"/>
    <w:rsid w:val="00185D9C"/>
    <w:rsid w:val="00185F8B"/>
    <w:rsid w:val="0018662C"/>
    <w:rsid w:val="00186A25"/>
    <w:rsid w:val="00187888"/>
    <w:rsid w:val="00187A13"/>
    <w:rsid w:val="0019038B"/>
    <w:rsid w:val="00190AA2"/>
    <w:rsid w:val="001910BB"/>
    <w:rsid w:val="00192713"/>
    <w:rsid w:val="00194BAC"/>
    <w:rsid w:val="00194EBA"/>
    <w:rsid w:val="00194FD8"/>
    <w:rsid w:val="00195164"/>
    <w:rsid w:val="00195519"/>
    <w:rsid w:val="0019562B"/>
    <w:rsid w:val="00196044"/>
    <w:rsid w:val="00196683"/>
    <w:rsid w:val="00196BD2"/>
    <w:rsid w:val="0019704B"/>
    <w:rsid w:val="001971CD"/>
    <w:rsid w:val="001975C3"/>
    <w:rsid w:val="001978C5"/>
    <w:rsid w:val="00197E7D"/>
    <w:rsid w:val="00197E87"/>
    <w:rsid w:val="001A2D27"/>
    <w:rsid w:val="001A3047"/>
    <w:rsid w:val="001A4533"/>
    <w:rsid w:val="001A4EF8"/>
    <w:rsid w:val="001A50C4"/>
    <w:rsid w:val="001A51CB"/>
    <w:rsid w:val="001A52FD"/>
    <w:rsid w:val="001A54AC"/>
    <w:rsid w:val="001A59AB"/>
    <w:rsid w:val="001A59C7"/>
    <w:rsid w:val="001A5CE4"/>
    <w:rsid w:val="001A5DE2"/>
    <w:rsid w:val="001A6F6A"/>
    <w:rsid w:val="001A7382"/>
    <w:rsid w:val="001A7B79"/>
    <w:rsid w:val="001A7C11"/>
    <w:rsid w:val="001A7C7C"/>
    <w:rsid w:val="001B01B8"/>
    <w:rsid w:val="001B09F2"/>
    <w:rsid w:val="001B1425"/>
    <w:rsid w:val="001B16FB"/>
    <w:rsid w:val="001B1F1C"/>
    <w:rsid w:val="001B1FA2"/>
    <w:rsid w:val="001B30BA"/>
    <w:rsid w:val="001B311A"/>
    <w:rsid w:val="001B33BA"/>
    <w:rsid w:val="001B385C"/>
    <w:rsid w:val="001B44B3"/>
    <w:rsid w:val="001B56D6"/>
    <w:rsid w:val="001B58AF"/>
    <w:rsid w:val="001B5B37"/>
    <w:rsid w:val="001B5EF2"/>
    <w:rsid w:val="001B6019"/>
    <w:rsid w:val="001B68FA"/>
    <w:rsid w:val="001B6B5A"/>
    <w:rsid w:val="001B7575"/>
    <w:rsid w:val="001B7695"/>
    <w:rsid w:val="001B7A11"/>
    <w:rsid w:val="001B7E5D"/>
    <w:rsid w:val="001C02B9"/>
    <w:rsid w:val="001C034D"/>
    <w:rsid w:val="001C0BAB"/>
    <w:rsid w:val="001C0F98"/>
    <w:rsid w:val="001C0FA8"/>
    <w:rsid w:val="001C138A"/>
    <w:rsid w:val="001C1BC3"/>
    <w:rsid w:val="001C1D7E"/>
    <w:rsid w:val="001C208E"/>
    <w:rsid w:val="001C2DC7"/>
    <w:rsid w:val="001C3492"/>
    <w:rsid w:val="001C3691"/>
    <w:rsid w:val="001C3A5D"/>
    <w:rsid w:val="001C3D5E"/>
    <w:rsid w:val="001C3F56"/>
    <w:rsid w:val="001C42C0"/>
    <w:rsid w:val="001C46C0"/>
    <w:rsid w:val="001C4780"/>
    <w:rsid w:val="001C48ED"/>
    <w:rsid w:val="001C4908"/>
    <w:rsid w:val="001C4BAD"/>
    <w:rsid w:val="001C5996"/>
    <w:rsid w:val="001C672A"/>
    <w:rsid w:val="001C6965"/>
    <w:rsid w:val="001C712B"/>
    <w:rsid w:val="001C79F3"/>
    <w:rsid w:val="001D0775"/>
    <w:rsid w:val="001D0A3D"/>
    <w:rsid w:val="001D0CF4"/>
    <w:rsid w:val="001D1695"/>
    <w:rsid w:val="001D27B9"/>
    <w:rsid w:val="001D2805"/>
    <w:rsid w:val="001D32C9"/>
    <w:rsid w:val="001D3BE8"/>
    <w:rsid w:val="001D4062"/>
    <w:rsid w:val="001D4080"/>
    <w:rsid w:val="001D432E"/>
    <w:rsid w:val="001D47DC"/>
    <w:rsid w:val="001D5006"/>
    <w:rsid w:val="001D5342"/>
    <w:rsid w:val="001D54D7"/>
    <w:rsid w:val="001D5A37"/>
    <w:rsid w:val="001D6776"/>
    <w:rsid w:val="001D7415"/>
    <w:rsid w:val="001D7437"/>
    <w:rsid w:val="001D7493"/>
    <w:rsid w:val="001D776F"/>
    <w:rsid w:val="001D77D8"/>
    <w:rsid w:val="001D7C4E"/>
    <w:rsid w:val="001E0001"/>
    <w:rsid w:val="001E0269"/>
    <w:rsid w:val="001E0AE3"/>
    <w:rsid w:val="001E1547"/>
    <w:rsid w:val="001E1933"/>
    <w:rsid w:val="001E1CFF"/>
    <w:rsid w:val="001E1D98"/>
    <w:rsid w:val="001E208C"/>
    <w:rsid w:val="001E2167"/>
    <w:rsid w:val="001E2375"/>
    <w:rsid w:val="001E28FB"/>
    <w:rsid w:val="001E2F42"/>
    <w:rsid w:val="001E310C"/>
    <w:rsid w:val="001E346F"/>
    <w:rsid w:val="001E360D"/>
    <w:rsid w:val="001E3BC2"/>
    <w:rsid w:val="001E4799"/>
    <w:rsid w:val="001E4969"/>
    <w:rsid w:val="001E4BA5"/>
    <w:rsid w:val="001E4F90"/>
    <w:rsid w:val="001E5498"/>
    <w:rsid w:val="001E5887"/>
    <w:rsid w:val="001E59BA"/>
    <w:rsid w:val="001E639F"/>
    <w:rsid w:val="001E683E"/>
    <w:rsid w:val="001E6976"/>
    <w:rsid w:val="001E7232"/>
    <w:rsid w:val="001E764A"/>
    <w:rsid w:val="001E7A34"/>
    <w:rsid w:val="001F083D"/>
    <w:rsid w:val="001F0C99"/>
    <w:rsid w:val="001F0D05"/>
    <w:rsid w:val="001F1346"/>
    <w:rsid w:val="001F1A4E"/>
    <w:rsid w:val="001F1EC9"/>
    <w:rsid w:val="001F2FD3"/>
    <w:rsid w:val="001F3FD3"/>
    <w:rsid w:val="001F3FDD"/>
    <w:rsid w:val="001F414C"/>
    <w:rsid w:val="001F41E7"/>
    <w:rsid w:val="001F42D8"/>
    <w:rsid w:val="001F4A7F"/>
    <w:rsid w:val="001F4EAC"/>
    <w:rsid w:val="001F5C6E"/>
    <w:rsid w:val="001F6116"/>
    <w:rsid w:val="001F63DB"/>
    <w:rsid w:val="001F7256"/>
    <w:rsid w:val="001F740C"/>
    <w:rsid w:val="002000A7"/>
    <w:rsid w:val="002003D8"/>
    <w:rsid w:val="00200B4C"/>
    <w:rsid w:val="00200F7E"/>
    <w:rsid w:val="002011EA"/>
    <w:rsid w:val="002017BF"/>
    <w:rsid w:val="00201A43"/>
    <w:rsid w:val="0020222A"/>
    <w:rsid w:val="00202551"/>
    <w:rsid w:val="0020307C"/>
    <w:rsid w:val="002044D0"/>
    <w:rsid w:val="0020461D"/>
    <w:rsid w:val="0020476E"/>
    <w:rsid w:val="00206847"/>
    <w:rsid w:val="00206DA1"/>
    <w:rsid w:val="00207096"/>
    <w:rsid w:val="002079BE"/>
    <w:rsid w:val="00207D28"/>
    <w:rsid w:val="00210129"/>
    <w:rsid w:val="00211104"/>
    <w:rsid w:val="0021138D"/>
    <w:rsid w:val="00211554"/>
    <w:rsid w:val="00212018"/>
    <w:rsid w:val="00212028"/>
    <w:rsid w:val="00212368"/>
    <w:rsid w:val="00212E8C"/>
    <w:rsid w:val="0021324A"/>
    <w:rsid w:val="00214242"/>
    <w:rsid w:val="00214747"/>
    <w:rsid w:val="00215278"/>
    <w:rsid w:val="002153C4"/>
    <w:rsid w:val="00215660"/>
    <w:rsid w:val="002159E2"/>
    <w:rsid w:val="00215B7E"/>
    <w:rsid w:val="00215CDE"/>
    <w:rsid w:val="00215FBD"/>
    <w:rsid w:val="002160F0"/>
    <w:rsid w:val="00216160"/>
    <w:rsid w:val="002164D0"/>
    <w:rsid w:val="00216C41"/>
    <w:rsid w:val="00216D2F"/>
    <w:rsid w:val="00216ED4"/>
    <w:rsid w:val="00217003"/>
    <w:rsid w:val="0021779A"/>
    <w:rsid w:val="002177C0"/>
    <w:rsid w:val="002178F1"/>
    <w:rsid w:val="00221AB9"/>
    <w:rsid w:val="00222142"/>
    <w:rsid w:val="00222432"/>
    <w:rsid w:val="00222A35"/>
    <w:rsid w:val="00222A82"/>
    <w:rsid w:val="00222B2E"/>
    <w:rsid w:val="00223C8C"/>
    <w:rsid w:val="002243D0"/>
    <w:rsid w:val="00224433"/>
    <w:rsid w:val="002249A8"/>
    <w:rsid w:val="0022610B"/>
    <w:rsid w:val="00226DE3"/>
    <w:rsid w:val="00226FF2"/>
    <w:rsid w:val="0022730F"/>
    <w:rsid w:val="00227808"/>
    <w:rsid w:val="002279C1"/>
    <w:rsid w:val="00227D3F"/>
    <w:rsid w:val="002308AE"/>
    <w:rsid w:val="00230A5D"/>
    <w:rsid w:val="00230EE2"/>
    <w:rsid w:val="00230F32"/>
    <w:rsid w:val="00232381"/>
    <w:rsid w:val="00232598"/>
    <w:rsid w:val="002327AD"/>
    <w:rsid w:val="00232CF4"/>
    <w:rsid w:val="00233005"/>
    <w:rsid w:val="002333C8"/>
    <w:rsid w:val="002333CC"/>
    <w:rsid w:val="002337E1"/>
    <w:rsid w:val="002341DC"/>
    <w:rsid w:val="0023469C"/>
    <w:rsid w:val="00234F37"/>
    <w:rsid w:val="00235138"/>
    <w:rsid w:val="00237357"/>
    <w:rsid w:val="002375D5"/>
    <w:rsid w:val="00237C8F"/>
    <w:rsid w:val="00237C9A"/>
    <w:rsid w:val="00240965"/>
    <w:rsid w:val="002417F5"/>
    <w:rsid w:val="00241A0A"/>
    <w:rsid w:val="002424D5"/>
    <w:rsid w:val="00242650"/>
    <w:rsid w:val="0024266A"/>
    <w:rsid w:val="0024268B"/>
    <w:rsid w:val="00242984"/>
    <w:rsid w:val="002442BA"/>
    <w:rsid w:val="002448F7"/>
    <w:rsid w:val="00245A76"/>
    <w:rsid w:val="00245FFE"/>
    <w:rsid w:val="002460D3"/>
    <w:rsid w:val="00246196"/>
    <w:rsid w:val="00246A9F"/>
    <w:rsid w:val="00246F3E"/>
    <w:rsid w:val="0024739E"/>
    <w:rsid w:val="0025059C"/>
    <w:rsid w:val="0025080D"/>
    <w:rsid w:val="0025092A"/>
    <w:rsid w:val="00250DC4"/>
    <w:rsid w:val="00250F36"/>
    <w:rsid w:val="0025128C"/>
    <w:rsid w:val="00251FF5"/>
    <w:rsid w:val="00252B4F"/>
    <w:rsid w:val="00252DAF"/>
    <w:rsid w:val="00252E7D"/>
    <w:rsid w:val="00253189"/>
    <w:rsid w:val="00253A82"/>
    <w:rsid w:val="00254353"/>
    <w:rsid w:val="002546AB"/>
    <w:rsid w:val="00254FBA"/>
    <w:rsid w:val="00255F5B"/>
    <w:rsid w:val="00256647"/>
    <w:rsid w:val="002568C6"/>
    <w:rsid w:val="00256911"/>
    <w:rsid w:val="00256B12"/>
    <w:rsid w:val="00256B3C"/>
    <w:rsid w:val="00256B6B"/>
    <w:rsid w:val="00257D50"/>
    <w:rsid w:val="00257E68"/>
    <w:rsid w:val="002603E6"/>
    <w:rsid w:val="002607EA"/>
    <w:rsid w:val="00260DF4"/>
    <w:rsid w:val="002619F2"/>
    <w:rsid w:val="00261DC2"/>
    <w:rsid w:val="00262074"/>
    <w:rsid w:val="00262743"/>
    <w:rsid w:val="00262749"/>
    <w:rsid w:val="00262845"/>
    <w:rsid w:val="002637ED"/>
    <w:rsid w:val="00263D4D"/>
    <w:rsid w:val="00264222"/>
    <w:rsid w:val="0026451F"/>
    <w:rsid w:val="002648A8"/>
    <w:rsid w:val="00264CF9"/>
    <w:rsid w:val="00264FB2"/>
    <w:rsid w:val="0026549D"/>
    <w:rsid w:val="00266E61"/>
    <w:rsid w:val="00267568"/>
    <w:rsid w:val="002675DE"/>
    <w:rsid w:val="00267895"/>
    <w:rsid w:val="00267D71"/>
    <w:rsid w:val="00267D88"/>
    <w:rsid w:val="00270304"/>
    <w:rsid w:val="0027075B"/>
    <w:rsid w:val="002710DA"/>
    <w:rsid w:val="00271949"/>
    <w:rsid w:val="0027294D"/>
    <w:rsid w:val="00272E76"/>
    <w:rsid w:val="002737F2"/>
    <w:rsid w:val="002738FB"/>
    <w:rsid w:val="002741A8"/>
    <w:rsid w:val="00274505"/>
    <w:rsid w:val="00275386"/>
    <w:rsid w:val="002753ED"/>
    <w:rsid w:val="0027550C"/>
    <w:rsid w:val="0027579E"/>
    <w:rsid w:val="002764CA"/>
    <w:rsid w:val="00276590"/>
    <w:rsid w:val="00276B73"/>
    <w:rsid w:val="0027701D"/>
    <w:rsid w:val="0027702A"/>
    <w:rsid w:val="00277703"/>
    <w:rsid w:val="00280469"/>
    <w:rsid w:val="00280F56"/>
    <w:rsid w:val="0028132D"/>
    <w:rsid w:val="00281AC8"/>
    <w:rsid w:val="00281C7D"/>
    <w:rsid w:val="00281FF1"/>
    <w:rsid w:val="002820D9"/>
    <w:rsid w:val="00282905"/>
    <w:rsid w:val="00282B05"/>
    <w:rsid w:val="00282B2B"/>
    <w:rsid w:val="00283B4B"/>
    <w:rsid w:val="00284E9F"/>
    <w:rsid w:val="0028527E"/>
    <w:rsid w:val="0028528B"/>
    <w:rsid w:val="00286531"/>
    <w:rsid w:val="002865A5"/>
    <w:rsid w:val="00286C4B"/>
    <w:rsid w:val="00286FD4"/>
    <w:rsid w:val="002871BB"/>
    <w:rsid w:val="00287727"/>
    <w:rsid w:val="00290224"/>
    <w:rsid w:val="00290EBB"/>
    <w:rsid w:val="002912F8"/>
    <w:rsid w:val="002921AE"/>
    <w:rsid w:val="00292B2D"/>
    <w:rsid w:val="00292D38"/>
    <w:rsid w:val="002930BA"/>
    <w:rsid w:val="002949E8"/>
    <w:rsid w:val="0029564C"/>
    <w:rsid w:val="00295946"/>
    <w:rsid w:val="002961FE"/>
    <w:rsid w:val="00296761"/>
    <w:rsid w:val="00296B1C"/>
    <w:rsid w:val="0029725D"/>
    <w:rsid w:val="00297415"/>
    <w:rsid w:val="00297E1D"/>
    <w:rsid w:val="002A023B"/>
    <w:rsid w:val="002A062D"/>
    <w:rsid w:val="002A065B"/>
    <w:rsid w:val="002A06CD"/>
    <w:rsid w:val="002A0D02"/>
    <w:rsid w:val="002A11C1"/>
    <w:rsid w:val="002A12C7"/>
    <w:rsid w:val="002A1AB8"/>
    <w:rsid w:val="002A1B5E"/>
    <w:rsid w:val="002A1CA9"/>
    <w:rsid w:val="002A1CF7"/>
    <w:rsid w:val="002A21F0"/>
    <w:rsid w:val="002A372D"/>
    <w:rsid w:val="002A37AB"/>
    <w:rsid w:val="002A382A"/>
    <w:rsid w:val="002A39C1"/>
    <w:rsid w:val="002A42DA"/>
    <w:rsid w:val="002A4370"/>
    <w:rsid w:val="002A44DD"/>
    <w:rsid w:val="002A4C6C"/>
    <w:rsid w:val="002A4F3E"/>
    <w:rsid w:val="002A5768"/>
    <w:rsid w:val="002A5A3B"/>
    <w:rsid w:val="002A5A8B"/>
    <w:rsid w:val="002A5AD7"/>
    <w:rsid w:val="002A5FD0"/>
    <w:rsid w:val="002A6182"/>
    <w:rsid w:val="002A61BA"/>
    <w:rsid w:val="002A732D"/>
    <w:rsid w:val="002A7433"/>
    <w:rsid w:val="002A7E35"/>
    <w:rsid w:val="002B0037"/>
    <w:rsid w:val="002B05E5"/>
    <w:rsid w:val="002B0C5D"/>
    <w:rsid w:val="002B0FA2"/>
    <w:rsid w:val="002B1385"/>
    <w:rsid w:val="002B185D"/>
    <w:rsid w:val="002B1A4F"/>
    <w:rsid w:val="002B20AF"/>
    <w:rsid w:val="002B253F"/>
    <w:rsid w:val="002B2825"/>
    <w:rsid w:val="002B2AE3"/>
    <w:rsid w:val="002B3D4F"/>
    <w:rsid w:val="002B41E9"/>
    <w:rsid w:val="002B4A8F"/>
    <w:rsid w:val="002B4B70"/>
    <w:rsid w:val="002B535D"/>
    <w:rsid w:val="002B5384"/>
    <w:rsid w:val="002B5CAA"/>
    <w:rsid w:val="002B7A71"/>
    <w:rsid w:val="002B7BF5"/>
    <w:rsid w:val="002C0347"/>
    <w:rsid w:val="002C04C9"/>
    <w:rsid w:val="002C08CD"/>
    <w:rsid w:val="002C0B29"/>
    <w:rsid w:val="002C0B8B"/>
    <w:rsid w:val="002C0E19"/>
    <w:rsid w:val="002C0F8C"/>
    <w:rsid w:val="002C12DC"/>
    <w:rsid w:val="002C1A68"/>
    <w:rsid w:val="002C21AB"/>
    <w:rsid w:val="002C27A5"/>
    <w:rsid w:val="002C2C4B"/>
    <w:rsid w:val="002C2CBC"/>
    <w:rsid w:val="002C30C8"/>
    <w:rsid w:val="002C3486"/>
    <w:rsid w:val="002C3F00"/>
    <w:rsid w:val="002C3FE2"/>
    <w:rsid w:val="002C4C3C"/>
    <w:rsid w:val="002C5FC2"/>
    <w:rsid w:val="002C61CB"/>
    <w:rsid w:val="002C66B5"/>
    <w:rsid w:val="002C6AE3"/>
    <w:rsid w:val="002C7876"/>
    <w:rsid w:val="002C7A40"/>
    <w:rsid w:val="002C7D69"/>
    <w:rsid w:val="002D14FD"/>
    <w:rsid w:val="002D1945"/>
    <w:rsid w:val="002D19F9"/>
    <w:rsid w:val="002D1E15"/>
    <w:rsid w:val="002D22BA"/>
    <w:rsid w:val="002D2836"/>
    <w:rsid w:val="002D298C"/>
    <w:rsid w:val="002D2AE6"/>
    <w:rsid w:val="002D2B2B"/>
    <w:rsid w:val="002D2B6C"/>
    <w:rsid w:val="002D30EE"/>
    <w:rsid w:val="002D3B1D"/>
    <w:rsid w:val="002D3F1B"/>
    <w:rsid w:val="002D46A5"/>
    <w:rsid w:val="002D472C"/>
    <w:rsid w:val="002D4D88"/>
    <w:rsid w:val="002D5024"/>
    <w:rsid w:val="002D5085"/>
    <w:rsid w:val="002D5503"/>
    <w:rsid w:val="002D60B3"/>
    <w:rsid w:val="002D63DF"/>
    <w:rsid w:val="002D6781"/>
    <w:rsid w:val="002E11B2"/>
    <w:rsid w:val="002E1DD5"/>
    <w:rsid w:val="002E2508"/>
    <w:rsid w:val="002E26D6"/>
    <w:rsid w:val="002E281F"/>
    <w:rsid w:val="002E2EDA"/>
    <w:rsid w:val="002E32A2"/>
    <w:rsid w:val="002E3631"/>
    <w:rsid w:val="002E389B"/>
    <w:rsid w:val="002E4BBD"/>
    <w:rsid w:val="002E5694"/>
    <w:rsid w:val="002E5CFC"/>
    <w:rsid w:val="002E5D9E"/>
    <w:rsid w:val="002E62E7"/>
    <w:rsid w:val="002E6711"/>
    <w:rsid w:val="002E674C"/>
    <w:rsid w:val="002E6816"/>
    <w:rsid w:val="002E6C15"/>
    <w:rsid w:val="002E7085"/>
    <w:rsid w:val="002E7C1D"/>
    <w:rsid w:val="002E7F3F"/>
    <w:rsid w:val="002F0306"/>
    <w:rsid w:val="002F07A2"/>
    <w:rsid w:val="002F09BC"/>
    <w:rsid w:val="002F0A6E"/>
    <w:rsid w:val="002F0BB3"/>
    <w:rsid w:val="002F1EBE"/>
    <w:rsid w:val="002F2004"/>
    <w:rsid w:val="002F3589"/>
    <w:rsid w:val="002F3A98"/>
    <w:rsid w:val="002F407C"/>
    <w:rsid w:val="002F482F"/>
    <w:rsid w:val="002F49EF"/>
    <w:rsid w:val="002F4D4F"/>
    <w:rsid w:val="002F5157"/>
    <w:rsid w:val="002F5AA3"/>
    <w:rsid w:val="002F6115"/>
    <w:rsid w:val="002F65E7"/>
    <w:rsid w:val="002F72BC"/>
    <w:rsid w:val="002F748A"/>
    <w:rsid w:val="002F7D7C"/>
    <w:rsid w:val="002F7E49"/>
    <w:rsid w:val="002F7F72"/>
    <w:rsid w:val="00300A86"/>
    <w:rsid w:val="003015B2"/>
    <w:rsid w:val="003016F7"/>
    <w:rsid w:val="00301D28"/>
    <w:rsid w:val="00301DE2"/>
    <w:rsid w:val="00302BD6"/>
    <w:rsid w:val="0030323D"/>
    <w:rsid w:val="00303D53"/>
    <w:rsid w:val="0030487C"/>
    <w:rsid w:val="00304A48"/>
    <w:rsid w:val="00304D89"/>
    <w:rsid w:val="00304F86"/>
    <w:rsid w:val="00305160"/>
    <w:rsid w:val="003051C2"/>
    <w:rsid w:val="00305263"/>
    <w:rsid w:val="00305465"/>
    <w:rsid w:val="00305A98"/>
    <w:rsid w:val="00305C1A"/>
    <w:rsid w:val="00305CFF"/>
    <w:rsid w:val="00305E13"/>
    <w:rsid w:val="0030674B"/>
    <w:rsid w:val="003073B2"/>
    <w:rsid w:val="0030755C"/>
    <w:rsid w:val="003077C2"/>
    <w:rsid w:val="00307BFE"/>
    <w:rsid w:val="00307E6D"/>
    <w:rsid w:val="00310440"/>
    <w:rsid w:val="0031079F"/>
    <w:rsid w:val="00311603"/>
    <w:rsid w:val="003127C4"/>
    <w:rsid w:val="003127F8"/>
    <w:rsid w:val="00313686"/>
    <w:rsid w:val="00313CF4"/>
    <w:rsid w:val="00314466"/>
    <w:rsid w:val="00314614"/>
    <w:rsid w:val="00314666"/>
    <w:rsid w:val="003149C8"/>
    <w:rsid w:val="00314B00"/>
    <w:rsid w:val="00315132"/>
    <w:rsid w:val="00315501"/>
    <w:rsid w:val="0031578F"/>
    <w:rsid w:val="003159C9"/>
    <w:rsid w:val="00315A53"/>
    <w:rsid w:val="00315AD5"/>
    <w:rsid w:val="00315B30"/>
    <w:rsid w:val="00315C46"/>
    <w:rsid w:val="00315E7B"/>
    <w:rsid w:val="003165F9"/>
    <w:rsid w:val="00316D3D"/>
    <w:rsid w:val="00316DAE"/>
    <w:rsid w:val="00317792"/>
    <w:rsid w:val="003177EC"/>
    <w:rsid w:val="00320131"/>
    <w:rsid w:val="00320D92"/>
    <w:rsid w:val="00320DD0"/>
    <w:rsid w:val="00320FD8"/>
    <w:rsid w:val="003212A3"/>
    <w:rsid w:val="00321491"/>
    <w:rsid w:val="00321B28"/>
    <w:rsid w:val="00321B6C"/>
    <w:rsid w:val="00321CFD"/>
    <w:rsid w:val="00321FBF"/>
    <w:rsid w:val="0032224E"/>
    <w:rsid w:val="00322285"/>
    <w:rsid w:val="003223DA"/>
    <w:rsid w:val="0032252F"/>
    <w:rsid w:val="00322714"/>
    <w:rsid w:val="0032296F"/>
    <w:rsid w:val="003231A6"/>
    <w:rsid w:val="00323392"/>
    <w:rsid w:val="00324350"/>
    <w:rsid w:val="00324E85"/>
    <w:rsid w:val="00325D0D"/>
    <w:rsid w:val="00325F1D"/>
    <w:rsid w:val="00326136"/>
    <w:rsid w:val="003263CD"/>
    <w:rsid w:val="00326617"/>
    <w:rsid w:val="00326907"/>
    <w:rsid w:val="003272DF"/>
    <w:rsid w:val="0032775E"/>
    <w:rsid w:val="00327C81"/>
    <w:rsid w:val="00327E63"/>
    <w:rsid w:val="00330274"/>
    <w:rsid w:val="0033188C"/>
    <w:rsid w:val="00331B09"/>
    <w:rsid w:val="00331EC3"/>
    <w:rsid w:val="00332AF3"/>
    <w:rsid w:val="0033357C"/>
    <w:rsid w:val="0033368D"/>
    <w:rsid w:val="00333C00"/>
    <w:rsid w:val="003345EE"/>
    <w:rsid w:val="0033529E"/>
    <w:rsid w:val="00335321"/>
    <w:rsid w:val="0033532F"/>
    <w:rsid w:val="0033569A"/>
    <w:rsid w:val="00335A8D"/>
    <w:rsid w:val="00336870"/>
    <w:rsid w:val="00336ABE"/>
    <w:rsid w:val="00336B8E"/>
    <w:rsid w:val="00336E69"/>
    <w:rsid w:val="00336F5F"/>
    <w:rsid w:val="00336FEE"/>
    <w:rsid w:val="003378AE"/>
    <w:rsid w:val="00337B0C"/>
    <w:rsid w:val="00340108"/>
    <w:rsid w:val="0034023B"/>
    <w:rsid w:val="003402AF"/>
    <w:rsid w:val="00340553"/>
    <w:rsid w:val="003408B5"/>
    <w:rsid w:val="003409C0"/>
    <w:rsid w:val="00340F1B"/>
    <w:rsid w:val="003415A9"/>
    <w:rsid w:val="00341705"/>
    <w:rsid w:val="00341C3D"/>
    <w:rsid w:val="00341D64"/>
    <w:rsid w:val="00341EA4"/>
    <w:rsid w:val="00342267"/>
    <w:rsid w:val="003423CC"/>
    <w:rsid w:val="00343461"/>
    <w:rsid w:val="00343738"/>
    <w:rsid w:val="003439E1"/>
    <w:rsid w:val="00343D74"/>
    <w:rsid w:val="00343E51"/>
    <w:rsid w:val="00344080"/>
    <w:rsid w:val="0034454E"/>
    <w:rsid w:val="00344CF8"/>
    <w:rsid w:val="003456AB"/>
    <w:rsid w:val="00345C93"/>
    <w:rsid w:val="00345CE4"/>
    <w:rsid w:val="00345D9B"/>
    <w:rsid w:val="00346E84"/>
    <w:rsid w:val="003473CB"/>
    <w:rsid w:val="003473D5"/>
    <w:rsid w:val="00347442"/>
    <w:rsid w:val="003474A0"/>
    <w:rsid w:val="00347908"/>
    <w:rsid w:val="003479A5"/>
    <w:rsid w:val="00347AF6"/>
    <w:rsid w:val="00347ECA"/>
    <w:rsid w:val="003506B3"/>
    <w:rsid w:val="00350D6A"/>
    <w:rsid w:val="0035153E"/>
    <w:rsid w:val="0035179D"/>
    <w:rsid w:val="00351881"/>
    <w:rsid w:val="0035222C"/>
    <w:rsid w:val="00352DC3"/>
    <w:rsid w:val="00353067"/>
    <w:rsid w:val="003537BB"/>
    <w:rsid w:val="003538A9"/>
    <w:rsid w:val="00354394"/>
    <w:rsid w:val="00354C35"/>
    <w:rsid w:val="00354D78"/>
    <w:rsid w:val="003551DA"/>
    <w:rsid w:val="003554CC"/>
    <w:rsid w:val="0035580C"/>
    <w:rsid w:val="00356780"/>
    <w:rsid w:val="00356F6C"/>
    <w:rsid w:val="00356F93"/>
    <w:rsid w:val="00356FFF"/>
    <w:rsid w:val="00357133"/>
    <w:rsid w:val="0035781C"/>
    <w:rsid w:val="003578BD"/>
    <w:rsid w:val="00357D77"/>
    <w:rsid w:val="00360770"/>
    <w:rsid w:val="003617B2"/>
    <w:rsid w:val="0036193C"/>
    <w:rsid w:val="0036201B"/>
    <w:rsid w:val="00362CFD"/>
    <w:rsid w:val="00363052"/>
    <w:rsid w:val="00363781"/>
    <w:rsid w:val="00363D40"/>
    <w:rsid w:val="00363E45"/>
    <w:rsid w:val="0036521B"/>
    <w:rsid w:val="003677BB"/>
    <w:rsid w:val="00367C81"/>
    <w:rsid w:val="00371467"/>
    <w:rsid w:val="003716A7"/>
    <w:rsid w:val="00371785"/>
    <w:rsid w:val="00371B22"/>
    <w:rsid w:val="00371B9C"/>
    <w:rsid w:val="003720D7"/>
    <w:rsid w:val="00372E81"/>
    <w:rsid w:val="00372EFF"/>
    <w:rsid w:val="003730A7"/>
    <w:rsid w:val="00373730"/>
    <w:rsid w:val="0037383F"/>
    <w:rsid w:val="00373B2E"/>
    <w:rsid w:val="00373DDA"/>
    <w:rsid w:val="00373E74"/>
    <w:rsid w:val="003747B7"/>
    <w:rsid w:val="003747B9"/>
    <w:rsid w:val="003751FE"/>
    <w:rsid w:val="0037596E"/>
    <w:rsid w:val="00375A41"/>
    <w:rsid w:val="003760A4"/>
    <w:rsid w:val="00376704"/>
    <w:rsid w:val="00376E62"/>
    <w:rsid w:val="00376EAD"/>
    <w:rsid w:val="0037739B"/>
    <w:rsid w:val="0037752C"/>
    <w:rsid w:val="00380363"/>
    <w:rsid w:val="00380690"/>
    <w:rsid w:val="00380C22"/>
    <w:rsid w:val="00380F52"/>
    <w:rsid w:val="00381B34"/>
    <w:rsid w:val="00381BEB"/>
    <w:rsid w:val="00381C7E"/>
    <w:rsid w:val="00381D95"/>
    <w:rsid w:val="00382496"/>
    <w:rsid w:val="003827C1"/>
    <w:rsid w:val="0038297B"/>
    <w:rsid w:val="00382A15"/>
    <w:rsid w:val="003834AA"/>
    <w:rsid w:val="00383794"/>
    <w:rsid w:val="00383CCD"/>
    <w:rsid w:val="00384476"/>
    <w:rsid w:val="00384975"/>
    <w:rsid w:val="00384E49"/>
    <w:rsid w:val="00384E87"/>
    <w:rsid w:val="00384F45"/>
    <w:rsid w:val="00385734"/>
    <w:rsid w:val="00385E05"/>
    <w:rsid w:val="00385FE9"/>
    <w:rsid w:val="00390083"/>
    <w:rsid w:val="0039017C"/>
    <w:rsid w:val="00390370"/>
    <w:rsid w:val="0039072E"/>
    <w:rsid w:val="0039094B"/>
    <w:rsid w:val="00390E0F"/>
    <w:rsid w:val="00391479"/>
    <w:rsid w:val="003916C5"/>
    <w:rsid w:val="003918A0"/>
    <w:rsid w:val="0039231C"/>
    <w:rsid w:val="00392991"/>
    <w:rsid w:val="0039351B"/>
    <w:rsid w:val="00393C34"/>
    <w:rsid w:val="00393CFF"/>
    <w:rsid w:val="00394245"/>
    <w:rsid w:val="0039445B"/>
    <w:rsid w:val="00394977"/>
    <w:rsid w:val="00394F09"/>
    <w:rsid w:val="003951A8"/>
    <w:rsid w:val="003953D7"/>
    <w:rsid w:val="003956CE"/>
    <w:rsid w:val="00396521"/>
    <w:rsid w:val="003966FB"/>
    <w:rsid w:val="00396E2D"/>
    <w:rsid w:val="00397B5E"/>
    <w:rsid w:val="00397D11"/>
    <w:rsid w:val="003A1317"/>
    <w:rsid w:val="003A2007"/>
    <w:rsid w:val="003A2455"/>
    <w:rsid w:val="003A2515"/>
    <w:rsid w:val="003A2AEB"/>
    <w:rsid w:val="003A3135"/>
    <w:rsid w:val="003A32E8"/>
    <w:rsid w:val="003A34B1"/>
    <w:rsid w:val="003A3BE5"/>
    <w:rsid w:val="003A5146"/>
    <w:rsid w:val="003A5990"/>
    <w:rsid w:val="003A5AD2"/>
    <w:rsid w:val="003A5B03"/>
    <w:rsid w:val="003A5ECC"/>
    <w:rsid w:val="003A64EB"/>
    <w:rsid w:val="003A67EA"/>
    <w:rsid w:val="003A6AA3"/>
    <w:rsid w:val="003A7104"/>
    <w:rsid w:val="003A7370"/>
    <w:rsid w:val="003A7875"/>
    <w:rsid w:val="003A796B"/>
    <w:rsid w:val="003A7B28"/>
    <w:rsid w:val="003B078B"/>
    <w:rsid w:val="003B0C4B"/>
    <w:rsid w:val="003B11A5"/>
    <w:rsid w:val="003B14F1"/>
    <w:rsid w:val="003B153E"/>
    <w:rsid w:val="003B206F"/>
    <w:rsid w:val="003B2F8F"/>
    <w:rsid w:val="003B344E"/>
    <w:rsid w:val="003B5060"/>
    <w:rsid w:val="003B51AE"/>
    <w:rsid w:val="003B5362"/>
    <w:rsid w:val="003B54E0"/>
    <w:rsid w:val="003B62DA"/>
    <w:rsid w:val="003B6480"/>
    <w:rsid w:val="003B657A"/>
    <w:rsid w:val="003B66FD"/>
    <w:rsid w:val="003B690B"/>
    <w:rsid w:val="003B6EDC"/>
    <w:rsid w:val="003B7988"/>
    <w:rsid w:val="003B7D6C"/>
    <w:rsid w:val="003C09F0"/>
    <w:rsid w:val="003C0CE3"/>
    <w:rsid w:val="003C13F6"/>
    <w:rsid w:val="003C1654"/>
    <w:rsid w:val="003C16D6"/>
    <w:rsid w:val="003C188E"/>
    <w:rsid w:val="003C18B6"/>
    <w:rsid w:val="003C1F25"/>
    <w:rsid w:val="003C267C"/>
    <w:rsid w:val="003C2790"/>
    <w:rsid w:val="003C2F25"/>
    <w:rsid w:val="003C3271"/>
    <w:rsid w:val="003C343C"/>
    <w:rsid w:val="003C379B"/>
    <w:rsid w:val="003C461A"/>
    <w:rsid w:val="003C4685"/>
    <w:rsid w:val="003C4AD3"/>
    <w:rsid w:val="003C4CCA"/>
    <w:rsid w:val="003C4D82"/>
    <w:rsid w:val="003C5982"/>
    <w:rsid w:val="003C7132"/>
    <w:rsid w:val="003C7C53"/>
    <w:rsid w:val="003C7C5B"/>
    <w:rsid w:val="003C7CC2"/>
    <w:rsid w:val="003C7FD4"/>
    <w:rsid w:val="003D0A42"/>
    <w:rsid w:val="003D0AE7"/>
    <w:rsid w:val="003D1246"/>
    <w:rsid w:val="003D1509"/>
    <w:rsid w:val="003D1B2C"/>
    <w:rsid w:val="003D1BCA"/>
    <w:rsid w:val="003D2509"/>
    <w:rsid w:val="003D29A2"/>
    <w:rsid w:val="003D3180"/>
    <w:rsid w:val="003D31CB"/>
    <w:rsid w:val="003D3244"/>
    <w:rsid w:val="003D3331"/>
    <w:rsid w:val="003D34C3"/>
    <w:rsid w:val="003D419F"/>
    <w:rsid w:val="003D4366"/>
    <w:rsid w:val="003D48C4"/>
    <w:rsid w:val="003D4A44"/>
    <w:rsid w:val="003D4CA5"/>
    <w:rsid w:val="003D53F9"/>
    <w:rsid w:val="003D5A47"/>
    <w:rsid w:val="003D5B9A"/>
    <w:rsid w:val="003D5ECD"/>
    <w:rsid w:val="003D6A67"/>
    <w:rsid w:val="003D6D3B"/>
    <w:rsid w:val="003D6D82"/>
    <w:rsid w:val="003D74EA"/>
    <w:rsid w:val="003D75D1"/>
    <w:rsid w:val="003D7674"/>
    <w:rsid w:val="003D7AE5"/>
    <w:rsid w:val="003D7D67"/>
    <w:rsid w:val="003D7F68"/>
    <w:rsid w:val="003E018D"/>
    <w:rsid w:val="003E099D"/>
    <w:rsid w:val="003E0F99"/>
    <w:rsid w:val="003E13B0"/>
    <w:rsid w:val="003E1D24"/>
    <w:rsid w:val="003E2124"/>
    <w:rsid w:val="003E3121"/>
    <w:rsid w:val="003E3738"/>
    <w:rsid w:val="003E445E"/>
    <w:rsid w:val="003E4AA3"/>
    <w:rsid w:val="003E4B8E"/>
    <w:rsid w:val="003E4F1E"/>
    <w:rsid w:val="003E537F"/>
    <w:rsid w:val="003E6555"/>
    <w:rsid w:val="003E780E"/>
    <w:rsid w:val="003E7DF6"/>
    <w:rsid w:val="003F0409"/>
    <w:rsid w:val="003F09DF"/>
    <w:rsid w:val="003F1344"/>
    <w:rsid w:val="003F1BCB"/>
    <w:rsid w:val="003F1BE4"/>
    <w:rsid w:val="003F1E82"/>
    <w:rsid w:val="003F254A"/>
    <w:rsid w:val="003F26F0"/>
    <w:rsid w:val="003F28A2"/>
    <w:rsid w:val="003F2F08"/>
    <w:rsid w:val="003F3258"/>
    <w:rsid w:val="003F34BA"/>
    <w:rsid w:val="003F38E4"/>
    <w:rsid w:val="003F38EF"/>
    <w:rsid w:val="003F445C"/>
    <w:rsid w:val="003F45DF"/>
    <w:rsid w:val="003F488E"/>
    <w:rsid w:val="003F4D09"/>
    <w:rsid w:val="003F5807"/>
    <w:rsid w:val="003F5CAD"/>
    <w:rsid w:val="003F7085"/>
    <w:rsid w:val="003F70E1"/>
    <w:rsid w:val="003F7483"/>
    <w:rsid w:val="004002B0"/>
    <w:rsid w:val="004006F7"/>
    <w:rsid w:val="00400B17"/>
    <w:rsid w:val="004019EF"/>
    <w:rsid w:val="00402310"/>
    <w:rsid w:val="00402537"/>
    <w:rsid w:val="0040258D"/>
    <w:rsid w:val="00402C71"/>
    <w:rsid w:val="00402CF6"/>
    <w:rsid w:val="0040310C"/>
    <w:rsid w:val="00403412"/>
    <w:rsid w:val="00403567"/>
    <w:rsid w:val="00403718"/>
    <w:rsid w:val="0040393B"/>
    <w:rsid w:val="0040398E"/>
    <w:rsid w:val="00403AA7"/>
    <w:rsid w:val="00403FA1"/>
    <w:rsid w:val="00404AE7"/>
    <w:rsid w:val="0040500E"/>
    <w:rsid w:val="004051B9"/>
    <w:rsid w:val="00405556"/>
    <w:rsid w:val="00405E48"/>
    <w:rsid w:val="00406CBE"/>
    <w:rsid w:val="00406DB9"/>
    <w:rsid w:val="00406F83"/>
    <w:rsid w:val="00406FEB"/>
    <w:rsid w:val="0040768C"/>
    <w:rsid w:val="004078BA"/>
    <w:rsid w:val="00407AA3"/>
    <w:rsid w:val="0041058A"/>
    <w:rsid w:val="00410A87"/>
    <w:rsid w:val="00410B2F"/>
    <w:rsid w:val="00410C0F"/>
    <w:rsid w:val="00412511"/>
    <w:rsid w:val="00413139"/>
    <w:rsid w:val="0041377B"/>
    <w:rsid w:val="00413C8D"/>
    <w:rsid w:val="00413DF7"/>
    <w:rsid w:val="00413EEE"/>
    <w:rsid w:val="004145F4"/>
    <w:rsid w:val="00414AD2"/>
    <w:rsid w:val="00414D7F"/>
    <w:rsid w:val="0041514B"/>
    <w:rsid w:val="0041541C"/>
    <w:rsid w:val="004155A7"/>
    <w:rsid w:val="004159BC"/>
    <w:rsid w:val="00415A79"/>
    <w:rsid w:val="00415BB7"/>
    <w:rsid w:val="0041604D"/>
    <w:rsid w:val="0041605C"/>
    <w:rsid w:val="00416532"/>
    <w:rsid w:val="004165F3"/>
    <w:rsid w:val="004166C6"/>
    <w:rsid w:val="00416EC8"/>
    <w:rsid w:val="00416FEE"/>
    <w:rsid w:val="00417DD5"/>
    <w:rsid w:val="004200D2"/>
    <w:rsid w:val="004205E8"/>
    <w:rsid w:val="004208E6"/>
    <w:rsid w:val="00420A14"/>
    <w:rsid w:val="00420AD7"/>
    <w:rsid w:val="00421140"/>
    <w:rsid w:val="004212AC"/>
    <w:rsid w:val="00421826"/>
    <w:rsid w:val="004218CA"/>
    <w:rsid w:val="00422DCE"/>
    <w:rsid w:val="00423087"/>
    <w:rsid w:val="004231A1"/>
    <w:rsid w:val="00423909"/>
    <w:rsid w:val="0042398D"/>
    <w:rsid w:val="00423B28"/>
    <w:rsid w:val="00423B2E"/>
    <w:rsid w:val="00423D96"/>
    <w:rsid w:val="004240CC"/>
    <w:rsid w:val="0042427F"/>
    <w:rsid w:val="0042453A"/>
    <w:rsid w:val="004262B0"/>
    <w:rsid w:val="004262C5"/>
    <w:rsid w:val="004267BF"/>
    <w:rsid w:val="00426B86"/>
    <w:rsid w:val="00426DBD"/>
    <w:rsid w:val="00427987"/>
    <w:rsid w:val="00427CE1"/>
    <w:rsid w:val="00430238"/>
    <w:rsid w:val="00431856"/>
    <w:rsid w:val="0043190F"/>
    <w:rsid w:val="00431B1D"/>
    <w:rsid w:val="00431C93"/>
    <w:rsid w:val="00431E46"/>
    <w:rsid w:val="00431E9A"/>
    <w:rsid w:val="00432144"/>
    <w:rsid w:val="0043227B"/>
    <w:rsid w:val="0043239B"/>
    <w:rsid w:val="00432671"/>
    <w:rsid w:val="00432B6B"/>
    <w:rsid w:val="004336A2"/>
    <w:rsid w:val="004339EB"/>
    <w:rsid w:val="00433A02"/>
    <w:rsid w:val="00433EA4"/>
    <w:rsid w:val="004343CE"/>
    <w:rsid w:val="0043443F"/>
    <w:rsid w:val="0043452A"/>
    <w:rsid w:val="00434543"/>
    <w:rsid w:val="00434850"/>
    <w:rsid w:val="00434D58"/>
    <w:rsid w:val="00434F5B"/>
    <w:rsid w:val="0043513A"/>
    <w:rsid w:val="00435FD6"/>
    <w:rsid w:val="00436357"/>
    <w:rsid w:val="004363D8"/>
    <w:rsid w:val="00436C16"/>
    <w:rsid w:val="00440842"/>
    <w:rsid w:val="00440D69"/>
    <w:rsid w:val="00442C23"/>
    <w:rsid w:val="00442C3A"/>
    <w:rsid w:val="00443735"/>
    <w:rsid w:val="004437D5"/>
    <w:rsid w:val="00443936"/>
    <w:rsid w:val="00443A93"/>
    <w:rsid w:val="00444931"/>
    <w:rsid w:val="00444B85"/>
    <w:rsid w:val="00444F0F"/>
    <w:rsid w:val="0044502A"/>
    <w:rsid w:val="00445108"/>
    <w:rsid w:val="00445145"/>
    <w:rsid w:val="00445386"/>
    <w:rsid w:val="0044575A"/>
    <w:rsid w:val="00445AE3"/>
    <w:rsid w:val="00445CB4"/>
    <w:rsid w:val="00445F57"/>
    <w:rsid w:val="0044627C"/>
    <w:rsid w:val="00446B09"/>
    <w:rsid w:val="00446FD7"/>
    <w:rsid w:val="004509CF"/>
    <w:rsid w:val="00450BC7"/>
    <w:rsid w:val="00450CFB"/>
    <w:rsid w:val="00452387"/>
    <w:rsid w:val="00452480"/>
    <w:rsid w:val="004526A3"/>
    <w:rsid w:val="0045270B"/>
    <w:rsid w:val="0045273C"/>
    <w:rsid w:val="00452F25"/>
    <w:rsid w:val="00452F82"/>
    <w:rsid w:val="004538C3"/>
    <w:rsid w:val="00453B38"/>
    <w:rsid w:val="00453D29"/>
    <w:rsid w:val="0045466D"/>
    <w:rsid w:val="004546C7"/>
    <w:rsid w:val="00454738"/>
    <w:rsid w:val="004551D0"/>
    <w:rsid w:val="004554E2"/>
    <w:rsid w:val="004565C9"/>
    <w:rsid w:val="00456CAE"/>
    <w:rsid w:val="00456F2C"/>
    <w:rsid w:val="004574EB"/>
    <w:rsid w:val="004574EE"/>
    <w:rsid w:val="0045756B"/>
    <w:rsid w:val="00457590"/>
    <w:rsid w:val="004601EA"/>
    <w:rsid w:val="004603AD"/>
    <w:rsid w:val="00460460"/>
    <w:rsid w:val="0046062C"/>
    <w:rsid w:val="00460667"/>
    <w:rsid w:val="00461038"/>
    <w:rsid w:val="004610DE"/>
    <w:rsid w:val="00461913"/>
    <w:rsid w:val="00461E2B"/>
    <w:rsid w:val="00462077"/>
    <w:rsid w:val="00462331"/>
    <w:rsid w:val="0046250F"/>
    <w:rsid w:val="00462B3D"/>
    <w:rsid w:val="00463B01"/>
    <w:rsid w:val="00463D71"/>
    <w:rsid w:val="0046408C"/>
    <w:rsid w:val="004642AE"/>
    <w:rsid w:val="004648A1"/>
    <w:rsid w:val="004652A3"/>
    <w:rsid w:val="00465619"/>
    <w:rsid w:val="0046591C"/>
    <w:rsid w:val="0046616F"/>
    <w:rsid w:val="004661C0"/>
    <w:rsid w:val="00466442"/>
    <w:rsid w:val="00466A58"/>
    <w:rsid w:val="004673B3"/>
    <w:rsid w:val="00467B2A"/>
    <w:rsid w:val="004702F0"/>
    <w:rsid w:val="00470629"/>
    <w:rsid w:val="0047067A"/>
    <w:rsid w:val="00470D2F"/>
    <w:rsid w:val="00470EC0"/>
    <w:rsid w:val="00470F99"/>
    <w:rsid w:val="0047155B"/>
    <w:rsid w:val="00471989"/>
    <w:rsid w:val="00471A7C"/>
    <w:rsid w:val="0047224F"/>
    <w:rsid w:val="004723BF"/>
    <w:rsid w:val="0047255C"/>
    <w:rsid w:val="0047281D"/>
    <w:rsid w:val="00472A27"/>
    <w:rsid w:val="00473381"/>
    <w:rsid w:val="00473AD6"/>
    <w:rsid w:val="00474A4B"/>
    <w:rsid w:val="00475252"/>
    <w:rsid w:val="00475607"/>
    <w:rsid w:val="0047561E"/>
    <w:rsid w:val="00475B04"/>
    <w:rsid w:val="0047610D"/>
    <w:rsid w:val="00476306"/>
    <w:rsid w:val="00476444"/>
    <w:rsid w:val="004764B1"/>
    <w:rsid w:val="004767DA"/>
    <w:rsid w:val="00476FD7"/>
    <w:rsid w:val="0047752E"/>
    <w:rsid w:val="004777AA"/>
    <w:rsid w:val="00477ADB"/>
    <w:rsid w:val="004807AA"/>
    <w:rsid w:val="00480D9A"/>
    <w:rsid w:val="00480E3B"/>
    <w:rsid w:val="00481141"/>
    <w:rsid w:val="00482022"/>
    <w:rsid w:val="00482F71"/>
    <w:rsid w:val="00484957"/>
    <w:rsid w:val="00485FF4"/>
    <w:rsid w:val="00487431"/>
    <w:rsid w:val="00487492"/>
    <w:rsid w:val="00487652"/>
    <w:rsid w:val="0048779A"/>
    <w:rsid w:val="004879EA"/>
    <w:rsid w:val="00487FBA"/>
    <w:rsid w:val="00490DC9"/>
    <w:rsid w:val="00490DD8"/>
    <w:rsid w:val="00491243"/>
    <w:rsid w:val="00491A35"/>
    <w:rsid w:val="004920B7"/>
    <w:rsid w:val="00492D91"/>
    <w:rsid w:val="0049362B"/>
    <w:rsid w:val="004941C0"/>
    <w:rsid w:val="004942FF"/>
    <w:rsid w:val="00495809"/>
    <w:rsid w:val="004958AC"/>
    <w:rsid w:val="0049683F"/>
    <w:rsid w:val="0049697F"/>
    <w:rsid w:val="00496A43"/>
    <w:rsid w:val="00496C2D"/>
    <w:rsid w:val="0049718B"/>
    <w:rsid w:val="00497204"/>
    <w:rsid w:val="004A01D6"/>
    <w:rsid w:val="004A02E3"/>
    <w:rsid w:val="004A15EB"/>
    <w:rsid w:val="004A16DD"/>
    <w:rsid w:val="004A1B6B"/>
    <w:rsid w:val="004A1ED1"/>
    <w:rsid w:val="004A2724"/>
    <w:rsid w:val="004A28AB"/>
    <w:rsid w:val="004A2C80"/>
    <w:rsid w:val="004A30F1"/>
    <w:rsid w:val="004A35B6"/>
    <w:rsid w:val="004A37B8"/>
    <w:rsid w:val="004A3978"/>
    <w:rsid w:val="004A3A81"/>
    <w:rsid w:val="004A431E"/>
    <w:rsid w:val="004A4598"/>
    <w:rsid w:val="004A474B"/>
    <w:rsid w:val="004A48D4"/>
    <w:rsid w:val="004A5228"/>
    <w:rsid w:val="004A52A4"/>
    <w:rsid w:val="004A5546"/>
    <w:rsid w:val="004A5713"/>
    <w:rsid w:val="004A5C71"/>
    <w:rsid w:val="004A626A"/>
    <w:rsid w:val="004A634E"/>
    <w:rsid w:val="004A6D64"/>
    <w:rsid w:val="004A6FD0"/>
    <w:rsid w:val="004A73CA"/>
    <w:rsid w:val="004A73DE"/>
    <w:rsid w:val="004A747A"/>
    <w:rsid w:val="004A76BA"/>
    <w:rsid w:val="004A790E"/>
    <w:rsid w:val="004B0225"/>
    <w:rsid w:val="004B0F16"/>
    <w:rsid w:val="004B1685"/>
    <w:rsid w:val="004B1C71"/>
    <w:rsid w:val="004B21F6"/>
    <w:rsid w:val="004B2576"/>
    <w:rsid w:val="004B3165"/>
    <w:rsid w:val="004B337B"/>
    <w:rsid w:val="004B33ED"/>
    <w:rsid w:val="004B3537"/>
    <w:rsid w:val="004B4BAF"/>
    <w:rsid w:val="004B5324"/>
    <w:rsid w:val="004B5902"/>
    <w:rsid w:val="004B5B07"/>
    <w:rsid w:val="004B5CED"/>
    <w:rsid w:val="004B5D26"/>
    <w:rsid w:val="004B699D"/>
    <w:rsid w:val="004B6B0F"/>
    <w:rsid w:val="004B6B3C"/>
    <w:rsid w:val="004B6E44"/>
    <w:rsid w:val="004B73E5"/>
    <w:rsid w:val="004C046A"/>
    <w:rsid w:val="004C0F8C"/>
    <w:rsid w:val="004C13C6"/>
    <w:rsid w:val="004C13D7"/>
    <w:rsid w:val="004C13E9"/>
    <w:rsid w:val="004C1994"/>
    <w:rsid w:val="004C1A8A"/>
    <w:rsid w:val="004C1FE7"/>
    <w:rsid w:val="004C207A"/>
    <w:rsid w:val="004C2086"/>
    <w:rsid w:val="004C2481"/>
    <w:rsid w:val="004C262A"/>
    <w:rsid w:val="004C2BFF"/>
    <w:rsid w:val="004C3064"/>
    <w:rsid w:val="004C3887"/>
    <w:rsid w:val="004C397C"/>
    <w:rsid w:val="004C4E7A"/>
    <w:rsid w:val="004C5533"/>
    <w:rsid w:val="004C5B14"/>
    <w:rsid w:val="004C6743"/>
    <w:rsid w:val="004C6E0C"/>
    <w:rsid w:val="004C72C6"/>
    <w:rsid w:val="004C7BF6"/>
    <w:rsid w:val="004D01A9"/>
    <w:rsid w:val="004D0352"/>
    <w:rsid w:val="004D0E94"/>
    <w:rsid w:val="004D0F30"/>
    <w:rsid w:val="004D197F"/>
    <w:rsid w:val="004D1C83"/>
    <w:rsid w:val="004D2BF2"/>
    <w:rsid w:val="004D2D70"/>
    <w:rsid w:val="004D2DF0"/>
    <w:rsid w:val="004D3AAC"/>
    <w:rsid w:val="004D3ADA"/>
    <w:rsid w:val="004D3B51"/>
    <w:rsid w:val="004D50A5"/>
    <w:rsid w:val="004D5471"/>
    <w:rsid w:val="004D57D6"/>
    <w:rsid w:val="004D5AD6"/>
    <w:rsid w:val="004D5B14"/>
    <w:rsid w:val="004D5D50"/>
    <w:rsid w:val="004D615F"/>
    <w:rsid w:val="004D652C"/>
    <w:rsid w:val="004D6A0C"/>
    <w:rsid w:val="004D6C0C"/>
    <w:rsid w:val="004D6C59"/>
    <w:rsid w:val="004D6D12"/>
    <w:rsid w:val="004D7136"/>
    <w:rsid w:val="004E05EE"/>
    <w:rsid w:val="004E064C"/>
    <w:rsid w:val="004E08EF"/>
    <w:rsid w:val="004E0D3B"/>
    <w:rsid w:val="004E1483"/>
    <w:rsid w:val="004E160F"/>
    <w:rsid w:val="004E1786"/>
    <w:rsid w:val="004E1F21"/>
    <w:rsid w:val="004E2884"/>
    <w:rsid w:val="004E28E6"/>
    <w:rsid w:val="004E2F41"/>
    <w:rsid w:val="004E316C"/>
    <w:rsid w:val="004E3E4C"/>
    <w:rsid w:val="004E3F5D"/>
    <w:rsid w:val="004E4AAD"/>
    <w:rsid w:val="004E5239"/>
    <w:rsid w:val="004E531B"/>
    <w:rsid w:val="004E5CE9"/>
    <w:rsid w:val="004E5CED"/>
    <w:rsid w:val="004E5E7A"/>
    <w:rsid w:val="004E72C3"/>
    <w:rsid w:val="004E73AC"/>
    <w:rsid w:val="004F001B"/>
    <w:rsid w:val="004F0382"/>
    <w:rsid w:val="004F0A72"/>
    <w:rsid w:val="004F0AA3"/>
    <w:rsid w:val="004F0EB0"/>
    <w:rsid w:val="004F0FB8"/>
    <w:rsid w:val="004F0FF8"/>
    <w:rsid w:val="004F1A56"/>
    <w:rsid w:val="004F1BFB"/>
    <w:rsid w:val="004F1FAD"/>
    <w:rsid w:val="004F22B6"/>
    <w:rsid w:val="004F2405"/>
    <w:rsid w:val="004F249B"/>
    <w:rsid w:val="004F2984"/>
    <w:rsid w:val="004F2C00"/>
    <w:rsid w:val="004F334B"/>
    <w:rsid w:val="004F3732"/>
    <w:rsid w:val="004F3869"/>
    <w:rsid w:val="004F38F0"/>
    <w:rsid w:val="004F3913"/>
    <w:rsid w:val="004F3A6A"/>
    <w:rsid w:val="004F46DD"/>
    <w:rsid w:val="004F4835"/>
    <w:rsid w:val="004F48B6"/>
    <w:rsid w:val="004F4FDB"/>
    <w:rsid w:val="004F575F"/>
    <w:rsid w:val="004F5984"/>
    <w:rsid w:val="004F5E6C"/>
    <w:rsid w:val="004F5F21"/>
    <w:rsid w:val="004F6538"/>
    <w:rsid w:val="004F6F50"/>
    <w:rsid w:val="004F705B"/>
    <w:rsid w:val="004F7504"/>
    <w:rsid w:val="00500279"/>
    <w:rsid w:val="00500439"/>
    <w:rsid w:val="00501B55"/>
    <w:rsid w:val="00501F9A"/>
    <w:rsid w:val="00502B7F"/>
    <w:rsid w:val="00503120"/>
    <w:rsid w:val="005047FA"/>
    <w:rsid w:val="00504C41"/>
    <w:rsid w:val="005052DB"/>
    <w:rsid w:val="0050563D"/>
    <w:rsid w:val="0050573E"/>
    <w:rsid w:val="00506139"/>
    <w:rsid w:val="00506368"/>
    <w:rsid w:val="00506437"/>
    <w:rsid w:val="0050682E"/>
    <w:rsid w:val="00506AF8"/>
    <w:rsid w:val="00506F3D"/>
    <w:rsid w:val="005071D1"/>
    <w:rsid w:val="00507264"/>
    <w:rsid w:val="005073AE"/>
    <w:rsid w:val="0050799A"/>
    <w:rsid w:val="00510334"/>
    <w:rsid w:val="00510498"/>
    <w:rsid w:val="0051102C"/>
    <w:rsid w:val="005110BD"/>
    <w:rsid w:val="005112B5"/>
    <w:rsid w:val="005116FC"/>
    <w:rsid w:val="0051198F"/>
    <w:rsid w:val="00511C33"/>
    <w:rsid w:val="00511EA0"/>
    <w:rsid w:val="0051269E"/>
    <w:rsid w:val="005127DD"/>
    <w:rsid w:val="0051375C"/>
    <w:rsid w:val="0051395F"/>
    <w:rsid w:val="00513C11"/>
    <w:rsid w:val="00513C38"/>
    <w:rsid w:val="00513CE5"/>
    <w:rsid w:val="00513EC0"/>
    <w:rsid w:val="005142DC"/>
    <w:rsid w:val="0051434F"/>
    <w:rsid w:val="00514BDB"/>
    <w:rsid w:val="00514E10"/>
    <w:rsid w:val="00515897"/>
    <w:rsid w:val="005160E8"/>
    <w:rsid w:val="005160EA"/>
    <w:rsid w:val="00516DB6"/>
    <w:rsid w:val="00516FD5"/>
    <w:rsid w:val="00517226"/>
    <w:rsid w:val="00517BEF"/>
    <w:rsid w:val="00517CE7"/>
    <w:rsid w:val="005201C7"/>
    <w:rsid w:val="00520265"/>
    <w:rsid w:val="00521401"/>
    <w:rsid w:val="0052170A"/>
    <w:rsid w:val="00521968"/>
    <w:rsid w:val="00521D25"/>
    <w:rsid w:val="00521E2D"/>
    <w:rsid w:val="00521FDF"/>
    <w:rsid w:val="00522798"/>
    <w:rsid w:val="005227A5"/>
    <w:rsid w:val="0052284B"/>
    <w:rsid w:val="00522918"/>
    <w:rsid w:val="00522ED3"/>
    <w:rsid w:val="00523052"/>
    <w:rsid w:val="00523631"/>
    <w:rsid w:val="005237E8"/>
    <w:rsid w:val="00524532"/>
    <w:rsid w:val="00524EAA"/>
    <w:rsid w:val="00525209"/>
    <w:rsid w:val="005265D8"/>
    <w:rsid w:val="00526B73"/>
    <w:rsid w:val="00526DAC"/>
    <w:rsid w:val="00526F29"/>
    <w:rsid w:val="005300A4"/>
    <w:rsid w:val="00530635"/>
    <w:rsid w:val="00530C95"/>
    <w:rsid w:val="00530F1C"/>
    <w:rsid w:val="00531210"/>
    <w:rsid w:val="0053138E"/>
    <w:rsid w:val="00531701"/>
    <w:rsid w:val="00532355"/>
    <w:rsid w:val="00532821"/>
    <w:rsid w:val="00532EBD"/>
    <w:rsid w:val="00533075"/>
    <w:rsid w:val="0053309E"/>
    <w:rsid w:val="00533279"/>
    <w:rsid w:val="005335D1"/>
    <w:rsid w:val="0053411D"/>
    <w:rsid w:val="005344F4"/>
    <w:rsid w:val="00534F6E"/>
    <w:rsid w:val="00535FAB"/>
    <w:rsid w:val="005367A0"/>
    <w:rsid w:val="00536804"/>
    <w:rsid w:val="00536E28"/>
    <w:rsid w:val="005371B2"/>
    <w:rsid w:val="005374DC"/>
    <w:rsid w:val="00540463"/>
    <w:rsid w:val="0054098E"/>
    <w:rsid w:val="00541738"/>
    <w:rsid w:val="00541849"/>
    <w:rsid w:val="0054188A"/>
    <w:rsid w:val="00541B95"/>
    <w:rsid w:val="00541C4F"/>
    <w:rsid w:val="00541DD3"/>
    <w:rsid w:val="005423C4"/>
    <w:rsid w:val="0054256C"/>
    <w:rsid w:val="00543B93"/>
    <w:rsid w:val="00544F2E"/>
    <w:rsid w:val="00545591"/>
    <w:rsid w:val="00545BCE"/>
    <w:rsid w:val="00546ECA"/>
    <w:rsid w:val="0054750D"/>
    <w:rsid w:val="005502D5"/>
    <w:rsid w:val="00550347"/>
    <w:rsid w:val="005507DE"/>
    <w:rsid w:val="00550A70"/>
    <w:rsid w:val="00550D72"/>
    <w:rsid w:val="005522A3"/>
    <w:rsid w:val="0055304F"/>
    <w:rsid w:val="005532BA"/>
    <w:rsid w:val="00553C68"/>
    <w:rsid w:val="00553E4C"/>
    <w:rsid w:val="00554072"/>
    <w:rsid w:val="00554276"/>
    <w:rsid w:val="0055457C"/>
    <w:rsid w:val="005550ED"/>
    <w:rsid w:val="00555796"/>
    <w:rsid w:val="00556AAD"/>
    <w:rsid w:val="00557026"/>
    <w:rsid w:val="00557719"/>
    <w:rsid w:val="00557B4C"/>
    <w:rsid w:val="00557BDB"/>
    <w:rsid w:val="00557DB9"/>
    <w:rsid w:val="005601EB"/>
    <w:rsid w:val="00560971"/>
    <w:rsid w:val="00561011"/>
    <w:rsid w:val="00561029"/>
    <w:rsid w:val="0056149A"/>
    <w:rsid w:val="00561A6A"/>
    <w:rsid w:val="00561EAD"/>
    <w:rsid w:val="00561EE5"/>
    <w:rsid w:val="0056212C"/>
    <w:rsid w:val="00562F67"/>
    <w:rsid w:val="00563518"/>
    <w:rsid w:val="00564411"/>
    <w:rsid w:val="0056454C"/>
    <w:rsid w:val="0056579D"/>
    <w:rsid w:val="00566039"/>
    <w:rsid w:val="00566A18"/>
    <w:rsid w:val="00567002"/>
    <w:rsid w:val="0056726F"/>
    <w:rsid w:val="00567495"/>
    <w:rsid w:val="00567AA1"/>
    <w:rsid w:val="00567D8B"/>
    <w:rsid w:val="00570730"/>
    <w:rsid w:val="00570CFA"/>
    <w:rsid w:val="005719DA"/>
    <w:rsid w:val="00571C04"/>
    <w:rsid w:val="00571EFC"/>
    <w:rsid w:val="00571F39"/>
    <w:rsid w:val="00572313"/>
    <w:rsid w:val="00572B41"/>
    <w:rsid w:val="005737AB"/>
    <w:rsid w:val="00573ACD"/>
    <w:rsid w:val="00573D0C"/>
    <w:rsid w:val="00574697"/>
    <w:rsid w:val="00574BFF"/>
    <w:rsid w:val="00574D87"/>
    <w:rsid w:val="00575379"/>
    <w:rsid w:val="00575435"/>
    <w:rsid w:val="005754ED"/>
    <w:rsid w:val="0057595B"/>
    <w:rsid w:val="00575A85"/>
    <w:rsid w:val="00576120"/>
    <w:rsid w:val="00576179"/>
    <w:rsid w:val="00576721"/>
    <w:rsid w:val="005768EF"/>
    <w:rsid w:val="005769B4"/>
    <w:rsid w:val="00576BCE"/>
    <w:rsid w:val="0058068B"/>
    <w:rsid w:val="00580719"/>
    <w:rsid w:val="00580896"/>
    <w:rsid w:val="00580A18"/>
    <w:rsid w:val="00580D08"/>
    <w:rsid w:val="00580D2E"/>
    <w:rsid w:val="005814DE"/>
    <w:rsid w:val="00581D51"/>
    <w:rsid w:val="00582113"/>
    <w:rsid w:val="0058226A"/>
    <w:rsid w:val="00582777"/>
    <w:rsid w:val="00582B6D"/>
    <w:rsid w:val="005831A1"/>
    <w:rsid w:val="00583676"/>
    <w:rsid w:val="00583B21"/>
    <w:rsid w:val="00583D67"/>
    <w:rsid w:val="00584847"/>
    <w:rsid w:val="00584A51"/>
    <w:rsid w:val="00584C01"/>
    <w:rsid w:val="00584FB2"/>
    <w:rsid w:val="005856F5"/>
    <w:rsid w:val="00585EBB"/>
    <w:rsid w:val="0058624E"/>
    <w:rsid w:val="005866D5"/>
    <w:rsid w:val="00586B28"/>
    <w:rsid w:val="00586E84"/>
    <w:rsid w:val="00586E8C"/>
    <w:rsid w:val="00586FF6"/>
    <w:rsid w:val="00587084"/>
    <w:rsid w:val="005879A5"/>
    <w:rsid w:val="005908EF"/>
    <w:rsid w:val="00590DDC"/>
    <w:rsid w:val="005915F2"/>
    <w:rsid w:val="0059161D"/>
    <w:rsid w:val="0059161E"/>
    <w:rsid w:val="00591920"/>
    <w:rsid w:val="00591A30"/>
    <w:rsid w:val="0059280A"/>
    <w:rsid w:val="005928E6"/>
    <w:rsid w:val="00592C6B"/>
    <w:rsid w:val="00593BB8"/>
    <w:rsid w:val="00593C19"/>
    <w:rsid w:val="00594859"/>
    <w:rsid w:val="00594876"/>
    <w:rsid w:val="005948CE"/>
    <w:rsid w:val="00594BFF"/>
    <w:rsid w:val="0059559A"/>
    <w:rsid w:val="00595A96"/>
    <w:rsid w:val="00595CB3"/>
    <w:rsid w:val="00595EBF"/>
    <w:rsid w:val="00597E80"/>
    <w:rsid w:val="00597F07"/>
    <w:rsid w:val="005A002C"/>
    <w:rsid w:val="005A0126"/>
    <w:rsid w:val="005A04A7"/>
    <w:rsid w:val="005A073A"/>
    <w:rsid w:val="005A0EB7"/>
    <w:rsid w:val="005A16B6"/>
    <w:rsid w:val="005A1AAB"/>
    <w:rsid w:val="005A1B6D"/>
    <w:rsid w:val="005A2B55"/>
    <w:rsid w:val="005A2C9B"/>
    <w:rsid w:val="005A392C"/>
    <w:rsid w:val="005A3AEC"/>
    <w:rsid w:val="005A3DB2"/>
    <w:rsid w:val="005A3E8C"/>
    <w:rsid w:val="005A4064"/>
    <w:rsid w:val="005A46F7"/>
    <w:rsid w:val="005A477E"/>
    <w:rsid w:val="005A4AC6"/>
    <w:rsid w:val="005A4F75"/>
    <w:rsid w:val="005A531A"/>
    <w:rsid w:val="005A5D0D"/>
    <w:rsid w:val="005A64DC"/>
    <w:rsid w:val="005A7135"/>
    <w:rsid w:val="005A72DA"/>
    <w:rsid w:val="005A758A"/>
    <w:rsid w:val="005A75CB"/>
    <w:rsid w:val="005A75EA"/>
    <w:rsid w:val="005A78B0"/>
    <w:rsid w:val="005B0A99"/>
    <w:rsid w:val="005B0D50"/>
    <w:rsid w:val="005B16DA"/>
    <w:rsid w:val="005B19D1"/>
    <w:rsid w:val="005B1A96"/>
    <w:rsid w:val="005B2428"/>
    <w:rsid w:val="005B259A"/>
    <w:rsid w:val="005B2740"/>
    <w:rsid w:val="005B2968"/>
    <w:rsid w:val="005B2DC9"/>
    <w:rsid w:val="005B3372"/>
    <w:rsid w:val="005B3650"/>
    <w:rsid w:val="005B36A8"/>
    <w:rsid w:val="005B3B16"/>
    <w:rsid w:val="005B3C55"/>
    <w:rsid w:val="005B4793"/>
    <w:rsid w:val="005B4CBB"/>
    <w:rsid w:val="005B4DEA"/>
    <w:rsid w:val="005B54A8"/>
    <w:rsid w:val="005B5544"/>
    <w:rsid w:val="005B5CB2"/>
    <w:rsid w:val="005B5FBE"/>
    <w:rsid w:val="005B6015"/>
    <w:rsid w:val="005B6607"/>
    <w:rsid w:val="005B6742"/>
    <w:rsid w:val="005B67BD"/>
    <w:rsid w:val="005B6F26"/>
    <w:rsid w:val="005B720B"/>
    <w:rsid w:val="005B74CF"/>
    <w:rsid w:val="005B76A8"/>
    <w:rsid w:val="005B7A0F"/>
    <w:rsid w:val="005C0034"/>
    <w:rsid w:val="005C0075"/>
    <w:rsid w:val="005C01C7"/>
    <w:rsid w:val="005C08C3"/>
    <w:rsid w:val="005C103D"/>
    <w:rsid w:val="005C1403"/>
    <w:rsid w:val="005C14A5"/>
    <w:rsid w:val="005C1640"/>
    <w:rsid w:val="005C1819"/>
    <w:rsid w:val="005C1C07"/>
    <w:rsid w:val="005C2322"/>
    <w:rsid w:val="005C2B77"/>
    <w:rsid w:val="005C2E10"/>
    <w:rsid w:val="005C2E9F"/>
    <w:rsid w:val="005C2FB5"/>
    <w:rsid w:val="005C350C"/>
    <w:rsid w:val="005C3771"/>
    <w:rsid w:val="005C4C4D"/>
    <w:rsid w:val="005C4E14"/>
    <w:rsid w:val="005C545C"/>
    <w:rsid w:val="005C54EE"/>
    <w:rsid w:val="005C55FF"/>
    <w:rsid w:val="005C686D"/>
    <w:rsid w:val="005C731A"/>
    <w:rsid w:val="005C7DC3"/>
    <w:rsid w:val="005C7F3A"/>
    <w:rsid w:val="005D00C0"/>
    <w:rsid w:val="005D0278"/>
    <w:rsid w:val="005D06C2"/>
    <w:rsid w:val="005D110D"/>
    <w:rsid w:val="005D17C3"/>
    <w:rsid w:val="005D1A24"/>
    <w:rsid w:val="005D1AB2"/>
    <w:rsid w:val="005D1C21"/>
    <w:rsid w:val="005D1DBD"/>
    <w:rsid w:val="005D2E74"/>
    <w:rsid w:val="005D3080"/>
    <w:rsid w:val="005D3159"/>
    <w:rsid w:val="005D3708"/>
    <w:rsid w:val="005D3D43"/>
    <w:rsid w:val="005D41CD"/>
    <w:rsid w:val="005D44F5"/>
    <w:rsid w:val="005D45EC"/>
    <w:rsid w:val="005D47E9"/>
    <w:rsid w:val="005D4E5D"/>
    <w:rsid w:val="005D576E"/>
    <w:rsid w:val="005D5782"/>
    <w:rsid w:val="005D6858"/>
    <w:rsid w:val="005D6B3D"/>
    <w:rsid w:val="005D6B6F"/>
    <w:rsid w:val="005D6F4B"/>
    <w:rsid w:val="005D7A57"/>
    <w:rsid w:val="005E12E8"/>
    <w:rsid w:val="005E152F"/>
    <w:rsid w:val="005E1800"/>
    <w:rsid w:val="005E254E"/>
    <w:rsid w:val="005E2681"/>
    <w:rsid w:val="005E2C8A"/>
    <w:rsid w:val="005E34F6"/>
    <w:rsid w:val="005E3C00"/>
    <w:rsid w:val="005E3E65"/>
    <w:rsid w:val="005E41C3"/>
    <w:rsid w:val="005E4A14"/>
    <w:rsid w:val="005E4BF8"/>
    <w:rsid w:val="005E4E03"/>
    <w:rsid w:val="005E534F"/>
    <w:rsid w:val="005E5386"/>
    <w:rsid w:val="005E5B49"/>
    <w:rsid w:val="005E61E1"/>
    <w:rsid w:val="005E61F8"/>
    <w:rsid w:val="005E6851"/>
    <w:rsid w:val="005E6B99"/>
    <w:rsid w:val="005E7DA1"/>
    <w:rsid w:val="005F0EED"/>
    <w:rsid w:val="005F130A"/>
    <w:rsid w:val="005F1587"/>
    <w:rsid w:val="005F1739"/>
    <w:rsid w:val="005F1A54"/>
    <w:rsid w:val="005F3371"/>
    <w:rsid w:val="005F33FB"/>
    <w:rsid w:val="005F39C5"/>
    <w:rsid w:val="005F3B7B"/>
    <w:rsid w:val="005F3ECE"/>
    <w:rsid w:val="005F4065"/>
    <w:rsid w:val="005F4380"/>
    <w:rsid w:val="005F585A"/>
    <w:rsid w:val="005F58C4"/>
    <w:rsid w:val="005F597F"/>
    <w:rsid w:val="005F5AD2"/>
    <w:rsid w:val="005F5D24"/>
    <w:rsid w:val="005F61E9"/>
    <w:rsid w:val="005F6281"/>
    <w:rsid w:val="005F6440"/>
    <w:rsid w:val="005F6632"/>
    <w:rsid w:val="005F672E"/>
    <w:rsid w:val="005F6C65"/>
    <w:rsid w:val="005F6E83"/>
    <w:rsid w:val="005F7B78"/>
    <w:rsid w:val="00600233"/>
    <w:rsid w:val="00600536"/>
    <w:rsid w:val="0060067B"/>
    <w:rsid w:val="00600D29"/>
    <w:rsid w:val="0060103A"/>
    <w:rsid w:val="0060108D"/>
    <w:rsid w:val="00601461"/>
    <w:rsid w:val="006017FC"/>
    <w:rsid w:val="006017FD"/>
    <w:rsid w:val="0060184B"/>
    <w:rsid w:val="00602644"/>
    <w:rsid w:val="00603368"/>
    <w:rsid w:val="0060362F"/>
    <w:rsid w:val="00604188"/>
    <w:rsid w:val="00604785"/>
    <w:rsid w:val="00604CD9"/>
    <w:rsid w:val="00604DFA"/>
    <w:rsid w:val="00604EEC"/>
    <w:rsid w:val="00605351"/>
    <w:rsid w:val="006055E8"/>
    <w:rsid w:val="00605E94"/>
    <w:rsid w:val="00605FA5"/>
    <w:rsid w:val="00606493"/>
    <w:rsid w:val="006065E6"/>
    <w:rsid w:val="006068D2"/>
    <w:rsid w:val="006069C8"/>
    <w:rsid w:val="00606A2E"/>
    <w:rsid w:val="00606BC8"/>
    <w:rsid w:val="00607D94"/>
    <w:rsid w:val="00611169"/>
    <w:rsid w:val="00611411"/>
    <w:rsid w:val="006117EB"/>
    <w:rsid w:val="00611B33"/>
    <w:rsid w:val="00612211"/>
    <w:rsid w:val="00612231"/>
    <w:rsid w:val="006122E4"/>
    <w:rsid w:val="00612429"/>
    <w:rsid w:val="00612838"/>
    <w:rsid w:val="006129EE"/>
    <w:rsid w:val="00613517"/>
    <w:rsid w:val="0061373F"/>
    <w:rsid w:val="00613A8D"/>
    <w:rsid w:val="00614230"/>
    <w:rsid w:val="006147E1"/>
    <w:rsid w:val="006148BE"/>
    <w:rsid w:val="0061490C"/>
    <w:rsid w:val="00614C04"/>
    <w:rsid w:val="006151A3"/>
    <w:rsid w:val="006156C2"/>
    <w:rsid w:val="00615D8A"/>
    <w:rsid w:val="00616068"/>
    <w:rsid w:val="006162F1"/>
    <w:rsid w:val="006163BB"/>
    <w:rsid w:val="00617259"/>
    <w:rsid w:val="0061741D"/>
    <w:rsid w:val="006175CE"/>
    <w:rsid w:val="00617612"/>
    <w:rsid w:val="00620029"/>
    <w:rsid w:val="0062047C"/>
    <w:rsid w:val="006207DD"/>
    <w:rsid w:val="006209F7"/>
    <w:rsid w:val="00621099"/>
    <w:rsid w:val="00621D7E"/>
    <w:rsid w:val="00621F70"/>
    <w:rsid w:val="006222A2"/>
    <w:rsid w:val="00622764"/>
    <w:rsid w:val="00623030"/>
    <w:rsid w:val="00623463"/>
    <w:rsid w:val="0062388B"/>
    <w:rsid w:val="0062421C"/>
    <w:rsid w:val="00624ABE"/>
    <w:rsid w:val="00625052"/>
    <w:rsid w:val="006253F5"/>
    <w:rsid w:val="00625F04"/>
    <w:rsid w:val="00625FBF"/>
    <w:rsid w:val="00626698"/>
    <w:rsid w:val="00626A62"/>
    <w:rsid w:val="00626E9F"/>
    <w:rsid w:val="0062718C"/>
    <w:rsid w:val="00627677"/>
    <w:rsid w:val="00630C25"/>
    <w:rsid w:val="00630D44"/>
    <w:rsid w:val="00630E62"/>
    <w:rsid w:val="006316F7"/>
    <w:rsid w:val="006319EA"/>
    <w:rsid w:val="00632589"/>
    <w:rsid w:val="0063313A"/>
    <w:rsid w:val="0063356B"/>
    <w:rsid w:val="006336F7"/>
    <w:rsid w:val="00634068"/>
    <w:rsid w:val="0063476E"/>
    <w:rsid w:val="006347C1"/>
    <w:rsid w:val="00634A63"/>
    <w:rsid w:val="00634AA5"/>
    <w:rsid w:val="00634E7B"/>
    <w:rsid w:val="00635969"/>
    <w:rsid w:val="00635D77"/>
    <w:rsid w:val="00635DE7"/>
    <w:rsid w:val="00636581"/>
    <w:rsid w:val="00636D24"/>
    <w:rsid w:val="00636E8B"/>
    <w:rsid w:val="00637134"/>
    <w:rsid w:val="0063725D"/>
    <w:rsid w:val="0063776B"/>
    <w:rsid w:val="00640AF4"/>
    <w:rsid w:val="0064106D"/>
    <w:rsid w:val="00642706"/>
    <w:rsid w:val="006429AD"/>
    <w:rsid w:val="00642CDA"/>
    <w:rsid w:val="00643521"/>
    <w:rsid w:val="00643848"/>
    <w:rsid w:val="00643974"/>
    <w:rsid w:val="00643A98"/>
    <w:rsid w:val="00645329"/>
    <w:rsid w:val="00645817"/>
    <w:rsid w:val="0064628D"/>
    <w:rsid w:val="006466BD"/>
    <w:rsid w:val="00646988"/>
    <w:rsid w:val="00646CA9"/>
    <w:rsid w:val="00646D18"/>
    <w:rsid w:val="00646E71"/>
    <w:rsid w:val="006477E0"/>
    <w:rsid w:val="00647B02"/>
    <w:rsid w:val="00647E67"/>
    <w:rsid w:val="006503AA"/>
    <w:rsid w:val="00650897"/>
    <w:rsid w:val="00650AFD"/>
    <w:rsid w:val="00650D3A"/>
    <w:rsid w:val="006511CF"/>
    <w:rsid w:val="006512D4"/>
    <w:rsid w:val="00651782"/>
    <w:rsid w:val="006525C5"/>
    <w:rsid w:val="006528A9"/>
    <w:rsid w:val="006539D5"/>
    <w:rsid w:val="00654905"/>
    <w:rsid w:val="00654B18"/>
    <w:rsid w:val="00654E2A"/>
    <w:rsid w:val="00655282"/>
    <w:rsid w:val="006553F7"/>
    <w:rsid w:val="00655557"/>
    <w:rsid w:val="006557E4"/>
    <w:rsid w:val="00655EE7"/>
    <w:rsid w:val="00656131"/>
    <w:rsid w:val="00656524"/>
    <w:rsid w:val="006565A3"/>
    <w:rsid w:val="006565FE"/>
    <w:rsid w:val="0065698B"/>
    <w:rsid w:val="00656E4F"/>
    <w:rsid w:val="0065722F"/>
    <w:rsid w:val="006573F1"/>
    <w:rsid w:val="006601BC"/>
    <w:rsid w:val="00660668"/>
    <w:rsid w:val="006607A3"/>
    <w:rsid w:val="00660F32"/>
    <w:rsid w:val="006611F3"/>
    <w:rsid w:val="0066171E"/>
    <w:rsid w:val="006617E1"/>
    <w:rsid w:val="006619C0"/>
    <w:rsid w:val="00661B6D"/>
    <w:rsid w:val="00661E60"/>
    <w:rsid w:val="006621E4"/>
    <w:rsid w:val="00662D63"/>
    <w:rsid w:val="0066312A"/>
    <w:rsid w:val="0066343D"/>
    <w:rsid w:val="00663921"/>
    <w:rsid w:val="0066403D"/>
    <w:rsid w:val="00664499"/>
    <w:rsid w:val="006646C2"/>
    <w:rsid w:val="0066485D"/>
    <w:rsid w:val="0066486B"/>
    <w:rsid w:val="00664879"/>
    <w:rsid w:val="00664C0C"/>
    <w:rsid w:val="006653AA"/>
    <w:rsid w:val="006654B3"/>
    <w:rsid w:val="00665908"/>
    <w:rsid w:val="006659BD"/>
    <w:rsid w:val="00665AD3"/>
    <w:rsid w:val="00665AFB"/>
    <w:rsid w:val="00665D97"/>
    <w:rsid w:val="006660BE"/>
    <w:rsid w:val="00666177"/>
    <w:rsid w:val="006665BF"/>
    <w:rsid w:val="006667DA"/>
    <w:rsid w:val="006668FD"/>
    <w:rsid w:val="00666D9A"/>
    <w:rsid w:val="006674E3"/>
    <w:rsid w:val="00667BE3"/>
    <w:rsid w:val="00667FA9"/>
    <w:rsid w:val="006700A2"/>
    <w:rsid w:val="00670C22"/>
    <w:rsid w:val="00670C27"/>
    <w:rsid w:val="00671A4E"/>
    <w:rsid w:val="00671ADD"/>
    <w:rsid w:val="00671B36"/>
    <w:rsid w:val="006721C6"/>
    <w:rsid w:val="006722C8"/>
    <w:rsid w:val="00672442"/>
    <w:rsid w:val="006724E0"/>
    <w:rsid w:val="00672648"/>
    <w:rsid w:val="006729F2"/>
    <w:rsid w:val="00672AE4"/>
    <w:rsid w:val="006737F2"/>
    <w:rsid w:val="00673C74"/>
    <w:rsid w:val="00673E02"/>
    <w:rsid w:val="006740F9"/>
    <w:rsid w:val="006750E5"/>
    <w:rsid w:val="00675C08"/>
    <w:rsid w:val="00675D2D"/>
    <w:rsid w:val="00676827"/>
    <w:rsid w:val="00677782"/>
    <w:rsid w:val="00677A0E"/>
    <w:rsid w:val="00680512"/>
    <w:rsid w:val="00680930"/>
    <w:rsid w:val="00680D1F"/>
    <w:rsid w:val="00681710"/>
    <w:rsid w:val="00681794"/>
    <w:rsid w:val="00682135"/>
    <w:rsid w:val="006821E9"/>
    <w:rsid w:val="006826C9"/>
    <w:rsid w:val="006827B4"/>
    <w:rsid w:val="00682B17"/>
    <w:rsid w:val="00682B73"/>
    <w:rsid w:val="00682DC6"/>
    <w:rsid w:val="006831A9"/>
    <w:rsid w:val="00683BAD"/>
    <w:rsid w:val="00684592"/>
    <w:rsid w:val="006854B2"/>
    <w:rsid w:val="00685BC3"/>
    <w:rsid w:val="00687090"/>
    <w:rsid w:val="00687295"/>
    <w:rsid w:val="006904D5"/>
    <w:rsid w:val="00690572"/>
    <w:rsid w:val="00690D82"/>
    <w:rsid w:val="006911D5"/>
    <w:rsid w:val="00691D1B"/>
    <w:rsid w:val="0069204B"/>
    <w:rsid w:val="00692CF3"/>
    <w:rsid w:val="006932EA"/>
    <w:rsid w:val="006937B3"/>
    <w:rsid w:val="0069413B"/>
    <w:rsid w:val="0069442B"/>
    <w:rsid w:val="0069499F"/>
    <w:rsid w:val="00694C18"/>
    <w:rsid w:val="006956B7"/>
    <w:rsid w:val="0069577B"/>
    <w:rsid w:val="00695D4E"/>
    <w:rsid w:val="006965EB"/>
    <w:rsid w:val="00696758"/>
    <w:rsid w:val="00696F95"/>
    <w:rsid w:val="006978D9"/>
    <w:rsid w:val="00697BEA"/>
    <w:rsid w:val="00697D71"/>
    <w:rsid w:val="006A04E7"/>
    <w:rsid w:val="006A080A"/>
    <w:rsid w:val="006A0D34"/>
    <w:rsid w:val="006A1791"/>
    <w:rsid w:val="006A298E"/>
    <w:rsid w:val="006A2A66"/>
    <w:rsid w:val="006A2B83"/>
    <w:rsid w:val="006A37F3"/>
    <w:rsid w:val="006A389F"/>
    <w:rsid w:val="006A3EC0"/>
    <w:rsid w:val="006A3F6E"/>
    <w:rsid w:val="006A48E0"/>
    <w:rsid w:val="006A4AC4"/>
    <w:rsid w:val="006A5B86"/>
    <w:rsid w:val="006A5F13"/>
    <w:rsid w:val="006A60B3"/>
    <w:rsid w:val="006A6277"/>
    <w:rsid w:val="006A65F6"/>
    <w:rsid w:val="006A6690"/>
    <w:rsid w:val="006A67E1"/>
    <w:rsid w:val="006A7B46"/>
    <w:rsid w:val="006A7B59"/>
    <w:rsid w:val="006A7CC3"/>
    <w:rsid w:val="006A7D87"/>
    <w:rsid w:val="006A7EB9"/>
    <w:rsid w:val="006B05C0"/>
    <w:rsid w:val="006B0837"/>
    <w:rsid w:val="006B0F71"/>
    <w:rsid w:val="006B1C0D"/>
    <w:rsid w:val="006B1E11"/>
    <w:rsid w:val="006B216F"/>
    <w:rsid w:val="006B220E"/>
    <w:rsid w:val="006B24A8"/>
    <w:rsid w:val="006B258A"/>
    <w:rsid w:val="006B2C91"/>
    <w:rsid w:val="006B2CF2"/>
    <w:rsid w:val="006B30CE"/>
    <w:rsid w:val="006B47BB"/>
    <w:rsid w:val="006B4C7B"/>
    <w:rsid w:val="006B4E5C"/>
    <w:rsid w:val="006B4F74"/>
    <w:rsid w:val="006B53CF"/>
    <w:rsid w:val="006B5E01"/>
    <w:rsid w:val="006B5EB2"/>
    <w:rsid w:val="006B635A"/>
    <w:rsid w:val="006B72FC"/>
    <w:rsid w:val="006B7645"/>
    <w:rsid w:val="006C09A6"/>
    <w:rsid w:val="006C0AFE"/>
    <w:rsid w:val="006C103C"/>
    <w:rsid w:val="006C158D"/>
    <w:rsid w:val="006C159A"/>
    <w:rsid w:val="006C15BF"/>
    <w:rsid w:val="006C178F"/>
    <w:rsid w:val="006C1D68"/>
    <w:rsid w:val="006C1DC7"/>
    <w:rsid w:val="006C24C9"/>
    <w:rsid w:val="006C3004"/>
    <w:rsid w:val="006C4A9B"/>
    <w:rsid w:val="006C4B43"/>
    <w:rsid w:val="006C574F"/>
    <w:rsid w:val="006C5C08"/>
    <w:rsid w:val="006C631A"/>
    <w:rsid w:val="006C6CCB"/>
    <w:rsid w:val="006C6EC2"/>
    <w:rsid w:val="006C7D77"/>
    <w:rsid w:val="006D1005"/>
    <w:rsid w:val="006D11BC"/>
    <w:rsid w:val="006D18F0"/>
    <w:rsid w:val="006D1F7D"/>
    <w:rsid w:val="006D20C8"/>
    <w:rsid w:val="006D2448"/>
    <w:rsid w:val="006D2461"/>
    <w:rsid w:val="006D280B"/>
    <w:rsid w:val="006D2D60"/>
    <w:rsid w:val="006D3001"/>
    <w:rsid w:val="006D316B"/>
    <w:rsid w:val="006D3500"/>
    <w:rsid w:val="006D3957"/>
    <w:rsid w:val="006D39B6"/>
    <w:rsid w:val="006D3A54"/>
    <w:rsid w:val="006D3AFC"/>
    <w:rsid w:val="006D4928"/>
    <w:rsid w:val="006D5186"/>
    <w:rsid w:val="006D51BE"/>
    <w:rsid w:val="006D56FC"/>
    <w:rsid w:val="006D5722"/>
    <w:rsid w:val="006D5DFE"/>
    <w:rsid w:val="006D6001"/>
    <w:rsid w:val="006D63ED"/>
    <w:rsid w:val="006D68E4"/>
    <w:rsid w:val="006D780F"/>
    <w:rsid w:val="006D7EEA"/>
    <w:rsid w:val="006E0105"/>
    <w:rsid w:val="006E07A9"/>
    <w:rsid w:val="006E08FD"/>
    <w:rsid w:val="006E09FB"/>
    <w:rsid w:val="006E0A73"/>
    <w:rsid w:val="006E0CDC"/>
    <w:rsid w:val="006E0FAF"/>
    <w:rsid w:val="006E1D76"/>
    <w:rsid w:val="006E1E14"/>
    <w:rsid w:val="006E23CE"/>
    <w:rsid w:val="006E2617"/>
    <w:rsid w:val="006E26CC"/>
    <w:rsid w:val="006E2899"/>
    <w:rsid w:val="006E30C8"/>
    <w:rsid w:val="006E312D"/>
    <w:rsid w:val="006E42EE"/>
    <w:rsid w:val="006E481D"/>
    <w:rsid w:val="006E4EEA"/>
    <w:rsid w:val="006E5DA8"/>
    <w:rsid w:val="006E63DB"/>
    <w:rsid w:val="006E6B65"/>
    <w:rsid w:val="006E6BE3"/>
    <w:rsid w:val="006E7437"/>
    <w:rsid w:val="006E7605"/>
    <w:rsid w:val="006E788F"/>
    <w:rsid w:val="006E7A7D"/>
    <w:rsid w:val="006E7B67"/>
    <w:rsid w:val="006F0DF8"/>
    <w:rsid w:val="006F101E"/>
    <w:rsid w:val="006F1102"/>
    <w:rsid w:val="006F11C2"/>
    <w:rsid w:val="006F1BC3"/>
    <w:rsid w:val="006F1D51"/>
    <w:rsid w:val="006F1FF2"/>
    <w:rsid w:val="006F2970"/>
    <w:rsid w:val="006F3381"/>
    <w:rsid w:val="006F3412"/>
    <w:rsid w:val="006F3B12"/>
    <w:rsid w:val="006F4451"/>
    <w:rsid w:val="006F4823"/>
    <w:rsid w:val="006F5D90"/>
    <w:rsid w:val="006F67DE"/>
    <w:rsid w:val="006F7183"/>
    <w:rsid w:val="006F7C01"/>
    <w:rsid w:val="00700A2C"/>
    <w:rsid w:val="007013FB"/>
    <w:rsid w:val="007027BB"/>
    <w:rsid w:val="0070420F"/>
    <w:rsid w:val="00704574"/>
    <w:rsid w:val="00704AF6"/>
    <w:rsid w:val="00705399"/>
    <w:rsid w:val="00705A07"/>
    <w:rsid w:val="00705D24"/>
    <w:rsid w:val="00705F3C"/>
    <w:rsid w:val="007065D2"/>
    <w:rsid w:val="00706925"/>
    <w:rsid w:val="007070B0"/>
    <w:rsid w:val="00707836"/>
    <w:rsid w:val="007079AB"/>
    <w:rsid w:val="00707DDB"/>
    <w:rsid w:val="00707E5F"/>
    <w:rsid w:val="007102F4"/>
    <w:rsid w:val="007105E6"/>
    <w:rsid w:val="00710855"/>
    <w:rsid w:val="007109F0"/>
    <w:rsid w:val="00710E1E"/>
    <w:rsid w:val="0071143C"/>
    <w:rsid w:val="00711533"/>
    <w:rsid w:val="00711652"/>
    <w:rsid w:val="00711971"/>
    <w:rsid w:val="00711D2E"/>
    <w:rsid w:val="00712620"/>
    <w:rsid w:val="00712771"/>
    <w:rsid w:val="00712B15"/>
    <w:rsid w:val="00713EA5"/>
    <w:rsid w:val="00714450"/>
    <w:rsid w:val="0071468A"/>
    <w:rsid w:val="00715B98"/>
    <w:rsid w:val="00715BD2"/>
    <w:rsid w:val="007160E3"/>
    <w:rsid w:val="0071673D"/>
    <w:rsid w:val="0071720E"/>
    <w:rsid w:val="007177D4"/>
    <w:rsid w:val="00717821"/>
    <w:rsid w:val="00717F56"/>
    <w:rsid w:val="00720062"/>
    <w:rsid w:val="0072093A"/>
    <w:rsid w:val="007209E3"/>
    <w:rsid w:val="00720D1D"/>
    <w:rsid w:val="00720D54"/>
    <w:rsid w:val="0072111C"/>
    <w:rsid w:val="00721642"/>
    <w:rsid w:val="00721CC6"/>
    <w:rsid w:val="00721D7A"/>
    <w:rsid w:val="00722822"/>
    <w:rsid w:val="007228FF"/>
    <w:rsid w:val="00722939"/>
    <w:rsid w:val="00722B98"/>
    <w:rsid w:val="00722EE9"/>
    <w:rsid w:val="00722F32"/>
    <w:rsid w:val="00722FEE"/>
    <w:rsid w:val="00723F06"/>
    <w:rsid w:val="00724D0E"/>
    <w:rsid w:val="0072514E"/>
    <w:rsid w:val="00725197"/>
    <w:rsid w:val="0072593F"/>
    <w:rsid w:val="00725E4D"/>
    <w:rsid w:val="00726334"/>
    <w:rsid w:val="00726C58"/>
    <w:rsid w:val="00727A24"/>
    <w:rsid w:val="00727BF0"/>
    <w:rsid w:val="00727DC7"/>
    <w:rsid w:val="007301F2"/>
    <w:rsid w:val="007309ED"/>
    <w:rsid w:val="00730F69"/>
    <w:rsid w:val="0073141E"/>
    <w:rsid w:val="0073169A"/>
    <w:rsid w:val="00731723"/>
    <w:rsid w:val="007317CD"/>
    <w:rsid w:val="007319D9"/>
    <w:rsid w:val="00731B3F"/>
    <w:rsid w:val="0073224C"/>
    <w:rsid w:val="007329A6"/>
    <w:rsid w:val="00732C9C"/>
    <w:rsid w:val="00732F62"/>
    <w:rsid w:val="0073332D"/>
    <w:rsid w:val="00734298"/>
    <w:rsid w:val="00734F4F"/>
    <w:rsid w:val="0073526D"/>
    <w:rsid w:val="00735779"/>
    <w:rsid w:val="007361E6"/>
    <w:rsid w:val="007362D2"/>
    <w:rsid w:val="007366A8"/>
    <w:rsid w:val="00736A85"/>
    <w:rsid w:val="00737AAE"/>
    <w:rsid w:val="00740040"/>
    <w:rsid w:val="007408F3"/>
    <w:rsid w:val="00740B07"/>
    <w:rsid w:val="00740E09"/>
    <w:rsid w:val="007414A0"/>
    <w:rsid w:val="007417DF"/>
    <w:rsid w:val="00741AB1"/>
    <w:rsid w:val="00741BC0"/>
    <w:rsid w:val="00741D78"/>
    <w:rsid w:val="00742773"/>
    <w:rsid w:val="00742F0F"/>
    <w:rsid w:val="00743001"/>
    <w:rsid w:val="00743A4C"/>
    <w:rsid w:val="00744535"/>
    <w:rsid w:val="0074528C"/>
    <w:rsid w:val="007456AF"/>
    <w:rsid w:val="00745A92"/>
    <w:rsid w:val="00746F9D"/>
    <w:rsid w:val="0074744C"/>
    <w:rsid w:val="0074785D"/>
    <w:rsid w:val="007506AB"/>
    <w:rsid w:val="00750E28"/>
    <w:rsid w:val="0075121E"/>
    <w:rsid w:val="00751343"/>
    <w:rsid w:val="007519FD"/>
    <w:rsid w:val="00752765"/>
    <w:rsid w:val="0075289D"/>
    <w:rsid w:val="00752EC7"/>
    <w:rsid w:val="00752F72"/>
    <w:rsid w:val="00753C62"/>
    <w:rsid w:val="007542F3"/>
    <w:rsid w:val="007544AC"/>
    <w:rsid w:val="007546E2"/>
    <w:rsid w:val="007550E8"/>
    <w:rsid w:val="00755122"/>
    <w:rsid w:val="00755762"/>
    <w:rsid w:val="0075657D"/>
    <w:rsid w:val="00757297"/>
    <w:rsid w:val="00757933"/>
    <w:rsid w:val="00757BBF"/>
    <w:rsid w:val="007613A7"/>
    <w:rsid w:val="007614E7"/>
    <w:rsid w:val="00762083"/>
    <w:rsid w:val="007625C4"/>
    <w:rsid w:val="00762713"/>
    <w:rsid w:val="00763831"/>
    <w:rsid w:val="00764073"/>
    <w:rsid w:val="0076444D"/>
    <w:rsid w:val="00764E13"/>
    <w:rsid w:val="00764FCE"/>
    <w:rsid w:val="00765517"/>
    <w:rsid w:val="007655B9"/>
    <w:rsid w:val="00765824"/>
    <w:rsid w:val="00765E96"/>
    <w:rsid w:val="00765FA2"/>
    <w:rsid w:val="00766D78"/>
    <w:rsid w:val="00767F3B"/>
    <w:rsid w:val="00770192"/>
    <w:rsid w:val="00770BCA"/>
    <w:rsid w:val="00770F09"/>
    <w:rsid w:val="0077124E"/>
    <w:rsid w:val="0077197A"/>
    <w:rsid w:val="00771AEB"/>
    <w:rsid w:val="00772818"/>
    <w:rsid w:val="00772CA5"/>
    <w:rsid w:val="00772E8F"/>
    <w:rsid w:val="00773136"/>
    <w:rsid w:val="00773613"/>
    <w:rsid w:val="007737F3"/>
    <w:rsid w:val="00773B72"/>
    <w:rsid w:val="00773DCF"/>
    <w:rsid w:val="007746B0"/>
    <w:rsid w:val="007749C5"/>
    <w:rsid w:val="00774A47"/>
    <w:rsid w:val="00774DF8"/>
    <w:rsid w:val="007756EF"/>
    <w:rsid w:val="00775ED6"/>
    <w:rsid w:val="00776A66"/>
    <w:rsid w:val="0077722C"/>
    <w:rsid w:val="007776D5"/>
    <w:rsid w:val="00777898"/>
    <w:rsid w:val="007779FE"/>
    <w:rsid w:val="00780CB5"/>
    <w:rsid w:val="00780E20"/>
    <w:rsid w:val="00781142"/>
    <w:rsid w:val="00781352"/>
    <w:rsid w:val="0078184E"/>
    <w:rsid w:val="00781A32"/>
    <w:rsid w:val="007820CC"/>
    <w:rsid w:val="00782317"/>
    <w:rsid w:val="007833DB"/>
    <w:rsid w:val="007834B0"/>
    <w:rsid w:val="00783C2B"/>
    <w:rsid w:val="00783C55"/>
    <w:rsid w:val="00783D55"/>
    <w:rsid w:val="00784BCF"/>
    <w:rsid w:val="00785046"/>
    <w:rsid w:val="00785A9E"/>
    <w:rsid w:val="00785B91"/>
    <w:rsid w:val="00785E82"/>
    <w:rsid w:val="007860D7"/>
    <w:rsid w:val="00786198"/>
    <w:rsid w:val="007864D8"/>
    <w:rsid w:val="007866C2"/>
    <w:rsid w:val="00786C82"/>
    <w:rsid w:val="00786CAC"/>
    <w:rsid w:val="00786FB1"/>
    <w:rsid w:val="0078745E"/>
    <w:rsid w:val="00787C18"/>
    <w:rsid w:val="0079028C"/>
    <w:rsid w:val="007908C2"/>
    <w:rsid w:val="00790C69"/>
    <w:rsid w:val="00791448"/>
    <w:rsid w:val="007917CA"/>
    <w:rsid w:val="00791D1D"/>
    <w:rsid w:val="007921C7"/>
    <w:rsid w:val="00792614"/>
    <w:rsid w:val="00792D93"/>
    <w:rsid w:val="00793D06"/>
    <w:rsid w:val="007944CF"/>
    <w:rsid w:val="0079518D"/>
    <w:rsid w:val="007952BD"/>
    <w:rsid w:val="007958D3"/>
    <w:rsid w:val="0079596D"/>
    <w:rsid w:val="00796993"/>
    <w:rsid w:val="00796E74"/>
    <w:rsid w:val="0079748D"/>
    <w:rsid w:val="00797633"/>
    <w:rsid w:val="007A0FEB"/>
    <w:rsid w:val="007A284E"/>
    <w:rsid w:val="007A2978"/>
    <w:rsid w:val="007A321B"/>
    <w:rsid w:val="007A3423"/>
    <w:rsid w:val="007A37E3"/>
    <w:rsid w:val="007A38AA"/>
    <w:rsid w:val="007A38BA"/>
    <w:rsid w:val="007A4127"/>
    <w:rsid w:val="007A4469"/>
    <w:rsid w:val="007A4B67"/>
    <w:rsid w:val="007A52A1"/>
    <w:rsid w:val="007A5518"/>
    <w:rsid w:val="007A5522"/>
    <w:rsid w:val="007A5B76"/>
    <w:rsid w:val="007A5DB2"/>
    <w:rsid w:val="007A5EA1"/>
    <w:rsid w:val="007A5ECC"/>
    <w:rsid w:val="007A6DE4"/>
    <w:rsid w:val="007A710E"/>
    <w:rsid w:val="007A7A53"/>
    <w:rsid w:val="007B0238"/>
    <w:rsid w:val="007B03EC"/>
    <w:rsid w:val="007B0434"/>
    <w:rsid w:val="007B0BB1"/>
    <w:rsid w:val="007B0DA9"/>
    <w:rsid w:val="007B0EE0"/>
    <w:rsid w:val="007B0F9C"/>
    <w:rsid w:val="007B10E0"/>
    <w:rsid w:val="007B13FD"/>
    <w:rsid w:val="007B16A9"/>
    <w:rsid w:val="007B179D"/>
    <w:rsid w:val="007B1A03"/>
    <w:rsid w:val="007B216B"/>
    <w:rsid w:val="007B28D2"/>
    <w:rsid w:val="007B2A4A"/>
    <w:rsid w:val="007B2C52"/>
    <w:rsid w:val="007B2D47"/>
    <w:rsid w:val="007B3595"/>
    <w:rsid w:val="007B3E55"/>
    <w:rsid w:val="007B5214"/>
    <w:rsid w:val="007B5B75"/>
    <w:rsid w:val="007B5DD4"/>
    <w:rsid w:val="007B7575"/>
    <w:rsid w:val="007B7788"/>
    <w:rsid w:val="007C00FA"/>
    <w:rsid w:val="007C0476"/>
    <w:rsid w:val="007C07F3"/>
    <w:rsid w:val="007C0E34"/>
    <w:rsid w:val="007C1179"/>
    <w:rsid w:val="007C11B1"/>
    <w:rsid w:val="007C1654"/>
    <w:rsid w:val="007C196A"/>
    <w:rsid w:val="007C2DC1"/>
    <w:rsid w:val="007C2E52"/>
    <w:rsid w:val="007C36E6"/>
    <w:rsid w:val="007C3DD0"/>
    <w:rsid w:val="007C456F"/>
    <w:rsid w:val="007C47C7"/>
    <w:rsid w:val="007C5770"/>
    <w:rsid w:val="007C57AF"/>
    <w:rsid w:val="007C5B89"/>
    <w:rsid w:val="007C5DF4"/>
    <w:rsid w:val="007C66E7"/>
    <w:rsid w:val="007C67DF"/>
    <w:rsid w:val="007C6C8A"/>
    <w:rsid w:val="007C6C9C"/>
    <w:rsid w:val="007C6F47"/>
    <w:rsid w:val="007C75D8"/>
    <w:rsid w:val="007C7AD7"/>
    <w:rsid w:val="007D0B9A"/>
    <w:rsid w:val="007D12E2"/>
    <w:rsid w:val="007D1988"/>
    <w:rsid w:val="007D1B28"/>
    <w:rsid w:val="007D229C"/>
    <w:rsid w:val="007D295A"/>
    <w:rsid w:val="007D299A"/>
    <w:rsid w:val="007D33BA"/>
    <w:rsid w:val="007D36AB"/>
    <w:rsid w:val="007D3CC8"/>
    <w:rsid w:val="007D3D95"/>
    <w:rsid w:val="007D6BE4"/>
    <w:rsid w:val="007D6D46"/>
    <w:rsid w:val="007D6FD9"/>
    <w:rsid w:val="007D71AE"/>
    <w:rsid w:val="007D72BB"/>
    <w:rsid w:val="007D7440"/>
    <w:rsid w:val="007D77A3"/>
    <w:rsid w:val="007D7B2E"/>
    <w:rsid w:val="007E0CCF"/>
    <w:rsid w:val="007E0DC8"/>
    <w:rsid w:val="007E14AD"/>
    <w:rsid w:val="007E1CAF"/>
    <w:rsid w:val="007E1D66"/>
    <w:rsid w:val="007E25A8"/>
    <w:rsid w:val="007E2867"/>
    <w:rsid w:val="007E29CB"/>
    <w:rsid w:val="007E2D6A"/>
    <w:rsid w:val="007E2E56"/>
    <w:rsid w:val="007E3407"/>
    <w:rsid w:val="007E3730"/>
    <w:rsid w:val="007E45B3"/>
    <w:rsid w:val="007E46EE"/>
    <w:rsid w:val="007E4890"/>
    <w:rsid w:val="007E4CB3"/>
    <w:rsid w:val="007E4F82"/>
    <w:rsid w:val="007E50C1"/>
    <w:rsid w:val="007E51B9"/>
    <w:rsid w:val="007E5385"/>
    <w:rsid w:val="007E55C1"/>
    <w:rsid w:val="007E5761"/>
    <w:rsid w:val="007E5795"/>
    <w:rsid w:val="007E5EED"/>
    <w:rsid w:val="007E6067"/>
    <w:rsid w:val="007E68C8"/>
    <w:rsid w:val="007E6FD7"/>
    <w:rsid w:val="007E71C1"/>
    <w:rsid w:val="007E76B4"/>
    <w:rsid w:val="007E7C77"/>
    <w:rsid w:val="007E7C98"/>
    <w:rsid w:val="007F0365"/>
    <w:rsid w:val="007F05DE"/>
    <w:rsid w:val="007F12EB"/>
    <w:rsid w:val="007F20B2"/>
    <w:rsid w:val="007F2C1D"/>
    <w:rsid w:val="007F2F10"/>
    <w:rsid w:val="007F33B0"/>
    <w:rsid w:val="007F3776"/>
    <w:rsid w:val="007F38EA"/>
    <w:rsid w:val="007F3A98"/>
    <w:rsid w:val="007F3BAA"/>
    <w:rsid w:val="007F4300"/>
    <w:rsid w:val="007F4A20"/>
    <w:rsid w:val="007F4D36"/>
    <w:rsid w:val="007F4DC4"/>
    <w:rsid w:val="007F4E01"/>
    <w:rsid w:val="007F4FF8"/>
    <w:rsid w:val="007F5001"/>
    <w:rsid w:val="007F6101"/>
    <w:rsid w:val="007F6AAA"/>
    <w:rsid w:val="007F705B"/>
    <w:rsid w:val="007F72C7"/>
    <w:rsid w:val="007F7984"/>
    <w:rsid w:val="007F79ED"/>
    <w:rsid w:val="007F7E0C"/>
    <w:rsid w:val="007F7F04"/>
    <w:rsid w:val="00800091"/>
    <w:rsid w:val="00800A4E"/>
    <w:rsid w:val="00800D8F"/>
    <w:rsid w:val="008017F3"/>
    <w:rsid w:val="00801B5F"/>
    <w:rsid w:val="00801DDA"/>
    <w:rsid w:val="00801E09"/>
    <w:rsid w:val="00801EBA"/>
    <w:rsid w:val="00802C42"/>
    <w:rsid w:val="00803504"/>
    <w:rsid w:val="008035BC"/>
    <w:rsid w:val="00803639"/>
    <w:rsid w:val="00803779"/>
    <w:rsid w:val="008037FC"/>
    <w:rsid w:val="008055B1"/>
    <w:rsid w:val="00805672"/>
    <w:rsid w:val="0080595E"/>
    <w:rsid w:val="00805E2C"/>
    <w:rsid w:val="00807097"/>
    <w:rsid w:val="00807171"/>
    <w:rsid w:val="0080736B"/>
    <w:rsid w:val="00807712"/>
    <w:rsid w:val="00807FB0"/>
    <w:rsid w:val="00810245"/>
    <w:rsid w:val="00810747"/>
    <w:rsid w:val="00810903"/>
    <w:rsid w:val="00810932"/>
    <w:rsid w:val="008110FD"/>
    <w:rsid w:val="00811518"/>
    <w:rsid w:val="00811BC0"/>
    <w:rsid w:val="00811C70"/>
    <w:rsid w:val="008125E3"/>
    <w:rsid w:val="00812654"/>
    <w:rsid w:val="00812DF7"/>
    <w:rsid w:val="00812FBA"/>
    <w:rsid w:val="008134B4"/>
    <w:rsid w:val="008136AE"/>
    <w:rsid w:val="0081378F"/>
    <w:rsid w:val="0081381F"/>
    <w:rsid w:val="00813AD6"/>
    <w:rsid w:val="00813BAA"/>
    <w:rsid w:val="00813ED6"/>
    <w:rsid w:val="00814336"/>
    <w:rsid w:val="008146D2"/>
    <w:rsid w:val="00814B01"/>
    <w:rsid w:val="008152FA"/>
    <w:rsid w:val="008161BF"/>
    <w:rsid w:val="00816839"/>
    <w:rsid w:val="00816A8B"/>
    <w:rsid w:val="0081705F"/>
    <w:rsid w:val="008179CA"/>
    <w:rsid w:val="008206C4"/>
    <w:rsid w:val="008206F9"/>
    <w:rsid w:val="00820C65"/>
    <w:rsid w:val="008211C7"/>
    <w:rsid w:val="008218EC"/>
    <w:rsid w:val="00821E9F"/>
    <w:rsid w:val="00821F40"/>
    <w:rsid w:val="0082233C"/>
    <w:rsid w:val="00822C1A"/>
    <w:rsid w:val="00823882"/>
    <w:rsid w:val="00823979"/>
    <w:rsid w:val="0082398C"/>
    <w:rsid w:val="00823C77"/>
    <w:rsid w:val="00824125"/>
    <w:rsid w:val="00824267"/>
    <w:rsid w:val="00824925"/>
    <w:rsid w:val="0082559F"/>
    <w:rsid w:val="008258AF"/>
    <w:rsid w:val="00825A5E"/>
    <w:rsid w:val="00825F59"/>
    <w:rsid w:val="008279CB"/>
    <w:rsid w:val="00827FB6"/>
    <w:rsid w:val="008300CB"/>
    <w:rsid w:val="00830522"/>
    <w:rsid w:val="0083069D"/>
    <w:rsid w:val="008310F2"/>
    <w:rsid w:val="008314EF"/>
    <w:rsid w:val="008319E2"/>
    <w:rsid w:val="008319F3"/>
    <w:rsid w:val="008325E2"/>
    <w:rsid w:val="00832600"/>
    <w:rsid w:val="00833463"/>
    <w:rsid w:val="00833EAA"/>
    <w:rsid w:val="008340D6"/>
    <w:rsid w:val="00834447"/>
    <w:rsid w:val="00834BDA"/>
    <w:rsid w:val="00834F5B"/>
    <w:rsid w:val="008354BE"/>
    <w:rsid w:val="00835B47"/>
    <w:rsid w:val="00835BFF"/>
    <w:rsid w:val="00835F37"/>
    <w:rsid w:val="00836087"/>
    <w:rsid w:val="0083618B"/>
    <w:rsid w:val="008361E4"/>
    <w:rsid w:val="00836278"/>
    <w:rsid w:val="008363A0"/>
    <w:rsid w:val="008363BA"/>
    <w:rsid w:val="0083645A"/>
    <w:rsid w:val="00836889"/>
    <w:rsid w:val="00836B98"/>
    <w:rsid w:val="00836D71"/>
    <w:rsid w:val="00836F95"/>
    <w:rsid w:val="0083742E"/>
    <w:rsid w:val="008379A5"/>
    <w:rsid w:val="00837DA5"/>
    <w:rsid w:val="00837E19"/>
    <w:rsid w:val="008405E8"/>
    <w:rsid w:val="00840A7E"/>
    <w:rsid w:val="00840CB1"/>
    <w:rsid w:val="00840ECB"/>
    <w:rsid w:val="0084121D"/>
    <w:rsid w:val="00841CC4"/>
    <w:rsid w:val="00841CF2"/>
    <w:rsid w:val="00841DAB"/>
    <w:rsid w:val="00841E48"/>
    <w:rsid w:val="008422B0"/>
    <w:rsid w:val="00842CED"/>
    <w:rsid w:val="00842EB5"/>
    <w:rsid w:val="00843F8F"/>
    <w:rsid w:val="008440E1"/>
    <w:rsid w:val="00844145"/>
    <w:rsid w:val="0084420C"/>
    <w:rsid w:val="0084423D"/>
    <w:rsid w:val="00844DCD"/>
    <w:rsid w:val="0084504B"/>
    <w:rsid w:val="0084509C"/>
    <w:rsid w:val="008451A1"/>
    <w:rsid w:val="00845F02"/>
    <w:rsid w:val="00846078"/>
    <w:rsid w:val="00846FC5"/>
    <w:rsid w:val="008475DA"/>
    <w:rsid w:val="00847AD7"/>
    <w:rsid w:val="00850147"/>
    <w:rsid w:val="0085053F"/>
    <w:rsid w:val="008507FB"/>
    <w:rsid w:val="00851084"/>
    <w:rsid w:val="00851276"/>
    <w:rsid w:val="00851549"/>
    <w:rsid w:val="008515AB"/>
    <w:rsid w:val="0085166B"/>
    <w:rsid w:val="008518C5"/>
    <w:rsid w:val="00851F50"/>
    <w:rsid w:val="0085269F"/>
    <w:rsid w:val="00852C51"/>
    <w:rsid w:val="00852D51"/>
    <w:rsid w:val="00852E6A"/>
    <w:rsid w:val="00852EF2"/>
    <w:rsid w:val="00853070"/>
    <w:rsid w:val="00853871"/>
    <w:rsid w:val="00853D81"/>
    <w:rsid w:val="0085412C"/>
    <w:rsid w:val="008543FB"/>
    <w:rsid w:val="008545E0"/>
    <w:rsid w:val="00854E7B"/>
    <w:rsid w:val="00854F1F"/>
    <w:rsid w:val="008551DD"/>
    <w:rsid w:val="00855C9F"/>
    <w:rsid w:val="00855CA5"/>
    <w:rsid w:val="00855FC9"/>
    <w:rsid w:val="00856534"/>
    <w:rsid w:val="008569BE"/>
    <w:rsid w:val="00856BA9"/>
    <w:rsid w:val="0085753C"/>
    <w:rsid w:val="00860137"/>
    <w:rsid w:val="008601AF"/>
    <w:rsid w:val="00860710"/>
    <w:rsid w:val="008607B5"/>
    <w:rsid w:val="008616AE"/>
    <w:rsid w:val="008619DD"/>
    <w:rsid w:val="008624B7"/>
    <w:rsid w:val="00862EB0"/>
    <w:rsid w:val="008634AE"/>
    <w:rsid w:val="0086364F"/>
    <w:rsid w:val="00863938"/>
    <w:rsid w:val="00863ADF"/>
    <w:rsid w:val="00864067"/>
    <w:rsid w:val="00864505"/>
    <w:rsid w:val="008653D3"/>
    <w:rsid w:val="00866531"/>
    <w:rsid w:val="00866A69"/>
    <w:rsid w:val="008674C0"/>
    <w:rsid w:val="008675EF"/>
    <w:rsid w:val="008679A9"/>
    <w:rsid w:val="00867FF8"/>
    <w:rsid w:val="008706E7"/>
    <w:rsid w:val="00870B13"/>
    <w:rsid w:val="00870C3F"/>
    <w:rsid w:val="00871616"/>
    <w:rsid w:val="008716A0"/>
    <w:rsid w:val="008729D2"/>
    <w:rsid w:val="00873070"/>
    <w:rsid w:val="008733F8"/>
    <w:rsid w:val="00873446"/>
    <w:rsid w:val="0087362C"/>
    <w:rsid w:val="008737F7"/>
    <w:rsid w:val="008739AC"/>
    <w:rsid w:val="00873E55"/>
    <w:rsid w:val="0087512D"/>
    <w:rsid w:val="00875277"/>
    <w:rsid w:val="008753C5"/>
    <w:rsid w:val="008756C1"/>
    <w:rsid w:val="0087611E"/>
    <w:rsid w:val="0087669D"/>
    <w:rsid w:val="008766DC"/>
    <w:rsid w:val="0087684D"/>
    <w:rsid w:val="0087685D"/>
    <w:rsid w:val="0087713D"/>
    <w:rsid w:val="00877502"/>
    <w:rsid w:val="008777B6"/>
    <w:rsid w:val="00877BB8"/>
    <w:rsid w:val="008817F5"/>
    <w:rsid w:val="0088191F"/>
    <w:rsid w:val="00882911"/>
    <w:rsid w:val="00882DAC"/>
    <w:rsid w:val="00883B19"/>
    <w:rsid w:val="00883D3D"/>
    <w:rsid w:val="00883E0F"/>
    <w:rsid w:val="00883F26"/>
    <w:rsid w:val="008853B8"/>
    <w:rsid w:val="008856B0"/>
    <w:rsid w:val="00885AD6"/>
    <w:rsid w:val="0088628E"/>
    <w:rsid w:val="008865D1"/>
    <w:rsid w:val="0088663C"/>
    <w:rsid w:val="008877AD"/>
    <w:rsid w:val="0089007C"/>
    <w:rsid w:val="008902C3"/>
    <w:rsid w:val="008902F4"/>
    <w:rsid w:val="0089089C"/>
    <w:rsid w:val="0089098B"/>
    <w:rsid w:val="00890FA8"/>
    <w:rsid w:val="00891178"/>
    <w:rsid w:val="008911E1"/>
    <w:rsid w:val="00891E0D"/>
    <w:rsid w:val="0089274C"/>
    <w:rsid w:val="00892F28"/>
    <w:rsid w:val="00893081"/>
    <w:rsid w:val="0089319B"/>
    <w:rsid w:val="00893A6E"/>
    <w:rsid w:val="0089509E"/>
    <w:rsid w:val="00895684"/>
    <w:rsid w:val="00895984"/>
    <w:rsid w:val="00895B92"/>
    <w:rsid w:val="00895E7E"/>
    <w:rsid w:val="00895FE4"/>
    <w:rsid w:val="0089665D"/>
    <w:rsid w:val="0089676A"/>
    <w:rsid w:val="00897286"/>
    <w:rsid w:val="00897483"/>
    <w:rsid w:val="008979AC"/>
    <w:rsid w:val="00897D4D"/>
    <w:rsid w:val="008A0B26"/>
    <w:rsid w:val="008A0DB1"/>
    <w:rsid w:val="008A0DD8"/>
    <w:rsid w:val="008A0FB8"/>
    <w:rsid w:val="008A0FDA"/>
    <w:rsid w:val="008A1050"/>
    <w:rsid w:val="008A1B61"/>
    <w:rsid w:val="008A219F"/>
    <w:rsid w:val="008A2262"/>
    <w:rsid w:val="008A27B0"/>
    <w:rsid w:val="008A2C7F"/>
    <w:rsid w:val="008A2D91"/>
    <w:rsid w:val="008A3842"/>
    <w:rsid w:val="008A3AAD"/>
    <w:rsid w:val="008A4195"/>
    <w:rsid w:val="008A4718"/>
    <w:rsid w:val="008A4A75"/>
    <w:rsid w:val="008A4BE6"/>
    <w:rsid w:val="008A53B7"/>
    <w:rsid w:val="008A59F9"/>
    <w:rsid w:val="008A633B"/>
    <w:rsid w:val="008A6629"/>
    <w:rsid w:val="008A667E"/>
    <w:rsid w:val="008A70EF"/>
    <w:rsid w:val="008A7C76"/>
    <w:rsid w:val="008B0793"/>
    <w:rsid w:val="008B07E1"/>
    <w:rsid w:val="008B0A4B"/>
    <w:rsid w:val="008B0CE4"/>
    <w:rsid w:val="008B1581"/>
    <w:rsid w:val="008B1B9C"/>
    <w:rsid w:val="008B1FF7"/>
    <w:rsid w:val="008B259C"/>
    <w:rsid w:val="008B2A66"/>
    <w:rsid w:val="008B3264"/>
    <w:rsid w:val="008B37A3"/>
    <w:rsid w:val="008B3C5A"/>
    <w:rsid w:val="008B3D50"/>
    <w:rsid w:val="008B4048"/>
    <w:rsid w:val="008B4466"/>
    <w:rsid w:val="008B4582"/>
    <w:rsid w:val="008B5F7C"/>
    <w:rsid w:val="008B60E0"/>
    <w:rsid w:val="008B6E58"/>
    <w:rsid w:val="008B71FB"/>
    <w:rsid w:val="008B7ACC"/>
    <w:rsid w:val="008B7BCB"/>
    <w:rsid w:val="008B7C09"/>
    <w:rsid w:val="008B7DDA"/>
    <w:rsid w:val="008B7F21"/>
    <w:rsid w:val="008B7F59"/>
    <w:rsid w:val="008C0122"/>
    <w:rsid w:val="008C0805"/>
    <w:rsid w:val="008C08B9"/>
    <w:rsid w:val="008C09B1"/>
    <w:rsid w:val="008C0A13"/>
    <w:rsid w:val="008C0D0D"/>
    <w:rsid w:val="008C152B"/>
    <w:rsid w:val="008C166C"/>
    <w:rsid w:val="008C18BB"/>
    <w:rsid w:val="008C2BA9"/>
    <w:rsid w:val="008C37FA"/>
    <w:rsid w:val="008C3FBF"/>
    <w:rsid w:val="008C4E9E"/>
    <w:rsid w:val="008C538A"/>
    <w:rsid w:val="008C5AD5"/>
    <w:rsid w:val="008C5B5D"/>
    <w:rsid w:val="008C5CEF"/>
    <w:rsid w:val="008C6A76"/>
    <w:rsid w:val="008C6D3C"/>
    <w:rsid w:val="008D0011"/>
    <w:rsid w:val="008D04DE"/>
    <w:rsid w:val="008D05A8"/>
    <w:rsid w:val="008D05B5"/>
    <w:rsid w:val="008D06A4"/>
    <w:rsid w:val="008D07DA"/>
    <w:rsid w:val="008D0883"/>
    <w:rsid w:val="008D1A7B"/>
    <w:rsid w:val="008D1EDB"/>
    <w:rsid w:val="008D2BAA"/>
    <w:rsid w:val="008D372C"/>
    <w:rsid w:val="008D4B76"/>
    <w:rsid w:val="008D4D62"/>
    <w:rsid w:val="008D51F7"/>
    <w:rsid w:val="008D5FE2"/>
    <w:rsid w:val="008D62C7"/>
    <w:rsid w:val="008D6E33"/>
    <w:rsid w:val="008D757B"/>
    <w:rsid w:val="008D765D"/>
    <w:rsid w:val="008D7EAD"/>
    <w:rsid w:val="008E0F52"/>
    <w:rsid w:val="008E10C7"/>
    <w:rsid w:val="008E1CAB"/>
    <w:rsid w:val="008E1F16"/>
    <w:rsid w:val="008E211C"/>
    <w:rsid w:val="008E23E9"/>
    <w:rsid w:val="008E2B75"/>
    <w:rsid w:val="008E2BB0"/>
    <w:rsid w:val="008E2C7A"/>
    <w:rsid w:val="008E3E33"/>
    <w:rsid w:val="008E3FD4"/>
    <w:rsid w:val="008E4369"/>
    <w:rsid w:val="008E5DBE"/>
    <w:rsid w:val="008E60B1"/>
    <w:rsid w:val="008E6769"/>
    <w:rsid w:val="008E6EE6"/>
    <w:rsid w:val="008E6F83"/>
    <w:rsid w:val="008E794D"/>
    <w:rsid w:val="008E7BFB"/>
    <w:rsid w:val="008F1789"/>
    <w:rsid w:val="008F184B"/>
    <w:rsid w:val="008F1AA3"/>
    <w:rsid w:val="008F1B25"/>
    <w:rsid w:val="008F1C43"/>
    <w:rsid w:val="008F2593"/>
    <w:rsid w:val="008F2B27"/>
    <w:rsid w:val="008F31EE"/>
    <w:rsid w:val="008F3542"/>
    <w:rsid w:val="008F3B32"/>
    <w:rsid w:val="008F3EEE"/>
    <w:rsid w:val="008F4A4F"/>
    <w:rsid w:val="008F4EDE"/>
    <w:rsid w:val="008F5816"/>
    <w:rsid w:val="008F5BAE"/>
    <w:rsid w:val="008F5E1D"/>
    <w:rsid w:val="008F5E87"/>
    <w:rsid w:val="008F65DB"/>
    <w:rsid w:val="008F6F9A"/>
    <w:rsid w:val="008F7095"/>
    <w:rsid w:val="008F72B4"/>
    <w:rsid w:val="008F7A82"/>
    <w:rsid w:val="00900BDB"/>
    <w:rsid w:val="00901193"/>
    <w:rsid w:val="00901C0D"/>
    <w:rsid w:val="00902DAB"/>
    <w:rsid w:val="009034C6"/>
    <w:rsid w:val="00903FD3"/>
    <w:rsid w:val="00904257"/>
    <w:rsid w:val="00904C97"/>
    <w:rsid w:val="00904E17"/>
    <w:rsid w:val="00905A7D"/>
    <w:rsid w:val="00905AE9"/>
    <w:rsid w:val="00906196"/>
    <w:rsid w:val="0090634A"/>
    <w:rsid w:val="0090646D"/>
    <w:rsid w:val="00906A98"/>
    <w:rsid w:val="00906EC2"/>
    <w:rsid w:val="0090774B"/>
    <w:rsid w:val="00907C4E"/>
    <w:rsid w:val="00907DCA"/>
    <w:rsid w:val="00910199"/>
    <w:rsid w:val="0091104C"/>
    <w:rsid w:val="0091126D"/>
    <w:rsid w:val="009113BE"/>
    <w:rsid w:val="00911605"/>
    <w:rsid w:val="00911CE4"/>
    <w:rsid w:val="009123CB"/>
    <w:rsid w:val="009128F6"/>
    <w:rsid w:val="00912B30"/>
    <w:rsid w:val="009134D5"/>
    <w:rsid w:val="00913CFB"/>
    <w:rsid w:val="00914012"/>
    <w:rsid w:val="009159F3"/>
    <w:rsid w:val="00915DFB"/>
    <w:rsid w:val="00915EC3"/>
    <w:rsid w:val="00915FF7"/>
    <w:rsid w:val="00916031"/>
    <w:rsid w:val="00916034"/>
    <w:rsid w:val="00916E4F"/>
    <w:rsid w:val="009170F0"/>
    <w:rsid w:val="0091761B"/>
    <w:rsid w:val="00917776"/>
    <w:rsid w:val="0091780B"/>
    <w:rsid w:val="00917E6C"/>
    <w:rsid w:val="00917F75"/>
    <w:rsid w:val="009200C6"/>
    <w:rsid w:val="00920123"/>
    <w:rsid w:val="009201F4"/>
    <w:rsid w:val="009207CC"/>
    <w:rsid w:val="00920869"/>
    <w:rsid w:val="00920923"/>
    <w:rsid w:val="00920B67"/>
    <w:rsid w:val="00920E26"/>
    <w:rsid w:val="00920F87"/>
    <w:rsid w:val="009210B0"/>
    <w:rsid w:val="009210E4"/>
    <w:rsid w:val="009211DC"/>
    <w:rsid w:val="009212E2"/>
    <w:rsid w:val="00921408"/>
    <w:rsid w:val="009224D4"/>
    <w:rsid w:val="0092266E"/>
    <w:rsid w:val="00922790"/>
    <w:rsid w:val="00922E1C"/>
    <w:rsid w:val="00922E4D"/>
    <w:rsid w:val="00922F0E"/>
    <w:rsid w:val="00922F53"/>
    <w:rsid w:val="0092305F"/>
    <w:rsid w:val="00923213"/>
    <w:rsid w:val="009232FA"/>
    <w:rsid w:val="00923306"/>
    <w:rsid w:val="00923405"/>
    <w:rsid w:val="00923CF4"/>
    <w:rsid w:val="00924101"/>
    <w:rsid w:val="00924917"/>
    <w:rsid w:val="00926742"/>
    <w:rsid w:val="009274A6"/>
    <w:rsid w:val="00927B7E"/>
    <w:rsid w:val="00927BDC"/>
    <w:rsid w:val="00930090"/>
    <w:rsid w:val="009303F7"/>
    <w:rsid w:val="009305A2"/>
    <w:rsid w:val="00930738"/>
    <w:rsid w:val="00930972"/>
    <w:rsid w:val="00930E97"/>
    <w:rsid w:val="00930ECC"/>
    <w:rsid w:val="009317FB"/>
    <w:rsid w:val="00931A9A"/>
    <w:rsid w:val="00931C72"/>
    <w:rsid w:val="00931EB3"/>
    <w:rsid w:val="00931F87"/>
    <w:rsid w:val="009322CF"/>
    <w:rsid w:val="00933129"/>
    <w:rsid w:val="00933803"/>
    <w:rsid w:val="009338B8"/>
    <w:rsid w:val="00933F15"/>
    <w:rsid w:val="00933F5A"/>
    <w:rsid w:val="00934353"/>
    <w:rsid w:val="009348B4"/>
    <w:rsid w:val="00934FA7"/>
    <w:rsid w:val="00935362"/>
    <w:rsid w:val="009358FC"/>
    <w:rsid w:val="00935D0B"/>
    <w:rsid w:val="00935FE4"/>
    <w:rsid w:val="00936203"/>
    <w:rsid w:val="00936492"/>
    <w:rsid w:val="009365B8"/>
    <w:rsid w:val="009366D2"/>
    <w:rsid w:val="00936D75"/>
    <w:rsid w:val="00936F8F"/>
    <w:rsid w:val="00937407"/>
    <w:rsid w:val="00937741"/>
    <w:rsid w:val="009377A4"/>
    <w:rsid w:val="00940934"/>
    <w:rsid w:val="00940F51"/>
    <w:rsid w:val="00941DDB"/>
    <w:rsid w:val="009422F7"/>
    <w:rsid w:val="00942A5E"/>
    <w:rsid w:val="00942B31"/>
    <w:rsid w:val="00943065"/>
    <w:rsid w:val="0094332D"/>
    <w:rsid w:val="009442B8"/>
    <w:rsid w:val="009449D8"/>
    <w:rsid w:val="00944CF9"/>
    <w:rsid w:val="00945276"/>
    <w:rsid w:val="009461DD"/>
    <w:rsid w:val="009467E2"/>
    <w:rsid w:val="00946B6A"/>
    <w:rsid w:val="00946E37"/>
    <w:rsid w:val="00946E71"/>
    <w:rsid w:val="00947369"/>
    <w:rsid w:val="009504E7"/>
    <w:rsid w:val="009504EA"/>
    <w:rsid w:val="009509EA"/>
    <w:rsid w:val="00950EFC"/>
    <w:rsid w:val="00951235"/>
    <w:rsid w:val="009521DA"/>
    <w:rsid w:val="00953C85"/>
    <w:rsid w:val="00953DCE"/>
    <w:rsid w:val="009541B8"/>
    <w:rsid w:val="0095421A"/>
    <w:rsid w:val="009546E1"/>
    <w:rsid w:val="00955A65"/>
    <w:rsid w:val="00955F7C"/>
    <w:rsid w:val="009568EB"/>
    <w:rsid w:val="00956C62"/>
    <w:rsid w:val="009570A5"/>
    <w:rsid w:val="00957B06"/>
    <w:rsid w:val="00957EA1"/>
    <w:rsid w:val="00960121"/>
    <w:rsid w:val="0096057F"/>
    <w:rsid w:val="009606D4"/>
    <w:rsid w:val="00960A00"/>
    <w:rsid w:val="00960C46"/>
    <w:rsid w:val="00960CEC"/>
    <w:rsid w:val="009611CD"/>
    <w:rsid w:val="00961895"/>
    <w:rsid w:val="00961A39"/>
    <w:rsid w:val="00961E00"/>
    <w:rsid w:val="00961F57"/>
    <w:rsid w:val="009621D9"/>
    <w:rsid w:val="009624DA"/>
    <w:rsid w:val="00962617"/>
    <w:rsid w:val="00962621"/>
    <w:rsid w:val="0096262E"/>
    <w:rsid w:val="00962636"/>
    <w:rsid w:val="00962C93"/>
    <w:rsid w:val="009630B5"/>
    <w:rsid w:val="009638C3"/>
    <w:rsid w:val="00963B30"/>
    <w:rsid w:val="009640BC"/>
    <w:rsid w:val="00964288"/>
    <w:rsid w:val="00964346"/>
    <w:rsid w:val="0096441B"/>
    <w:rsid w:val="009649D8"/>
    <w:rsid w:val="00964BFD"/>
    <w:rsid w:val="00966409"/>
    <w:rsid w:val="009665A0"/>
    <w:rsid w:val="00967647"/>
    <w:rsid w:val="00967C61"/>
    <w:rsid w:val="00970206"/>
    <w:rsid w:val="00970977"/>
    <w:rsid w:val="00970BCC"/>
    <w:rsid w:val="00971261"/>
    <w:rsid w:val="00971505"/>
    <w:rsid w:val="009718EB"/>
    <w:rsid w:val="00971BA1"/>
    <w:rsid w:val="00971D7F"/>
    <w:rsid w:val="00971DED"/>
    <w:rsid w:val="00971E8C"/>
    <w:rsid w:val="00971F96"/>
    <w:rsid w:val="00973143"/>
    <w:rsid w:val="00973462"/>
    <w:rsid w:val="009734DB"/>
    <w:rsid w:val="0097445B"/>
    <w:rsid w:val="00974C96"/>
    <w:rsid w:val="00975AA2"/>
    <w:rsid w:val="00975D5A"/>
    <w:rsid w:val="009760CF"/>
    <w:rsid w:val="00976300"/>
    <w:rsid w:val="00976CFF"/>
    <w:rsid w:val="00976DAB"/>
    <w:rsid w:val="0097726E"/>
    <w:rsid w:val="0097756F"/>
    <w:rsid w:val="00977B8E"/>
    <w:rsid w:val="009810B7"/>
    <w:rsid w:val="00981595"/>
    <w:rsid w:val="00981EF2"/>
    <w:rsid w:val="00983608"/>
    <w:rsid w:val="00983815"/>
    <w:rsid w:val="009840BC"/>
    <w:rsid w:val="009842A9"/>
    <w:rsid w:val="0098436C"/>
    <w:rsid w:val="00984ADA"/>
    <w:rsid w:val="009851D4"/>
    <w:rsid w:val="00985776"/>
    <w:rsid w:val="00985B17"/>
    <w:rsid w:val="00985BA4"/>
    <w:rsid w:val="00985E7F"/>
    <w:rsid w:val="00985EDE"/>
    <w:rsid w:val="009860BE"/>
    <w:rsid w:val="00986281"/>
    <w:rsid w:val="0098643C"/>
    <w:rsid w:val="00986C8D"/>
    <w:rsid w:val="009876C8"/>
    <w:rsid w:val="0098788F"/>
    <w:rsid w:val="00987A15"/>
    <w:rsid w:val="00987BAC"/>
    <w:rsid w:val="00987E94"/>
    <w:rsid w:val="0099041A"/>
    <w:rsid w:val="0099079C"/>
    <w:rsid w:val="00990A30"/>
    <w:rsid w:val="00990AB7"/>
    <w:rsid w:val="00990B72"/>
    <w:rsid w:val="00990E8D"/>
    <w:rsid w:val="00991992"/>
    <w:rsid w:val="00991E4A"/>
    <w:rsid w:val="00992844"/>
    <w:rsid w:val="00992D38"/>
    <w:rsid w:val="00992F8C"/>
    <w:rsid w:val="00993A38"/>
    <w:rsid w:val="00993F1A"/>
    <w:rsid w:val="00994783"/>
    <w:rsid w:val="00994FE8"/>
    <w:rsid w:val="00995E93"/>
    <w:rsid w:val="00997516"/>
    <w:rsid w:val="00997922"/>
    <w:rsid w:val="009A01BF"/>
    <w:rsid w:val="009A0203"/>
    <w:rsid w:val="009A144A"/>
    <w:rsid w:val="009A189B"/>
    <w:rsid w:val="009A205B"/>
    <w:rsid w:val="009A2363"/>
    <w:rsid w:val="009A368B"/>
    <w:rsid w:val="009A3BAB"/>
    <w:rsid w:val="009A3C0F"/>
    <w:rsid w:val="009A4315"/>
    <w:rsid w:val="009A44C3"/>
    <w:rsid w:val="009A4701"/>
    <w:rsid w:val="009B093C"/>
    <w:rsid w:val="009B0A6A"/>
    <w:rsid w:val="009B0CE9"/>
    <w:rsid w:val="009B1118"/>
    <w:rsid w:val="009B166F"/>
    <w:rsid w:val="009B18EA"/>
    <w:rsid w:val="009B2C32"/>
    <w:rsid w:val="009B33D8"/>
    <w:rsid w:val="009B3478"/>
    <w:rsid w:val="009B3559"/>
    <w:rsid w:val="009B3B6E"/>
    <w:rsid w:val="009B3D1F"/>
    <w:rsid w:val="009B47A7"/>
    <w:rsid w:val="009B5013"/>
    <w:rsid w:val="009B5173"/>
    <w:rsid w:val="009B5696"/>
    <w:rsid w:val="009B56AA"/>
    <w:rsid w:val="009B5A2D"/>
    <w:rsid w:val="009B5A8C"/>
    <w:rsid w:val="009B5F9A"/>
    <w:rsid w:val="009B6841"/>
    <w:rsid w:val="009B687B"/>
    <w:rsid w:val="009B6AA8"/>
    <w:rsid w:val="009B6B93"/>
    <w:rsid w:val="009B6F79"/>
    <w:rsid w:val="009B7684"/>
    <w:rsid w:val="009B7751"/>
    <w:rsid w:val="009B7EEB"/>
    <w:rsid w:val="009B7F65"/>
    <w:rsid w:val="009C0870"/>
    <w:rsid w:val="009C0B1D"/>
    <w:rsid w:val="009C0CD0"/>
    <w:rsid w:val="009C0F7A"/>
    <w:rsid w:val="009C100C"/>
    <w:rsid w:val="009C1749"/>
    <w:rsid w:val="009C2B02"/>
    <w:rsid w:val="009C2BE7"/>
    <w:rsid w:val="009C2EAA"/>
    <w:rsid w:val="009C2EEA"/>
    <w:rsid w:val="009C2F3B"/>
    <w:rsid w:val="009C33C9"/>
    <w:rsid w:val="009C3437"/>
    <w:rsid w:val="009C410D"/>
    <w:rsid w:val="009C4134"/>
    <w:rsid w:val="009C4886"/>
    <w:rsid w:val="009C4C04"/>
    <w:rsid w:val="009C5DAF"/>
    <w:rsid w:val="009C6482"/>
    <w:rsid w:val="009C6F8E"/>
    <w:rsid w:val="009C7003"/>
    <w:rsid w:val="009C727E"/>
    <w:rsid w:val="009C746A"/>
    <w:rsid w:val="009C7644"/>
    <w:rsid w:val="009D0459"/>
    <w:rsid w:val="009D0874"/>
    <w:rsid w:val="009D094C"/>
    <w:rsid w:val="009D0B28"/>
    <w:rsid w:val="009D10A6"/>
    <w:rsid w:val="009D1A11"/>
    <w:rsid w:val="009D1D62"/>
    <w:rsid w:val="009D1F66"/>
    <w:rsid w:val="009D1F92"/>
    <w:rsid w:val="009D22DA"/>
    <w:rsid w:val="009D2719"/>
    <w:rsid w:val="009D2F81"/>
    <w:rsid w:val="009D352D"/>
    <w:rsid w:val="009D4DD9"/>
    <w:rsid w:val="009D4E17"/>
    <w:rsid w:val="009D51A3"/>
    <w:rsid w:val="009D5571"/>
    <w:rsid w:val="009D57BF"/>
    <w:rsid w:val="009D57F7"/>
    <w:rsid w:val="009D6758"/>
    <w:rsid w:val="009D78F0"/>
    <w:rsid w:val="009D7D08"/>
    <w:rsid w:val="009D7DB7"/>
    <w:rsid w:val="009E04BC"/>
    <w:rsid w:val="009E0511"/>
    <w:rsid w:val="009E07CE"/>
    <w:rsid w:val="009E0903"/>
    <w:rsid w:val="009E0AA0"/>
    <w:rsid w:val="009E0CE2"/>
    <w:rsid w:val="009E0DA9"/>
    <w:rsid w:val="009E0FEA"/>
    <w:rsid w:val="009E1E14"/>
    <w:rsid w:val="009E2307"/>
    <w:rsid w:val="009E2EFC"/>
    <w:rsid w:val="009E316A"/>
    <w:rsid w:val="009E3691"/>
    <w:rsid w:val="009E3861"/>
    <w:rsid w:val="009E4110"/>
    <w:rsid w:val="009E4764"/>
    <w:rsid w:val="009E47BC"/>
    <w:rsid w:val="009E4F44"/>
    <w:rsid w:val="009E53F8"/>
    <w:rsid w:val="009E5EE5"/>
    <w:rsid w:val="009E6770"/>
    <w:rsid w:val="009E6F8C"/>
    <w:rsid w:val="009E6FAB"/>
    <w:rsid w:val="009E7859"/>
    <w:rsid w:val="009E78CF"/>
    <w:rsid w:val="009F00FF"/>
    <w:rsid w:val="009F047D"/>
    <w:rsid w:val="009F04CA"/>
    <w:rsid w:val="009F0A5B"/>
    <w:rsid w:val="009F0F67"/>
    <w:rsid w:val="009F0FC1"/>
    <w:rsid w:val="009F0FCC"/>
    <w:rsid w:val="009F1383"/>
    <w:rsid w:val="009F13B1"/>
    <w:rsid w:val="009F2307"/>
    <w:rsid w:val="009F27C8"/>
    <w:rsid w:val="009F2CDB"/>
    <w:rsid w:val="009F2F90"/>
    <w:rsid w:val="009F33FA"/>
    <w:rsid w:val="009F3F3F"/>
    <w:rsid w:val="009F4492"/>
    <w:rsid w:val="009F4D44"/>
    <w:rsid w:val="009F52F7"/>
    <w:rsid w:val="009F564D"/>
    <w:rsid w:val="009F567C"/>
    <w:rsid w:val="009F6107"/>
    <w:rsid w:val="009F653F"/>
    <w:rsid w:val="009F656A"/>
    <w:rsid w:val="009F6785"/>
    <w:rsid w:val="009F7062"/>
    <w:rsid w:val="009F72C7"/>
    <w:rsid w:val="009F7BDA"/>
    <w:rsid w:val="009F7EF0"/>
    <w:rsid w:val="00A000FF"/>
    <w:rsid w:val="00A004B3"/>
    <w:rsid w:val="00A00963"/>
    <w:rsid w:val="00A00A0A"/>
    <w:rsid w:val="00A00F9D"/>
    <w:rsid w:val="00A01004"/>
    <w:rsid w:val="00A0143A"/>
    <w:rsid w:val="00A01C7B"/>
    <w:rsid w:val="00A02311"/>
    <w:rsid w:val="00A02550"/>
    <w:rsid w:val="00A02575"/>
    <w:rsid w:val="00A03070"/>
    <w:rsid w:val="00A03506"/>
    <w:rsid w:val="00A0401F"/>
    <w:rsid w:val="00A041F8"/>
    <w:rsid w:val="00A04FBF"/>
    <w:rsid w:val="00A057D9"/>
    <w:rsid w:val="00A061F7"/>
    <w:rsid w:val="00A06584"/>
    <w:rsid w:val="00A06BFB"/>
    <w:rsid w:val="00A06C71"/>
    <w:rsid w:val="00A073C7"/>
    <w:rsid w:val="00A07712"/>
    <w:rsid w:val="00A077D3"/>
    <w:rsid w:val="00A07FFD"/>
    <w:rsid w:val="00A10486"/>
    <w:rsid w:val="00A10E28"/>
    <w:rsid w:val="00A110CA"/>
    <w:rsid w:val="00A113D4"/>
    <w:rsid w:val="00A1154E"/>
    <w:rsid w:val="00A116D3"/>
    <w:rsid w:val="00A117D2"/>
    <w:rsid w:val="00A11B7A"/>
    <w:rsid w:val="00A135CD"/>
    <w:rsid w:val="00A13756"/>
    <w:rsid w:val="00A14629"/>
    <w:rsid w:val="00A14765"/>
    <w:rsid w:val="00A14ABB"/>
    <w:rsid w:val="00A1515F"/>
    <w:rsid w:val="00A153F3"/>
    <w:rsid w:val="00A15585"/>
    <w:rsid w:val="00A155F0"/>
    <w:rsid w:val="00A159E9"/>
    <w:rsid w:val="00A15A47"/>
    <w:rsid w:val="00A15B7A"/>
    <w:rsid w:val="00A15DE6"/>
    <w:rsid w:val="00A1603E"/>
    <w:rsid w:val="00A160D5"/>
    <w:rsid w:val="00A17359"/>
    <w:rsid w:val="00A175B0"/>
    <w:rsid w:val="00A17712"/>
    <w:rsid w:val="00A1794D"/>
    <w:rsid w:val="00A17B4A"/>
    <w:rsid w:val="00A208DE"/>
    <w:rsid w:val="00A20A2D"/>
    <w:rsid w:val="00A20D62"/>
    <w:rsid w:val="00A20E48"/>
    <w:rsid w:val="00A21041"/>
    <w:rsid w:val="00A2110C"/>
    <w:rsid w:val="00A2253B"/>
    <w:rsid w:val="00A22728"/>
    <w:rsid w:val="00A227C0"/>
    <w:rsid w:val="00A22DA2"/>
    <w:rsid w:val="00A23ACF"/>
    <w:rsid w:val="00A24A4B"/>
    <w:rsid w:val="00A24B54"/>
    <w:rsid w:val="00A24BA7"/>
    <w:rsid w:val="00A2501B"/>
    <w:rsid w:val="00A25498"/>
    <w:rsid w:val="00A257FB"/>
    <w:rsid w:val="00A2596B"/>
    <w:rsid w:val="00A25B48"/>
    <w:rsid w:val="00A262A8"/>
    <w:rsid w:val="00A263D3"/>
    <w:rsid w:val="00A263F2"/>
    <w:rsid w:val="00A2675C"/>
    <w:rsid w:val="00A26E00"/>
    <w:rsid w:val="00A2700C"/>
    <w:rsid w:val="00A27F0D"/>
    <w:rsid w:val="00A3001B"/>
    <w:rsid w:val="00A300F2"/>
    <w:rsid w:val="00A306B5"/>
    <w:rsid w:val="00A31793"/>
    <w:rsid w:val="00A31B43"/>
    <w:rsid w:val="00A31F01"/>
    <w:rsid w:val="00A320EC"/>
    <w:rsid w:val="00A33ABA"/>
    <w:rsid w:val="00A33B9D"/>
    <w:rsid w:val="00A33CDA"/>
    <w:rsid w:val="00A3419C"/>
    <w:rsid w:val="00A342D5"/>
    <w:rsid w:val="00A346DA"/>
    <w:rsid w:val="00A34C4F"/>
    <w:rsid w:val="00A350AA"/>
    <w:rsid w:val="00A351B2"/>
    <w:rsid w:val="00A356D1"/>
    <w:rsid w:val="00A359DF"/>
    <w:rsid w:val="00A35AAE"/>
    <w:rsid w:val="00A35E61"/>
    <w:rsid w:val="00A369C9"/>
    <w:rsid w:val="00A36EAF"/>
    <w:rsid w:val="00A37EE5"/>
    <w:rsid w:val="00A409B9"/>
    <w:rsid w:val="00A40FA3"/>
    <w:rsid w:val="00A410CB"/>
    <w:rsid w:val="00A4273F"/>
    <w:rsid w:val="00A4276D"/>
    <w:rsid w:val="00A42BA9"/>
    <w:rsid w:val="00A43327"/>
    <w:rsid w:val="00A43C0E"/>
    <w:rsid w:val="00A44560"/>
    <w:rsid w:val="00A44614"/>
    <w:rsid w:val="00A44A7D"/>
    <w:rsid w:val="00A44D13"/>
    <w:rsid w:val="00A459DA"/>
    <w:rsid w:val="00A45F67"/>
    <w:rsid w:val="00A46647"/>
    <w:rsid w:val="00A468B8"/>
    <w:rsid w:val="00A470A1"/>
    <w:rsid w:val="00A47210"/>
    <w:rsid w:val="00A47E04"/>
    <w:rsid w:val="00A47F7E"/>
    <w:rsid w:val="00A50040"/>
    <w:rsid w:val="00A50160"/>
    <w:rsid w:val="00A50520"/>
    <w:rsid w:val="00A5079F"/>
    <w:rsid w:val="00A512F9"/>
    <w:rsid w:val="00A51B64"/>
    <w:rsid w:val="00A51B92"/>
    <w:rsid w:val="00A51EE8"/>
    <w:rsid w:val="00A522B3"/>
    <w:rsid w:val="00A525FF"/>
    <w:rsid w:val="00A53FD4"/>
    <w:rsid w:val="00A545B6"/>
    <w:rsid w:val="00A548B0"/>
    <w:rsid w:val="00A54DC6"/>
    <w:rsid w:val="00A55507"/>
    <w:rsid w:val="00A558A0"/>
    <w:rsid w:val="00A561BF"/>
    <w:rsid w:val="00A5632A"/>
    <w:rsid w:val="00A56CCB"/>
    <w:rsid w:val="00A57156"/>
    <w:rsid w:val="00A57161"/>
    <w:rsid w:val="00A57162"/>
    <w:rsid w:val="00A5734B"/>
    <w:rsid w:val="00A57DE7"/>
    <w:rsid w:val="00A57E06"/>
    <w:rsid w:val="00A600CF"/>
    <w:rsid w:val="00A61135"/>
    <w:rsid w:val="00A61AB5"/>
    <w:rsid w:val="00A61CA9"/>
    <w:rsid w:val="00A61ED3"/>
    <w:rsid w:val="00A62313"/>
    <w:rsid w:val="00A623C4"/>
    <w:rsid w:val="00A62F58"/>
    <w:rsid w:val="00A645BD"/>
    <w:rsid w:val="00A65600"/>
    <w:rsid w:val="00A6566B"/>
    <w:rsid w:val="00A6575E"/>
    <w:rsid w:val="00A6579E"/>
    <w:rsid w:val="00A65DD3"/>
    <w:rsid w:val="00A65E81"/>
    <w:rsid w:val="00A66218"/>
    <w:rsid w:val="00A66B2C"/>
    <w:rsid w:val="00A66E94"/>
    <w:rsid w:val="00A676C7"/>
    <w:rsid w:val="00A679E9"/>
    <w:rsid w:val="00A67B9C"/>
    <w:rsid w:val="00A700A6"/>
    <w:rsid w:val="00A70206"/>
    <w:rsid w:val="00A704EA"/>
    <w:rsid w:val="00A7059F"/>
    <w:rsid w:val="00A705A5"/>
    <w:rsid w:val="00A70AA0"/>
    <w:rsid w:val="00A70C6C"/>
    <w:rsid w:val="00A711A5"/>
    <w:rsid w:val="00A718EA"/>
    <w:rsid w:val="00A721FE"/>
    <w:rsid w:val="00A72B5B"/>
    <w:rsid w:val="00A72BB8"/>
    <w:rsid w:val="00A72BF9"/>
    <w:rsid w:val="00A72F5B"/>
    <w:rsid w:val="00A731AE"/>
    <w:rsid w:val="00A733FD"/>
    <w:rsid w:val="00A7426F"/>
    <w:rsid w:val="00A749C3"/>
    <w:rsid w:val="00A749CF"/>
    <w:rsid w:val="00A74D70"/>
    <w:rsid w:val="00A75203"/>
    <w:rsid w:val="00A75347"/>
    <w:rsid w:val="00A75D85"/>
    <w:rsid w:val="00A7610C"/>
    <w:rsid w:val="00A763CA"/>
    <w:rsid w:val="00A765C3"/>
    <w:rsid w:val="00A76A97"/>
    <w:rsid w:val="00A76B1C"/>
    <w:rsid w:val="00A76CE3"/>
    <w:rsid w:val="00A77218"/>
    <w:rsid w:val="00A7789C"/>
    <w:rsid w:val="00A77AE5"/>
    <w:rsid w:val="00A802D7"/>
    <w:rsid w:val="00A81AFD"/>
    <w:rsid w:val="00A81CEC"/>
    <w:rsid w:val="00A81D11"/>
    <w:rsid w:val="00A82737"/>
    <w:rsid w:val="00A827F1"/>
    <w:rsid w:val="00A82CA7"/>
    <w:rsid w:val="00A83295"/>
    <w:rsid w:val="00A8377E"/>
    <w:rsid w:val="00A83856"/>
    <w:rsid w:val="00A83BC3"/>
    <w:rsid w:val="00A83CB3"/>
    <w:rsid w:val="00A83DA9"/>
    <w:rsid w:val="00A83E79"/>
    <w:rsid w:val="00A841E9"/>
    <w:rsid w:val="00A84641"/>
    <w:rsid w:val="00A84BE1"/>
    <w:rsid w:val="00A8529B"/>
    <w:rsid w:val="00A852E2"/>
    <w:rsid w:val="00A85738"/>
    <w:rsid w:val="00A86003"/>
    <w:rsid w:val="00A8609E"/>
    <w:rsid w:val="00A86240"/>
    <w:rsid w:val="00A862B1"/>
    <w:rsid w:val="00A8664B"/>
    <w:rsid w:val="00A86691"/>
    <w:rsid w:val="00A86E95"/>
    <w:rsid w:val="00A87D82"/>
    <w:rsid w:val="00A87EE8"/>
    <w:rsid w:val="00A9007A"/>
    <w:rsid w:val="00A90503"/>
    <w:rsid w:val="00A91164"/>
    <w:rsid w:val="00A92235"/>
    <w:rsid w:val="00A92341"/>
    <w:rsid w:val="00A9407A"/>
    <w:rsid w:val="00A9419C"/>
    <w:rsid w:val="00A94C73"/>
    <w:rsid w:val="00A94FA0"/>
    <w:rsid w:val="00A95079"/>
    <w:rsid w:val="00A95267"/>
    <w:rsid w:val="00A96515"/>
    <w:rsid w:val="00A96823"/>
    <w:rsid w:val="00A96BA0"/>
    <w:rsid w:val="00A96F40"/>
    <w:rsid w:val="00A970EC"/>
    <w:rsid w:val="00AA01DC"/>
    <w:rsid w:val="00AA09C3"/>
    <w:rsid w:val="00AA126C"/>
    <w:rsid w:val="00AA158F"/>
    <w:rsid w:val="00AA1662"/>
    <w:rsid w:val="00AA16F4"/>
    <w:rsid w:val="00AA1793"/>
    <w:rsid w:val="00AA18B3"/>
    <w:rsid w:val="00AA1B82"/>
    <w:rsid w:val="00AA253C"/>
    <w:rsid w:val="00AA2AAB"/>
    <w:rsid w:val="00AA2C2E"/>
    <w:rsid w:val="00AA2F71"/>
    <w:rsid w:val="00AA305C"/>
    <w:rsid w:val="00AA39A9"/>
    <w:rsid w:val="00AA3DCF"/>
    <w:rsid w:val="00AA42A5"/>
    <w:rsid w:val="00AA42BB"/>
    <w:rsid w:val="00AA4577"/>
    <w:rsid w:val="00AA480F"/>
    <w:rsid w:val="00AA4A6A"/>
    <w:rsid w:val="00AA4F7C"/>
    <w:rsid w:val="00AA50CE"/>
    <w:rsid w:val="00AA55CA"/>
    <w:rsid w:val="00AA5929"/>
    <w:rsid w:val="00AA5A36"/>
    <w:rsid w:val="00AA5E3D"/>
    <w:rsid w:val="00AA5E80"/>
    <w:rsid w:val="00AA61C2"/>
    <w:rsid w:val="00AA77F0"/>
    <w:rsid w:val="00AA7A20"/>
    <w:rsid w:val="00AB071F"/>
    <w:rsid w:val="00AB0858"/>
    <w:rsid w:val="00AB0C8D"/>
    <w:rsid w:val="00AB17A3"/>
    <w:rsid w:val="00AB1A39"/>
    <w:rsid w:val="00AB1A79"/>
    <w:rsid w:val="00AB21D4"/>
    <w:rsid w:val="00AB26AF"/>
    <w:rsid w:val="00AB2AD4"/>
    <w:rsid w:val="00AB2D19"/>
    <w:rsid w:val="00AB2D66"/>
    <w:rsid w:val="00AB3105"/>
    <w:rsid w:val="00AB3158"/>
    <w:rsid w:val="00AB3233"/>
    <w:rsid w:val="00AB3D90"/>
    <w:rsid w:val="00AB3E38"/>
    <w:rsid w:val="00AB3F8E"/>
    <w:rsid w:val="00AB47C0"/>
    <w:rsid w:val="00AB49B9"/>
    <w:rsid w:val="00AB5226"/>
    <w:rsid w:val="00AB5785"/>
    <w:rsid w:val="00AB6194"/>
    <w:rsid w:val="00AB621A"/>
    <w:rsid w:val="00AB687B"/>
    <w:rsid w:val="00AB6EC7"/>
    <w:rsid w:val="00AB7731"/>
    <w:rsid w:val="00AB7C3E"/>
    <w:rsid w:val="00AC05B0"/>
    <w:rsid w:val="00AC0EAC"/>
    <w:rsid w:val="00AC15D6"/>
    <w:rsid w:val="00AC18FE"/>
    <w:rsid w:val="00AC2138"/>
    <w:rsid w:val="00AC21BD"/>
    <w:rsid w:val="00AC238D"/>
    <w:rsid w:val="00AC2637"/>
    <w:rsid w:val="00AC29D7"/>
    <w:rsid w:val="00AC2CB2"/>
    <w:rsid w:val="00AC2D4E"/>
    <w:rsid w:val="00AC3424"/>
    <w:rsid w:val="00AC3D9D"/>
    <w:rsid w:val="00AC4390"/>
    <w:rsid w:val="00AC4551"/>
    <w:rsid w:val="00AC4AE6"/>
    <w:rsid w:val="00AC51D9"/>
    <w:rsid w:val="00AC5588"/>
    <w:rsid w:val="00AC55FD"/>
    <w:rsid w:val="00AC5ECE"/>
    <w:rsid w:val="00AC5EEB"/>
    <w:rsid w:val="00AC60E9"/>
    <w:rsid w:val="00AC6605"/>
    <w:rsid w:val="00AC66F3"/>
    <w:rsid w:val="00AC7490"/>
    <w:rsid w:val="00AC7E83"/>
    <w:rsid w:val="00AD0166"/>
    <w:rsid w:val="00AD0309"/>
    <w:rsid w:val="00AD068B"/>
    <w:rsid w:val="00AD1C70"/>
    <w:rsid w:val="00AD1CE5"/>
    <w:rsid w:val="00AD267F"/>
    <w:rsid w:val="00AD2A3D"/>
    <w:rsid w:val="00AD2ABB"/>
    <w:rsid w:val="00AD31CD"/>
    <w:rsid w:val="00AD3855"/>
    <w:rsid w:val="00AD3E7F"/>
    <w:rsid w:val="00AD4431"/>
    <w:rsid w:val="00AD45F7"/>
    <w:rsid w:val="00AD48B6"/>
    <w:rsid w:val="00AD48D5"/>
    <w:rsid w:val="00AD49A8"/>
    <w:rsid w:val="00AD552C"/>
    <w:rsid w:val="00AD5909"/>
    <w:rsid w:val="00AD5BE9"/>
    <w:rsid w:val="00AD5DF1"/>
    <w:rsid w:val="00AD5F11"/>
    <w:rsid w:val="00AD63E4"/>
    <w:rsid w:val="00AD67C5"/>
    <w:rsid w:val="00AD7567"/>
    <w:rsid w:val="00AD7A90"/>
    <w:rsid w:val="00AD7A94"/>
    <w:rsid w:val="00AD7D5B"/>
    <w:rsid w:val="00AE0C8E"/>
    <w:rsid w:val="00AE0D02"/>
    <w:rsid w:val="00AE0DAD"/>
    <w:rsid w:val="00AE14C5"/>
    <w:rsid w:val="00AE1AA5"/>
    <w:rsid w:val="00AE1B40"/>
    <w:rsid w:val="00AE1D5A"/>
    <w:rsid w:val="00AE1F0E"/>
    <w:rsid w:val="00AE2579"/>
    <w:rsid w:val="00AE2B4A"/>
    <w:rsid w:val="00AE2F43"/>
    <w:rsid w:val="00AE3761"/>
    <w:rsid w:val="00AE3BDC"/>
    <w:rsid w:val="00AE44C0"/>
    <w:rsid w:val="00AE4912"/>
    <w:rsid w:val="00AE5CE8"/>
    <w:rsid w:val="00AE6242"/>
    <w:rsid w:val="00AE63F0"/>
    <w:rsid w:val="00AE6AC9"/>
    <w:rsid w:val="00AE710B"/>
    <w:rsid w:val="00AE7414"/>
    <w:rsid w:val="00AE74BA"/>
    <w:rsid w:val="00AE7EA9"/>
    <w:rsid w:val="00AF036A"/>
    <w:rsid w:val="00AF04C1"/>
    <w:rsid w:val="00AF07CF"/>
    <w:rsid w:val="00AF0A75"/>
    <w:rsid w:val="00AF0BDE"/>
    <w:rsid w:val="00AF1BED"/>
    <w:rsid w:val="00AF22C7"/>
    <w:rsid w:val="00AF292A"/>
    <w:rsid w:val="00AF29B4"/>
    <w:rsid w:val="00AF2A66"/>
    <w:rsid w:val="00AF2E0F"/>
    <w:rsid w:val="00AF40CE"/>
    <w:rsid w:val="00AF4217"/>
    <w:rsid w:val="00AF4505"/>
    <w:rsid w:val="00AF4506"/>
    <w:rsid w:val="00AF45E2"/>
    <w:rsid w:val="00AF45F3"/>
    <w:rsid w:val="00AF47E3"/>
    <w:rsid w:val="00AF631B"/>
    <w:rsid w:val="00AF64CC"/>
    <w:rsid w:val="00AF7274"/>
    <w:rsid w:val="00AF7BA8"/>
    <w:rsid w:val="00AF7D2C"/>
    <w:rsid w:val="00B013EB"/>
    <w:rsid w:val="00B01ACB"/>
    <w:rsid w:val="00B01C22"/>
    <w:rsid w:val="00B0222E"/>
    <w:rsid w:val="00B02341"/>
    <w:rsid w:val="00B024FA"/>
    <w:rsid w:val="00B026FE"/>
    <w:rsid w:val="00B0276C"/>
    <w:rsid w:val="00B02AC9"/>
    <w:rsid w:val="00B0443A"/>
    <w:rsid w:val="00B04607"/>
    <w:rsid w:val="00B04929"/>
    <w:rsid w:val="00B04AA2"/>
    <w:rsid w:val="00B04F4E"/>
    <w:rsid w:val="00B050A0"/>
    <w:rsid w:val="00B0516C"/>
    <w:rsid w:val="00B054E2"/>
    <w:rsid w:val="00B055C3"/>
    <w:rsid w:val="00B061DC"/>
    <w:rsid w:val="00B06578"/>
    <w:rsid w:val="00B065F5"/>
    <w:rsid w:val="00B06D79"/>
    <w:rsid w:val="00B06D9C"/>
    <w:rsid w:val="00B06F2C"/>
    <w:rsid w:val="00B072C5"/>
    <w:rsid w:val="00B0735F"/>
    <w:rsid w:val="00B0740E"/>
    <w:rsid w:val="00B07D01"/>
    <w:rsid w:val="00B07E51"/>
    <w:rsid w:val="00B07EA6"/>
    <w:rsid w:val="00B10671"/>
    <w:rsid w:val="00B11416"/>
    <w:rsid w:val="00B127B1"/>
    <w:rsid w:val="00B12DB1"/>
    <w:rsid w:val="00B14676"/>
    <w:rsid w:val="00B14697"/>
    <w:rsid w:val="00B14940"/>
    <w:rsid w:val="00B14D5D"/>
    <w:rsid w:val="00B1566C"/>
    <w:rsid w:val="00B15800"/>
    <w:rsid w:val="00B16746"/>
    <w:rsid w:val="00B167E9"/>
    <w:rsid w:val="00B16CE7"/>
    <w:rsid w:val="00B17519"/>
    <w:rsid w:val="00B177C0"/>
    <w:rsid w:val="00B20E0F"/>
    <w:rsid w:val="00B21085"/>
    <w:rsid w:val="00B21406"/>
    <w:rsid w:val="00B219A8"/>
    <w:rsid w:val="00B21B17"/>
    <w:rsid w:val="00B2211B"/>
    <w:rsid w:val="00B225D8"/>
    <w:rsid w:val="00B22725"/>
    <w:rsid w:val="00B227DC"/>
    <w:rsid w:val="00B22C1F"/>
    <w:rsid w:val="00B23407"/>
    <w:rsid w:val="00B235C7"/>
    <w:rsid w:val="00B23D3A"/>
    <w:rsid w:val="00B23E4E"/>
    <w:rsid w:val="00B240AB"/>
    <w:rsid w:val="00B24903"/>
    <w:rsid w:val="00B24D99"/>
    <w:rsid w:val="00B25058"/>
    <w:rsid w:val="00B251BB"/>
    <w:rsid w:val="00B2552E"/>
    <w:rsid w:val="00B25A52"/>
    <w:rsid w:val="00B25EC9"/>
    <w:rsid w:val="00B25F29"/>
    <w:rsid w:val="00B26567"/>
    <w:rsid w:val="00B27841"/>
    <w:rsid w:val="00B27884"/>
    <w:rsid w:val="00B278C5"/>
    <w:rsid w:val="00B27C7D"/>
    <w:rsid w:val="00B27DE9"/>
    <w:rsid w:val="00B3022E"/>
    <w:rsid w:val="00B30448"/>
    <w:rsid w:val="00B30528"/>
    <w:rsid w:val="00B3089C"/>
    <w:rsid w:val="00B30B02"/>
    <w:rsid w:val="00B3126B"/>
    <w:rsid w:val="00B313EA"/>
    <w:rsid w:val="00B31879"/>
    <w:rsid w:val="00B3249C"/>
    <w:rsid w:val="00B32967"/>
    <w:rsid w:val="00B33313"/>
    <w:rsid w:val="00B33518"/>
    <w:rsid w:val="00B338A2"/>
    <w:rsid w:val="00B34D23"/>
    <w:rsid w:val="00B35F00"/>
    <w:rsid w:val="00B3660E"/>
    <w:rsid w:val="00B36977"/>
    <w:rsid w:val="00B3790C"/>
    <w:rsid w:val="00B37C69"/>
    <w:rsid w:val="00B37FE1"/>
    <w:rsid w:val="00B400AD"/>
    <w:rsid w:val="00B406F4"/>
    <w:rsid w:val="00B40F6D"/>
    <w:rsid w:val="00B41347"/>
    <w:rsid w:val="00B41AE5"/>
    <w:rsid w:val="00B423F3"/>
    <w:rsid w:val="00B4240C"/>
    <w:rsid w:val="00B427EB"/>
    <w:rsid w:val="00B429E5"/>
    <w:rsid w:val="00B42E5B"/>
    <w:rsid w:val="00B42E93"/>
    <w:rsid w:val="00B42E9F"/>
    <w:rsid w:val="00B4318D"/>
    <w:rsid w:val="00B448ED"/>
    <w:rsid w:val="00B45597"/>
    <w:rsid w:val="00B464FF"/>
    <w:rsid w:val="00B4681F"/>
    <w:rsid w:val="00B46822"/>
    <w:rsid w:val="00B4698C"/>
    <w:rsid w:val="00B4753E"/>
    <w:rsid w:val="00B504C8"/>
    <w:rsid w:val="00B507BE"/>
    <w:rsid w:val="00B50F94"/>
    <w:rsid w:val="00B510D4"/>
    <w:rsid w:val="00B513DC"/>
    <w:rsid w:val="00B51487"/>
    <w:rsid w:val="00B51762"/>
    <w:rsid w:val="00B51B73"/>
    <w:rsid w:val="00B51C4C"/>
    <w:rsid w:val="00B52434"/>
    <w:rsid w:val="00B52B05"/>
    <w:rsid w:val="00B52C10"/>
    <w:rsid w:val="00B52E8F"/>
    <w:rsid w:val="00B54426"/>
    <w:rsid w:val="00B54814"/>
    <w:rsid w:val="00B54D0D"/>
    <w:rsid w:val="00B54F56"/>
    <w:rsid w:val="00B56ADF"/>
    <w:rsid w:val="00B56D8C"/>
    <w:rsid w:val="00B57483"/>
    <w:rsid w:val="00B5764A"/>
    <w:rsid w:val="00B603E4"/>
    <w:rsid w:val="00B60468"/>
    <w:rsid w:val="00B605FE"/>
    <w:rsid w:val="00B60663"/>
    <w:rsid w:val="00B608DB"/>
    <w:rsid w:val="00B614F5"/>
    <w:rsid w:val="00B62493"/>
    <w:rsid w:val="00B635C0"/>
    <w:rsid w:val="00B63898"/>
    <w:rsid w:val="00B639EF"/>
    <w:rsid w:val="00B63D61"/>
    <w:rsid w:val="00B6441F"/>
    <w:rsid w:val="00B64544"/>
    <w:rsid w:val="00B6482A"/>
    <w:rsid w:val="00B6493E"/>
    <w:rsid w:val="00B64D40"/>
    <w:rsid w:val="00B65E76"/>
    <w:rsid w:val="00B66583"/>
    <w:rsid w:val="00B675AC"/>
    <w:rsid w:val="00B67668"/>
    <w:rsid w:val="00B67ADE"/>
    <w:rsid w:val="00B67DC9"/>
    <w:rsid w:val="00B67F3C"/>
    <w:rsid w:val="00B67F98"/>
    <w:rsid w:val="00B70559"/>
    <w:rsid w:val="00B708C0"/>
    <w:rsid w:val="00B70921"/>
    <w:rsid w:val="00B70F2A"/>
    <w:rsid w:val="00B71278"/>
    <w:rsid w:val="00B720CB"/>
    <w:rsid w:val="00B72414"/>
    <w:rsid w:val="00B7255C"/>
    <w:rsid w:val="00B7268D"/>
    <w:rsid w:val="00B72E9E"/>
    <w:rsid w:val="00B73045"/>
    <w:rsid w:val="00B7325D"/>
    <w:rsid w:val="00B734CA"/>
    <w:rsid w:val="00B73580"/>
    <w:rsid w:val="00B735D1"/>
    <w:rsid w:val="00B7399B"/>
    <w:rsid w:val="00B73A1A"/>
    <w:rsid w:val="00B743EB"/>
    <w:rsid w:val="00B74D4D"/>
    <w:rsid w:val="00B74D68"/>
    <w:rsid w:val="00B75E6C"/>
    <w:rsid w:val="00B75FAC"/>
    <w:rsid w:val="00B762FC"/>
    <w:rsid w:val="00B77659"/>
    <w:rsid w:val="00B776AB"/>
    <w:rsid w:val="00B779F9"/>
    <w:rsid w:val="00B80087"/>
    <w:rsid w:val="00B805E0"/>
    <w:rsid w:val="00B806D0"/>
    <w:rsid w:val="00B811AF"/>
    <w:rsid w:val="00B811F8"/>
    <w:rsid w:val="00B812CE"/>
    <w:rsid w:val="00B8179E"/>
    <w:rsid w:val="00B817D0"/>
    <w:rsid w:val="00B81822"/>
    <w:rsid w:val="00B81D3B"/>
    <w:rsid w:val="00B83138"/>
    <w:rsid w:val="00B8372A"/>
    <w:rsid w:val="00B8438B"/>
    <w:rsid w:val="00B845E0"/>
    <w:rsid w:val="00B8460E"/>
    <w:rsid w:val="00B84A2D"/>
    <w:rsid w:val="00B850B7"/>
    <w:rsid w:val="00B854BC"/>
    <w:rsid w:val="00B85B5E"/>
    <w:rsid w:val="00B863CA"/>
    <w:rsid w:val="00B8683B"/>
    <w:rsid w:val="00B86B85"/>
    <w:rsid w:val="00B86BE2"/>
    <w:rsid w:val="00B86D90"/>
    <w:rsid w:val="00B86FA0"/>
    <w:rsid w:val="00B87370"/>
    <w:rsid w:val="00B87744"/>
    <w:rsid w:val="00B878B2"/>
    <w:rsid w:val="00B90190"/>
    <w:rsid w:val="00B90385"/>
    <w:rsid w:val="00B9102A"/>
    <w:rsid w:val="00B912C9"/>
    <w:rsid w:val="00B917A7"/>
    <w:rsid w:val="00B91E8B"/>
    <w:rsid w:val="00B922A8"/>
    <w:rsid w:val="00B92831"/>
    <w:rsid w:val="00B92B77"/>
    <w:rsid w:val="00B92F0D"/>
    <w:rsid w:val="00B92FC3"/>
    <w:rsid w:val="00B93EF4"/>
    <w:rsid w:val="00B94625"/>
    <w:rsid w:val="00B9549C"/>
    <w:rsid w:val="00B9562F"/>
    <w:rsid w:val="00B9588D"/>
    <w:rsid w:val="00B95A60"/>
    <w:rsid w:val="00B9612C"/>
    <w:rsid w:val="00B96673"/>
    <w:rsid w:val="00B9712A"/>
    <w:rsid w:val="00B973D3"/>
    <w:rsid w:val="00B97488"/>
    <w:rsid w:val="00B979D7"/>
    <w:rsid w:val="00B97BEC"/>
    <w:rsid w:val="00BA062C"/>
    <w:rsid w:val="00BA0900"/>
    <w:rsid w:val="00BA0BD0"/>
    <w:rsid w:val="00BA12CF"/>
    <w:rsid w:val="00BA1828"/>
    <w:rsid w:val="00BA244A"/>
    <w:rsid w:val="00BA3982"/>
    <w:rsid w:val="00BA3D4F"/>
    <w:rsid w:val="00BA5066"/>
    <w:rsid w:val="00BA539C"/>
    <w:rsid w:val="00BA6146"/>
    <w:rsid w:val="00BA6B69"/>
    <w:rsid w:val="00BA6F13"/>
    <w:rsid w:val="00BA74B6"/>
    <w:rsid w:val="00BA79CB"/>
    <w:rsid w:val="00BA7C33"/>
    <w:rsid w:val="00BA7C69"/>
    <w:rsid w:val="00BA7E6E"/>
    <w:rsid w:val="00BB000F"/>
    <w:rsid w:val="00BB00FE"/>
    <w:rsid w:val="00BB0372"/>
    <w:rsid w:val="00BB0C28"/>
    <w:rsid w:val="00BB0D4B"/>
    <w:rsid w:val="00BB1224"/>
    <w:rsid w:val="00BB164F"/>
    <w:rsid w:val="00BB2512"/>
    <w:rsid w:val="00BB2B20"/>
    <w:rsid w:val="00BB2E3D"/>
    <w:rsid w:val="00BB390C"/>
    <w:rsid w:val="00BB39DE"/>
    <w:rsid w:val="00BB3A7D"/>
    <w:rsid w:val="00BB41C0"/>
    <w:rsid w:val="00BB45D3"/>
    <w:rsid w:val="00BB4B19"/>
    <w:rsid w:val="00BB4BC7"/>
    <w:rsid w:val="00BB5534"/>
    <w:rsid w:val="00BB5573"/>
    <w:rsid w:val="00BB58A7"/>
    <w:rsid w:val="00BB6407"/>
    <w:rsid w:val="00BB65E2"/>
    <w:rsid w:val="00BB6A18"/>
    <w:rsid w:val="00BB7250"/>
    <w:rsid w:val="00BB73A3"/>
    <w:rsid w:val="00BC060F"/>
    <w:rsid w:val="00BC09A8"/>
    <w:rsid w:val="00BC0D7D"/>
    <w:rsid w:val="00BC14CA"/>
    <w:rsid w:val="00BC18E1"/>
    <w:rsid w:val="00BC1E50"/>
    <w:rsid w:val="00BC20CB"/>
    <w:rsid w:val="00BC26C1"/>
    <w:rsid w:val="00BC2960"/>
    <w:rsid w:val="00BC2AFD"/>
    <w:rsid w:val="00BC2CB4"/>
    <w:rsid w:val="00BC2E05"/>
    <w:rsid w:val="00BC32B3"/>
    <w:rsid w:val="00BC3403"/>
    <w:rsid w:val="00BC351C"/>
    <w:rsid w:val="00BC3B26"/>
    <w:rsid w:val="00BC4025"/>
    <w:rsid w:val="00BC414C"/>
    <w:rsid w:val="00BC42F7"/>
    <w:rsid w:val="00BC432F"/>
    <w:rsid w:val="00BC46FC"/>
    <w:rsid w:val="00BC4ED9"/>
    <w:rsid w:val="00BC5278"/>
    <w:rsid w:val="00BC56FF"/>
    <w:rsid w:val="00BC5878"/>
    <w:rsid w:val="00BC5C99"/>
    <w:rsid w:val="00BC6EC0"/>
    <w:rsid w:val="00BC7942"/>
    <w:rsid w:val="00BC7E77"/>
    <w:rsid w:val="00BD0149"/>
    <w:rsid w:val="00BD072E"/>
    <w:rsid w:val="00BD1B2B"/>
    <w:rsid w:val="00BD2132"/>
    <w:rsid w:val="00BD2293"/>
    <w:rsid w:val="00BD27C1"/>
    <w:rsid w:val="00BD2881"/>
    <w:rsid w:val="00BD2FFC"/>
    <w:rsid w:val="00BD396A"/>
    <w:rsid w:val="00BD45DD"/>
    <w:rsid w:val="00BD4A1B"/>
    <w:rsid w:val="00BD4B1C"/>
    <w:rsid w:val="00BD57D9"/>
    <w:rsid w:val="00BD5CFB"/>
    <w:rsid w:val="00BD5F74"/>
    <w:rsid w:val="00BD62A1"/>
    <w:rsid w:val="00BD65A0"/>
    <w:rsid w:val="00BD67CB"/>
    <w:rsid w:val="00BD6B00"/>
    <w:rsid w:val="00BD6BD8"/>
    <w:rsid w:val="00BD7496"/>
    <w:rsid w:val="00BD74B5"/>
    <w:rsid w:val="00BD74CD"/>
    <w:rsid w:val="00BD79EF"/>
    <w:rsid w:val="00BD7F0B"/>
    <w:rsid w:val="00BE0133"/>
    <w:rsid w:val="00BE05E2"/>
    <w:rsid w:val="00BE1851"/>
    <w:rsid w:val="00BE233D"/>
    <w:rsid w:val="00BE282B"/>
    <w:rsid w:val="00BE396E"/>
    <w:rsid w:val="00BE3AEE"/>
    <w:rsid w:val="00BE4813"/>
    <w:rsid w:val="00BE490B"/>
    <w:rsid w:val="00BE4D92"/>
    <w:rsid w:val="00BE4ED1"/>
    <w:rsid w:val="00BE4F24"/>
    <w:rsid w:val="00BE4F70"/>
    <w:rsid w:val="00BE50E3"/>
    <w:rsid w:val="00BE537C"/>
    <w:rsid w:val="00BE542C"/>
    <w:rsid w:val="00BE5678"/>
    <w:rsid w:val="00BE5794"/>
    <w:rsid w:val="00BE5BFD"/>
    <w:rsid w:val="00BE609C"/>
    <w:rsid w:val="00BE63BB"/>
    <w:rsid w:val="00BE68EA"/>
    <w:rsid w:val="00BE6CAB"/>
    <w:rsid w:val="00BE75C6"/>
    <w:rsid w:val="00BE783C"/>
    <w:rsid w:val="00BF0954"/>
    <w:rsid w:val="00BF0BA4"/>
    <w:rsid w:val="00BF0E46"/>
    <w:rsid w:val="00BF1AAB"/>
    <w:rsid w:val="00BF246A"/>
    <w:rsid w:val="00BF27D6"/>
    <w:rsid w:val="00BF2AD4"/>
    <w:rsid w:val="00BF2F1B"/>
    <w:rsid w:val="00BF32AA"/>
    <w:rsid w:val="00BF3426"/>
    <w:rsid w:val="00BF35DF"/>
    <w:rsid w:val="00BF3885"/>
    <w:rsid w:val="00BF39F1"/>
    <w:rsid w:val="00BF3B61"/>
    <w:rsid w:val="00BF3D94"/>
    <w:rsid w:val="00BF3E99"/>
    <w:rsid w:val="00BF4B80"/>
    <w:rsid w:val="00BF4D9D"/>
    <w:rsid w:val="00BF4DDA"/>
    <w:rsid w:val="00BF4F91"/>
    <w:rsid w:val="00BF5DC1"/>
    <w:rsid w:val="00BF5DE9"/>
    <w:rsid w:val="00BF6251"/>
    <w:rsid w:val="00BF6593"/>
    <w:rsid w:val="00BF6A71"/>
    <w:rsid w:val="00BF6F14"/>
    <w:rsid w:val="00BF7B7B"/>
    <w:rsid w:val="00C00544"/>
    <w:rsid w:val="00C00AB4"/>
    <w:rsid w:val="00C011DD"/>
    <w:rsid w:val="00C01388"/>
    <w:rsid w:val="00C0142C"/>
    <w:rsid w:val="00C01640"/>
    <w:rsid w:val="00C020BB"/>
    <w:rsid w:val="00C02242"/>
    <w:rsid w:val="00C022BC"/>
    <w:rsid w:val="00C0257A"/>
    <w:rsid w:val="00C0282C"/>
    <w:rsid w:val="00C02AE0"/>
    <w:rsid w:val="00C02BE8"/>
    <w:rsid w:val="00C0341E"/>
    <w:rsid w:val="00C036A3"/>
    <w:rsid w:val="00C036BC"/>
    <w:rsid w:val="00C041A1"/>
    <w:rsid w:val="00C04937"/>
    <w:rsid w:val="00C04CF3"/>
    <w:rsid w:val="00C04D6E"/>
    <w:rsid w:val="00C04DD2"/>
    <w:rsid w:val="00C04EF4"/>
    <w:rsid w:val="00C05397"/>
    <w:rsid w:val="00C068EA"/>
    <w:rsid w:val="00C06AF0"/>
    <w:rsid w:val="00C06BB4"/>
    <w:rsid w:val="00C06CDD"/>
    <w:rsid w:val="00C06ECA"/>
    <w:rsid w:val="00C06FAE"/>
    <w:rsid w:val="00C07F29"/>
    <w:rsid w:val="00C1015E"/>
    <w:rsid w:val="00C10896"/>
    <w:rsid w:val="00C12133"/>
    <w:rsid w:val="00C1280A"/>
    <w:rsid w:val="00C133A9"/>
    <w:rsid w:val="00C135ED"/>
    <w:rsid w:val="00C13882"/>
    <w:rsid w:val="00C13D29"/>
    <w:rsid w:val="00C1408F"/>
    <w:rsid w:val="00C143A2"/>
    <w:rsid w:val="00C143FF"/>
    <w:rsid w:val="00C14A35"/>
    <w:rsid w:val="00C162C9"/>
    <w:rsid w:val="00C1634A"/>
    <w:rsid w:val="00C163B4"/>
    <w:rsid w:val="00C163C1"/>
    <w:rsid w:val="00C16AD2"/>
    <w:rsid w:val="00C16D86"/>
    <w:rsid w:val="00C17034"/>
    <w:rsid w:val="00C17348"/>
    <w:rsid w:val="00C174F8"/>
    <w:rsid w:val="00C17DE7"/>
    <w:rsid w:val="00C20851"/>
    <w:rsid w:val="00C20D52"/>
    <w:rsid w:val="00C21435"/>
    <w:rsid w:val="00C2164F"/>
    <w:rsid w:val="00C22264"/>
    <w:rsid w:val="00C22533"/>
    <w:rsid w:val="00C22B9C"/>
    <w:rsid w:val="00C234C0"/>
    <w:rsid w:val="00C236C5"/>
    <w:rsid w:val="00C24255"/>
    <w:rsid w:val="00C249D8"/>
    <w:rsid w:val="00C25636"/>
    <w:rsid w:val="00C257F9"/>
    <w:rsid w:val="00C25880"/>
    <w:rsid w:val="00C263CF"/>
    <w:rsid w:val="00C2755F"/>
    <w:rsid w:val="00C3005E"/>
    <w:rsid w:val="00C3032A"/>
    <w:rsid w:val="00C3033D"/>
    <w:rsid w:val="00C3079F"/>
    <w:rsid w:val="00C30D5B"/>
    <w:rsid w:val="00C30ED9"/>
    <w:rsid w:val="00C311B1"/>
    <w:rsid w:val="00C31944"/>
    <w:rsid w:val="00C320FA"/>
    <w:rsid w:val="00C329B5"/>
    <w:rsid w:val="00C32EB5"/>
    <w:rsid w:val="00C33809"/>
    <w:rsid w:val="00C34042"/>
    <w:rsid w:val="00C344CB"/>
    <w:rsid w:val="00C34BDF"/>
    <w:rsid w:val="00C3559C"/>
    <w:rsid w:val="00C3584D"/>
    <w:rsid w:val="00C36198"/>
    <w:rsid w:val="00C36215"/>
    <w:rsid w:val="00C36386"/>
    <w:rsid w:val="00C369E0"/>
    <w:rsid w:val="00C36F50"/>
    <w:rsid w:val="00C37200"/>
    <w:rsid w:val="00C372DD"/>
    <w:rsid w:val="00C374F9"/>
    <w:rsid w:val="00C376F8"/>
    <w:rsid w:val="00C377E1"/>
    <w:rsid w:val="00C37AA7"/>
    <w:rsid w:val="00C37F24"/>
    <w:rsid w:val="00C40D8C"/>
    <w:rsid w:val="00C40E37"/>
    <w:rsid w:val="00C40EA5"/>
    <w:rsid w:val="00C40FC4"/>
    <w:rsid w:val="00C410A6"/>
    <w:rsid w:val="00C427C1"/>
    <w:rsid w:val="00C4284C"/>
    <w:rsid w:val="00C429C9"/>
    <w:rsid w:val="00C42A24"/>
    <w:rsid w:val="00C43228"/>
    <w:rsid w:val="00C435D9"/>
    <w:rsid w:val="00C43BC5"/>
    <w:rsid w:val="00C43FAF"/>
    <w:rsid w:val="00C444BE"/>
    <w:rsid w:val="00C4513B"/>
    <w:rsid w:val="00C45F20"/>
    <w:rsid w:val="00C45FDE"/>
    <w:rsid w:val="00C4703A"/>
    <w:rsid w:val="00C470DD"/>
    <w:rsid w:val="00C4738F"/>
    <w:rsid w:val="00C4781C"/>
    <w:rsid w:val="00C50246"/>
    <w:rsid w:val="00C503EB"/>
    <w:rsid w:val="00C50C8B"/>
    <w:rsid w:val="00C5113D"/>
    <w:rsid w:val="00C51349"/>
    <w:rsid w:val="00C5164F"/>
    <w:rsid w:val="00C51EA4"/>
    <w:rsid w:val="00C52398"/>
    <w:rsid w:val="00C52788"/>
    <w:rsid w:val="00C52AF3"/>
    <w:rsid w:val="00C52C27"/>
    <w:rsid w:val="00C52EE9"/>
    <w:rsid w:val="00C52F35"/>
    <w:rsid w:val="00C53A38"/>
    <w:rsid w:val="00C53CDC"/>
    <w:rsid w:val="00C54BB3"/>
    <w:rsid w:val="00C552B2"/>
    <w:rsid w:val="00C55438"/>
    <w:rsid w:val="00C556BE"/>
    <w:rsid w:val="00C55BEE"/>
    <w:rsid w:val="00C562C0"/>
    <w:rsid w:val="00C5649D"/>
    <w:rsid w:val="00C5704D"/>
    <w:rsid w:val="00C57738"/>
    <w:rsid w:val="00C57FC3"/>
    <w:rsid w:val="00C600F0"/>
    <w:rsid w:val="00C60555"/>
    <w:rsid w:val="00C6059A"/>
    <w:rsid w:val="00C60996"/>
    <w:rsid w:val="00C610A7"/>
    <w:rsid w:val="00C6167F"/>
    <w:rsid w:val="00C6169C"/>
    <w:rsid w:val="00C618AD"/>
    <w:rsid w:val="00C62019"/>
    <w:rsid w:val="00C6258D"/>
    <w:rsid w:val="00C62B2F"/>
    <w:rsid w:val="00C62CD6"/>
    <w:rsid w:val="00C62F0C"/>
    <w:rsid w:val="00C635B7"/>
    <w:rsid w:val="00C64099"/>
    <w:rsid w:val="00C65183"/>
    <w:rsid w:val="00C65683"/>
    <w:rsid w:val="00C66E7A"/>
    <w:rsid w:val="00C67003"/>
    <w:rsid w:val="00C67934"/>
    <w:rsid w:val="00C67AAD"/>
    <w:rsid w:val="00C70B16"/>
    <w:rsid w:val="00C70B27"/>
    <w:rsid w:val="00C70C30"/>
    <w:rsid w:val="00C71BE3"/>
    <w:rsid w:val="00C71C63"/>
    <w:rsid w:val="00C71C98"/>
    <w:rsid w:val="00C71D16"/>
    <w:rsid w:val="00C71EF4"/>
    <w:rsid w:val="00C72184"/>
    <w:rsid w:val="00C72C29"/>
    <w:rsid w:val="00C731D8"/>
    <w:rsid w:val="00C73429"/>
    <w:rsid w:val="00C7357E"/>
    <w:rsid w:val="00C73F9D"/>
    <w:rsid w:val="00C746C5"/>
    <w:rsid w:val="00C74B35"/>
    <w:rsid w:val="00C74DEE"/>
    <w:rsid w:val="00C751FB"/>
    <w:rsid w:val="00C7534E"/>
    <w:rsid w:val="00C756F4"/>
    <w:rsid w:val="00C7570C"/>
    <w:rsid w:val="00C75CF1"/>
    <w:rsid w:val="00C75D7E"/>
    <w:rsid w:val="00C76465"/>
    <w:rsid w:val="00C76BE2"/>
    <w:rsid w:val="00C76D13"/>
    <w:rsid w:val="00C77B8A"/>
    <w:rsid w:val="00C80741"/>
    <w:rsid w:val="00C80797"/>
    <w:rsid w:val="00C80B63"/>
    <w:rsid w:val="00C81744"/>
    <w:rsid w:val="00C81B6E"/>
    <w:rsid w:val="00C81BA3"/>
    <w:rsid w:val="00C82804"/>
    <w:rsid w:val="00C83166"/>
    <w:rsid w:val="00C835EB"/>
    <w:rsid w:val="00C85200"/>
    <w:rsid w:val="00C85CFE"/>
    <w:rsid w:val="00C860BA"/>
    <w:rsid w:val="00C86178"/>
    <w:rsid w:val="00C8627F"/>
    <w:rsid w:val="00C86D69"/>
    <w:rsid w:val="00C86E3F"/>
    <w:rsid w:val="00C87105"/>
    <w:rsid w:val="00C87332"/>
    <w:rsid w:val="00C878E1"/>
    <w:rsid w:val="00C87DD0"/>
    <w:rsid w:val="00C87E08"/>
    <w:rsid w:val="00C87E96"/>
    <w:rsid w:val="00C9001F"/>
    <w:rsid w:val="00C90026"/>
    <w:rsid w:val="00C90124"/>
    <w:rsid w:val="00C90271"/>
    <w:rsid w:val="00C909E4"/>
    <w:rsid w:val="00C90C3E"/>
    <w:rsid w:val="00C90F4C"/>
    <w:rsid w:val="00C917C4"/>
    <w:rsid w:val="00C91848"/>
    <w:rsid w:val="00C918E5"/>
    <w:rsid w:val="00C91C98"/>
    <w:rsid w:val="00C92E77"/>
    <w:rsid w:val="00C930F4"/>
    <w:rsid w:val="00C9334A"/>
    <w:rsid w:val="00C93CA8"/>
    <w:rsid w:val="00C94244"/>
    <w:rsid w:val="00C94423"/>
    <w:rsid w:val="00C947F3"/>
    <w:rsid w:val="00C94E1C"/>
    <w:rsid w:val="00C94E50"/>
    <w:rsid w:val="00C957E2"/>
    <w:rsid w:val="00C959B7"/>
    <w:rsid w:val="00C95B81"/>
    <w:rsid w:val="00C95BA7"/>
    <w:rsid w:val="00C95BB9"/>
    <w:rsid w:val="00C95C08"/>
    <w:rsid w:val="00C9649F"/>
    <w:rsid w:val="00C96A4B"/>
    <w:rsid w:val="00C96ECE"/>
    <w:rsid w:val="00C97555"/>
    <w:rsid w:val="00CA030B"/>
    <w:rsid w:val="00CA033A"/>
    <w:rsid w:val="00CA075C"/>
    <w:rsid w:val="00CA0F5D"/>
    <w:rsid w:val="00CA1769"/>
    <w:rsid w:val="00CA1770"/>
    <w:rsid w:val="00CA1CE1"/>
    <w:rsid w:val="00CA2010"/>
    <w:rsid w:val="00CA34C3"/>
    <w:rsid w:val="00CA3702"/>
    <w:rsid w:val="00CA3867"/>
    <w:rsid w:val="00CA4009"/>
    <w:rsid w:val="00CA45A7"/>
    <w:rsid w:val="00CA4AD4"/>
    <w:rsid w:val="00CA4BD8"/>
    <w:rsid w:val="00CA4BEA"/>
    <w:rsid w:val="00CA5AB8"/>
    <w:rsid w:val="00CA5FC5"/>
    <w:rsid w:val="00CA60A1"/>
    <w:rsid w:val="00CA646D"/>
    <w:rsid w:val="00CA7E0E"/>
    <w:rsid w:val="00CB0993"/>
    <w:rsid w:val="00CB12F1"/>
    <w:rsid w:val="00CB133D"/>
    <w:rsid w:val="00CB1819"/>
    <w:rsid w:val="00CB1B45"/>
    <w:rsid w:val="00CB2C1B"/>
    <w:rsid w:val="00CB30D2"/>
    <w:rsid w:val="00CB3777"/>
    <w:rsid w:val="00CB4921"/>
    <w:rsid w:val="00CB4EFD"/>
    <w:rsid w:val="00CB5757"/>
    <w:rsid w:val="00CB592B"/>
    <w:rsid w:val="00CB5C98"/>
    <w:rsid w:val="00CB6125"/>
    <w:rsid w:val="00CB68FE"/>
    <w:rsid w:val="00CB7AD3"/>
    <w:rsid w:val="00CB7DF2"/>
    <w:rsid w:val="00CC0302"/>
    <w:rsid w:val="00CC068B"/>
    <w:rsid w:val="00CC0F85"/>
    <w:rsid w:val="00CC1265"/>
    <w:rsid w:val="00CC133E"/>
    <w:rsid w:val="00CC1522"/>
    <w:rsid w:val="00CC177F"/>
    <w:rsid w:val="00CC17AF"/>
    <w:rsid w:val="00CC1D9B"/>
    <w:rsid w:val="00CC1F22"/>
    <w:rsid w:val="00CC2448"/>
    <w:rsid w:val="00CC2638"/>
    <w:rsid w:val="00CC2E2F"/>
    <w:rsid w:val="00CC3143"/>
    <w:rsid w:val="00CC34C1"/>
    <w:rsid w:val="00CC3706"/>
    <w:rsid w:val="00CC3859"/>
    <w:rsid w:val="00CC3DDF"/>
    <w:rsid w:val="00CC435A"/>
    <w:rsid w:val="00CC4FC6"/>
    <w:rsid w:val="00CC51E3"/>
    <w:rsid w:val="00CC5E37"/>
    <w:rsid w:val="00CC5E46"/>
    <w:rsid w:val="00CC669D"/>
    <w:rsid w:val="00CC7335"/>
    <w:rsid w:val="00CC76E3"/>
    <w:rsid w:val="00CC7856"/>
    <w:rsid w:val="00CC7B0B"/>
    <w:rsid w:val="00CC7DAC"/>
    <w:rsid w:val="00CC7F90"/>
    <w:rsid w:val="00CD0099"/>
    <w:rsid w:val="00CD025F"/>
    <w:rsid w:val="00CD0540"/>
    <w:rsid w:val="00CD0699"/>
    <w:rsid w:val="00CD0B18"/>
    <w:rsid w:val="00CD1AAA"/>
    <w:rsid w:val="00CD1B6F"/>
    <w:rsid w:val="00CD1EDA"/>
    <w:rsid w:val="00CD263D"/>
    <w:rsid w:val="00CD319C"/>
    <w:rsid w:val="00CD31C8"/>
    <w:rsid w:val="00CD3339"/>
    <w:rsid w:val="00CD352F"/>
    <w:rsid w:val="00CD3684"/>
    <w:rsid w:val="00CD3716"/>
    <w:rsid w:val="00CD3891"/>
    <w:rsid w:val="00CD38B7"/>
    <w:rsid w:val="00CD3B8B"/>
    <w:rsid w:val="00CD3C6B"/>
    <w:rsid w:val="00CD3E55"/>
    <w:rsid w:val="00CD40B8"/>
    <w:rsid w:val="00CD435F"/>
    <w:rsid w:val="00CD51B0"/>
    <w:rsid w:val="00CD5B60"/>
    <w:rsid w:val="00CD5CFD"/>
    <w:rsid w:val="00CD5DEB"/>
    <w:rsid w:val="00CD6247"/>
    <w:rsid w:val="00CD639F"/>
    <w:rsid w:val="00CD6999"/>
    <w:rsid w:val="00CD7BF4"/>
    <w:rsid w:val="00CD7E8C"/>
    <w:rsid w:val="00CE040F"/>
    <w:rsid w:val="00CE0CFE"/>
    <w:rsid w:val="00CE10BB"/>
    <w:rsid w:val="00CE1445"/>
    <w:rsid w:val="00CE1571"/>
    <w:rsid w:val="00CE2297"/>
    <w:rsid w:val="00CE307A"/>
    <w:rsid w:val="00CE38E3"/>
    <w:rsid w:val="00CE442D"/>
    <w:rsid w:val="00CE49F5"/>
    <w:rsid w:val="00CE4CB7"/>
    <w:rsid w:val="00CE4D52"/>
    <w:rsid w:val="00CE4F0E"/>
    <w:rsid w:val="00CE5CD8"/>
    <w:rsid w:val="00CE60B8"/>
    <w:rsid w:val="00CE62C7"/>
    <w:rsid w:val="00CE71C6"/>
    <w:rsid w:val="00CE723A"/>
    <w:rsid w:val="00CE7B1B"/>
    <w:rsid w:val="00CE7E7E"/>
    <w:rsid w:val="00CF00A7"/>
    <w:rsid w:val="00CF044D"/>
    <w:rsid w:val="00CF0474"/>
    <w:rsid w:val="00CF04E4"/>
    <w:rsid w:val="00CF0CAB"/>
    <w:rsid w:val="00CF0F29"/>
    <w:rsid w:val="00CF1A47"/>
    <w:rsid w:val="00CF1B9E"/>
    <w:rsid w:val="00CF1D8E"/>
    <w:rsid w:val="00CF2172"/>
    <w:rsid w:val="00CF2A26"/>
    <w:rsid w:val="00CF2AD1"/>
    <w:rsid w:val="00CF3A4D"/>
    <w:rsid w:val="00CF3AE7"/>
    <w:rsid w:val="00CF3CA0"/>
    <w:rsid w:val="00CF3FF8"/>
    <w:rsid w:val="00CF4203"/>
    <w:rsid w:val="00CF4BA0"/>
    <w:rsid w:val="00CF510B"/>
    <w:rsid w:val="00CF54C9"/>
    <w:rsid w:val="00CF639F"/>
    <w:rsid w:val="00CF67CE"/>
    <w:rsid w:val="00CF69BD"/>
    <w:rsid w:val="00CF7804"/>
    <w:rsid w:val="00CF7A95"/>
    <w:rsid w:val="00CF7D49"/>
    <w:rsid w:val="00CF7FF4"/>
    <w:rsid w:val="00D0023E"/>
    <w:rsid w:val="00D00622"/>
    <w:rsid w:val="00D0103F"/>
    <w:rsid w:val="00D0180D"/>
    <w:rsid w:val="00D01D2A"/>
    <w:rsid w:val="00D020A0"/>
    <w:rsid w:val="00D024D6"/>
    <w:rsid w:val="00D02806"/>
    <w:rsid w:val="00D02EDA"/>
    <w:rsid w:val="00D032B0"/>
    <w:rsid w:val="00D037EA"/>
    <w:rsid w:val="00D039C0"/>
    <w:rsid w:val="00D0449D"/>
    <w:rsid w:val="00D053A4"/>
    <w:rsid w:val="00D056AD"/>
    <w:rsid w:val="00D05E94"/>
    <w:rsid w:val="00D0695F"/>
    <w:rsid w:val="00D06CAC"/>
    <w:rsid w:val="00D07327"/>
    <w:rsid w:val="00D075D4"/>
    <w:rsid w:val="00D07F34"/>
    <w:rsid w:val="00D10250"/>
    <w:rsid w:val="00D110E4"/>
    <w:rsid w:val="00D111D4"/>
    <w:rsid w:val="00D112DC"/>
    <w:rsid w:val="00D11885"/>
    <w:rsid w:val="00D11A9E"/>
    <w:rsid w:val="00D132C7"/>
    <w:rsid w:val="00D13455"/>
    <w:rsid w:val="00D13D01"/>
    <w:rsid w:val="00D14192"/>
    <w:rsid w:val="00D141F1"/>
    <w:rsid w:val="00D1459E"/>
    <w:rsid w:val="00D14A17"/>
    <w:rsid w:val="00D14A20"/>
    <w:rsid w:val="00D14F42"/>
    <w:rsid w:val="00D153A9"/>
    <w:rsid w:val="00D16066"/>
    <w:rsid w:val="00D164D3"/>
    <w:rsid w:val="00D16CD9"/>
    <w:rsid w:val="00D17348"/>
    <w:rsid w:val="00D1759D"/>
    <w:rsid w:val="00D17610"/>
    <w:rsid w:val="00D1774B"/>
    <w:rsid w:val="00D17808"/>
    <w:rsid w:val="00D17D92"/>
    <w:rsid w:val="00D2041E"/>
    <w:rsid w:val="00D20A33"/>
    <w:rsid w:val="00D20C40"/>
    <w:rsid w:val="00D2101A"/>
    <w:rsid w:val="00D21119"/>
    <w:rsid w:val="00D21BA8"/>
    <w:rsid w:val="00D21EBD"/>
    <w:rsid w:val="00D2207A"/>
    <w:rsid w:val="00D221B4"/>
    <w:rsid w:val="00D23625"/>
    <w:rsid w:val="00D23E86"/>
    <w:rsid w:val="00D24324"/>
    <w:rsid w:val="00D24C41"/>
    <w:rsid w:val="00D251D0"/>
    <w:rsid w:val="00D2553C"/>
    <w:rsid w:val="00D25742"/>
    <w:rsid w:val="00D262A7"/>
    <w:rsid w:val="00D267A2"/>
    <w:rsid w:val="00D274AA"/>
    <w:rsid w:val="00D278AF"/>
    <w:rsid w:val="00D31127"/>
    <w:rsid w:val="00D31149"/>
    <w:rsid w:val="00D3157E"/>
    <w:rsid w:val="00D31AB1"/>
    <w:rsid w:val="00D31BA8"/>
    <w:rsid w:val="00D31D16"/>
    <w:rsid w:val="00D3264A"/>
    <w:rsid w:val="00D32C14"/>
    <w:rsid w:val="00D3318B"/>
    <w:rsid w:val="00D33AC5"/>
    <w:rsid w:val="00D344E4"/>
    <w:rsid w:val="00D3486E"/>
    <w:rsid w:val="00D34F87"/>
    <w:rsid w:val="00D352FB"/>
    <w:rsid w:val="00D361EE"/>
    <w:rsid w:val="00D364D9"/>
    <w:rsid w:val="00D36920"/>
    <w:rsid w:val="00D36E8B"/>
    <w:rsid w:val="00D36FC3"/>
    <w:rsid w:val="00D3769A"/>
    <w:rsid w:val="00D40D78"/>
    <w:rsid w:val="00D411EB"/>
    <w:rsid w:val="00D4197D"/>
    <w:rsid w:val="00D41AA8"/>
    <w:rsid w:val="00D41D88"/>
    <w:rsid w:val="00D41E88"/>
    <w:rsid w:val="00D42187"/>
    <w:rsid w:val="00D42CB6"/>
    <w:rsid w:val="00D42E35"/>
    <w:rsid w:val="00D43583"/>
    <w:rsid w:val="00D43B0D"/>
    <w:rsid w:val="00D4421D"/>
    <w:rsid w:val="00D44402"/>
    <w:rsid w:val="00D4598A"/>
    <w:rsid w:val="00D45C98"/>
    <w:rsid w:val="00D45E1B"/>
    <w:rsid w:val="00D45EF0"/>
    <w:rsid w:val="00D4612D"/>
    <w:rsid w:val="00D46494"/>
    <w:rsid w:val="00D469D3"/>
    <w:rsid w:val="00D46DDC"/>
    <w:rsid w:val="00D46E45"/>
    <w:rsid w:val="00D46F8A"/>
    <w:rsid w:val="00D4706D"/>
    <w:rsid w:val="00D476E0"/>
    <w:rsid w:val="00D47CB1"/>
    <w:rsid w:val="00D50963"/>
    <w:rsid w:val="00D50C4D"/>
    <w:rsid w:val="00D50D3B"/>
    <w:rsid w:val="00D50DD5"/>
    <w:rsid w:val="00D5116D"/>
    <w:rsid w:val="00D511D3"/>
    <w:rsid w:val="00D512A6"/>
    <w:rsid w:val="00D51ED0"/>
    <w:rsid w:val="00D520A3"/>
    <w:rsid w:val="00D52D4A"/>
    <w:rsid w:val="00D52EC4"/>
    <w:rsid w:val="00D52FF9"/>
    <w:rsid w:val="00D53567"/>
    <w:rsid w:val="00D537AC"/>
    <w:rsid w:val="00D537C1"/>
    <w:rsid w:val="00D53AE0"/>
    <w:rsid w:val="00D53BCF"/>
    <w:rsid w:val="00D53CA2"/>
    <w:rsid w:val="00D543AC"/>
    <w:rsid w:val="00D54736"/>
    <w:rsid w:val="00D54C3F"/>
    <w:rsid w:val="00D54FC7"/>
    <w:rsid w:val="00D55420"/>
    <w:rsid w:val="00D55812"/>
    <w:rsid w:val="00D559A1"/>
    <w:rsid w:val="00D56D55"/>
    <w:rsid w:val="00D56F60"/>
    <w:rsid w:val="00D5718B"/>
    <w:rsid w:val="00D57A15"/>
    <w:rsid w:val="00D57D78"/>
    <w:rsid w:val="00D600F5"/>
    <w:rsid w:val="00D60124"/>
    <w:rsid w:val="00D614BB"/>
    <w:rsid w:val="00D62072"/>
    <w:rsid w:val="00D62424"/>
    <w:rsid w:val="00D63FED"/>
    <w:rsid w:val="00D645C8"/>
    <w:rsid w:val="00D64707"/>
    <w:rsid w:val="00D64FE6"/>
    <w:rsid w:val="00D65393"/>
    <w:rsid w:val="00D65888"/>
    <w:rsid w:val="00D65CCE"/>
    <w:rsid w:val="00D660F2"/>
    <w:rsid w:val="00D668CC"/>
    <w:rsid w:val="00D669BB"/>
    <w:rsid w:val="00D66DB1"/>
    <w:rsid w:val="00D66ECB"/>
    <w:rsid w:val="00D67369"/>
    <w:rsid w:val="00D67463"/>
    <w:rsid w:val="00D6772A"/>
    <w:rsid w:val="00D67793"/>
    <w:rsid w:val="00D67A2D"/>
    <w:rsid w:val="00D67E9C"/>
    <w:rsid w:val="00D67EE7"/>
    <w:rsid w:val="00D67F68"/>
    <w:rsid w:val="00D70456"/>
    <w:rsid w:val="00D706FE"/>
    <w:rsid w:val="00D70880"/>
    <w:rsid w:val="00D7140A"/>
    <w:rsid w:val="00D71615"/>
    <w:rsid w:val="00D71C18"/>
    <w:rsid w:val="00D72366"/>
    <w:rsid w:val="00D723E4"/>
    <w:rsid w:val="00D724F5"/>
    <w:rsid w:val="00D72520"/>
    <w:rsid w:val="00D725F3"/>
    <w:rsid w:val="00D72A35"/>
    <w:rsid w:val="00D742C7"/>
    <w:rsid w:val="00D75D0F"/>
    <w:rsid w:val="00D7637F"/>
    <w:rsid w:val="00D7655C"/>
    <w:rsid w:val="00D769DE"/>
    <w:rsid w:val="00D76BA4"/>
    <w:rsid w:val="00D77246"/>
    <w:rsid w:val="00D77A34"/>
    <w:rsid w:val="00D8007E"/>
    <w:rsid w:val="00D800F3"/>
    <w:rsid w:val="00D8010D"/>
    <w:rsid w:val="00D80339"/>
    <w:rsid w:val="00D80709"/>
    <w:rsid w:val="00D80AEB"/>
    <w:rsid w:val="00D817D6"/>
    <w:rsid w:val="00D818BD"/>
    <w:rsid w:val="00D8218C"/>
    <w:rsid w:val="00D82558"/>
    <w:rsid w:val="00D82813"/>
    <w:rsid w:val="00D82B25"/>
    <w:rsid w:val="00D8335F"/>
    <w:rsid w:val="00D835D3"/>
    <w:rsid w:val="00D83A6B"/>
    <w:rsid w:val="00D83F85"/>
    <w:rsid w:val="00D84374"/>
    <w:rsid w:val="00D85072"/>
    <w:rsid w:val="00D8512E"/>
    <w:rsid w:val="00D852F7"/>
    <w:rsid w:val="00D85C8B"/>
    <w:rsid w:val="00D86442"/>
    <w:rsid w:val="00D86BE8"/>
    <w:rsid w:val="00D86D07"/>
    <w:rsid w:val="00D86D62"/>
    <w:rsid w:val="00D87832"/>
    <w:rsid w:val="00D907AA"/>
    <w:rsid w:val="00D90851"/>
    <w:rsid w:val="00D91A17"/>
    <w:rsid w:val="00D9226B"/>
    <w:rsid w:val="00D92D8B"/>
    <w:rsid w:val="00D9351B"/>
    <w:rsid w:val="00D93907"/>
    <w:rsid w:val="00D93A79"/>
    <w:rsid w:val="00D94103"/>
    <w:rsid w:val="00D9445B"/>
    <w:rsid w:val="00D94D4A"/>
    <w:rsid w:val="00D94D81"/>
    <w:rsid w:val="00D94F4F"/>
    <w:rsid w:val="00D954A6"/>
    <w:rsid w:val="00D968A7"/>
    <w:rsid w:val="00D969EB"/>
    <w:rsid w:val="00D96BBD"/>
    <w:rsid w:val="00DA08C3"/>
    <w:rsid w:val="00DA0D5B"/>
    <w:rsid w:val="00DA0EDD"/>
    <w:rsid w:val="00DA15AB"/>
    <w:rsid w:val="00DA1A2E"/>
    <w:rsid w:val="00DA28DA"/>
    <w:rsid w:val="00DA2F9F"/>
    <w:rsid w:val="00DA3D63"/>
    <w:rsid w:val="00DA5AC5"/>
    <w:rsid w:val="00DA5EF2"/>
    <w:rsid w:val="00DA60F8"/>
    <w:rsid w:val="00DA6177"/>
    <w:rsid w:val="00DA6189"/>
    <w:rsid w:val="00DA63CC"/>
    <w:rsid w:val="00DA63D9"/>
    <w:rsid w:val="00DA657D"/>
    <w:rsid w:val="00DA71E3"/>
    <w:rsid w:val="00DA7634"/>
    <w:rsid w:val="00DB005B"/>
    <w:rsid w:val="00DB045A"/>
    <w:rsid w:val="00DB0774"/>
    <w:rsid w:val="00DB0933"/>
    <w:rsid w:val="00DB134D"/>
    <w:rsid w:val="00DB1411"/>
    <w:rsid w:val="00DB141C"/>
    <w:rsid w:val="00DB19D5"/>
    <w:rsid w:val="00DB1B0B"/>
    <w:rsid w:val="00DB1D4E"/>
    <w:rsid w:val="00DB1FDB"/>
    <w:rsid w:val="00DB2AAA"/>
    <w:rsid w:val="00DB2F42"/>
    <w:rsid w:val="00DB37D0"/>
    <w:rsid w:val="00DB3F27"/>
    <w:rsid w:val="00DB440C"/>
    <w:rsid w:val="00DB479C"/>
    <w:rsid w:val="00DB4DF9"/>
    <w:rsid w:val="00DB4F22"/>
    <w:rsid w:val="00DB5D5F"/>
    <w:rsid w:val="00DB673A"/>
    <w:rsid w:val="00DB6F74"/>
    <w:rsid w:val="00DB7F97"/>
    <w:rsid w:val="00DC039A"/>
    <w:rsid w:val="00DC045A"/>
    <w:rsid w:val="00DC0483"/>
    <w:rsid w:val="00DC10A9"/>
    <w:rsid w:val="00DC1785"/>
    <w:rsid w:val="00DC1DC9"/>
    <w:rsid w:val="00DC27FB"/>
    <w:rsid w:val="00DC2CA0"/>
    <w:rsid w:val="00DC3711"/>
    <w:rsid w:val="00DC465D"/>
    <w:rsid w:val="00DC5183"/>
    <w:rsid w:val="00DC55EA"/>
    <w:rsid w:val="00DC566B"/>
    <w:rsid w:val="00DC5CFE"/>
    <w:rsid w:val="00DC6FB7"/>
    <w:rsid w:val="00DC7113"/>
    <w:rsid w:val="00DC72D8"/>
    <w:rsid w:val="00DC74B2"/>
    <w:rsid w:val="00DC7A78"/>
    <w:rsid w:val="00DC7AEC"/>
    <w:rsid w:val="00DC7C22"/>
    <w:rsid w:val="00DC7F0D"/>
    <w:rsid w:val="00DD0057"/>
    <w:rsid w:val="00DD0BBE"/>
    <w:rsid w:val="00DD0F1A"/>
    <w:rsid w:val="00DD1482"/>
    <w:rsid w:val="00DD1C43"/>
    <w:rsid w:val="00DD2024"/>
    <w:rsid w:val="00DD247C"/>
    <w:rsid w:val="00DD24E2"/>
    <w:rsid w:val="00DD2947"/>
    <w:rsid w:val="00DD2E2A"/>
    <w:rsid w:val="00DD2EEB"/>
    <w:rsid w:val="00DD4050"/>
    <w:rsid w:val="00DD4483"/>
    <w:rsid w:val="00DD46D5"/>
    <w:rsid w:val="00DD46F3"/>
    <w:rsid w:val="00DD47E6"/>
    <w:rsid w:val="00DD5879"/>
    <w:rsid w:val="00DD6611"/>
    <w:rsid w:val="00DD6B5A"/>
    <w:rsid w:val="00DD7200"/>
    <w:rsid w:val="00DD7D10"/>
    <w:rsid w:val="00DE064F"/>
    <w:rsid w:val="00DE091E"/>
    <w:rsid w:val="00DE0982"/>
    <w:rsid w:val="00DE0D77"/>
    <w:rsid w:val="00DE14F9"/>
    <w:rsid w:val="00DE1A84"/>
    <w:rsid w:val="00DE1B6B"/>
    <w:rsid w:val="00DE1C53"/>
    <w:rsid w:val="00DE1C5D"/>
    <w:rsid w:val="00DE1DB1"/>
    <w:rsid w:val="00DE2587"/>
    <w:rsid w:val="00DE355C"/>
    <w:rsid w:val="00DE485A"/>
    <w:rsid w:val="00DE4A2A"/>
    <w:rsid w:val="00DE4BE1"/>
    <w:rsid w:val="00DE51E8"/>
    <w:rsid w:val="00DE535C"/>
    <w:rsid w:val="00DE5645"/>
    <w:rsid w:val="00DE5D1C"/>
    <w:rsid w:val="00DE72FE"/>
    <w:rsid w:val="00DE774B"/>
    <w:rsid w:val="00DF03E3"/>
    <w:rsid w:val="00DF0FC6"/>
    <w:rsid w:val="00DF0FDE"/>
    <w:rsid w:val="00DF0FF4"/>
    <w:rsid w:val="00DF10DD"/>
    <w:rsid w:val="00DF16BF"/>
    <w:rsid w:val="00DF2105"/>
    <w:rsid w:val="00DF213C"/>
    <w:rsid w:val="00DF21DD"/>
    <w:rsid w:val="00DF26A9"/>
    <w:rsid w:val="00DF26AF"/>
    <w:rsid w:val="00DF2A18"/>
    <w:rsid w:val="00DF2F24"/>
    <w:rsid w:val="00DF3007"/>
    <w:rsid w:val="00DF3094"/>
    <w:rsid w:val="00DF3BBC"/>
    <w:rsid w:val="00DF3FCE"/>
    <w:rsid w:val="00DF4CF1"/>
    <w:rsid w:val="00DF517B"/>
    <w:rsid w:val="00DF561B"/>
    <w:rsid w:val="00DF568B"/>
    <w:rsid w:val="00DF57CF"/>
    <w:rsid w:val="00DF5C1C"/>
    <w:rsid w:val="00DF5E08"/>
    <w:rsid w:val="00DF5FDA"/>
    <w:rsid w:val="00DF60A0"/>
    <w:rsid w:val="00DF6BFF"/>
    <w:rsid w:val="00DF6F0A"/>
    <w:rsid w:val="00DF7317"/>
    <w:rsid w:val="00DF75B2"/>
    <w:rsid w:val="00E000B8"/>
    <w:rsid w:val="00E00353"/>
    <w:rsid w:val="00E00BBA"/>
    <w:rsid w:val="00E00C48"/>
    <w:rsid w:val="00E01639"/>
    <w:rsid w:val="00E018D9"/>
    <w:rsid w:val="00E0206F"/>
    <w:rsid w:val="00E02EF7"/>
    <w:rsid w:val="00E03433"/>
    <w:rsid w:val="00E03907"/>
    <w:rsid w:val="00E041C1"/>
    <w:rsid w:val="00E04544"/>
    <w:rsid w:val="00E04BF0"/>
    <w:rsid w:val="00E05567"/>
    <w:rsid w:val="00E05700"/>
    <w:rsid w:val="00E05A73"/>
    <w:rsid w:val="00E064DB"/>
    <w:rsid w:val="00E06DC5"/>
    <w:rsid w:val="00E07BB2"/>
    <w:rsid w:val="00E10035"/>
    <w:rsid w:val="00E1011B"/>
    <w:rsid w:val="00E107D0"/>
    <w:rsid w:val="00E10B78"/>
    <w:rsid w:val="00E111C4"/>
    <w:rsid w:val="00E1126C"/>
    <w:rsid w:val="00E11CD8"/>
    <w:rsid w:val="00E11D56"/>
    <w:rsid w:val="00E1200C"/>
    <w:rsid w:val="00E12292"/>
    <w:rsid w:val="00E126D8"/>
    <w:rsid w:val="00E13F04"/>
    <w:rsid w:val="00E144EE"/>
    <w:rsid w:val="00E1466C"/>
    <w:rsid w:val="00E14750"/>
    <w:rsid w:val="00E147BB"/>
    <w:rsid w:val="00E1572D"/>
    <w:rsid w:val="00E158EC"/>
    <w:rsid w:val="00E15CA1"/>
    <w:rsid w:val="00E15F2D"/>
    <w:rsid w:val="00E160CE"/>
    <w:rsid w:val="00E16441"/>
    <w:rsid w:val="00E16628"/>
    <w:rsid w:val="00E16B11"/>
    <w:rsid w:val="00E16B81"/>
    <w:rsid w:val="00E172AD"/>
    <w:rsid w:val="00E17766"/>
    <w:rsid w:val="00E17C7F"/>
    <w:rsid w:val="00E2034E"/>
    <w:rsid w:val="00E2056D"/>
    <w:rsid w:val="00E207A1"/>
    <w:rsid w:val="00E20A14"/>
    <w:rsid w:val="00E21710"/>
    <w:rsid w:val="00E21952"/>
    <w:rsid w:val="00E227DB"/>
    <w:rsid w:val="00E22875"/>
    <w:rsid w:val="00E22EF1"/>
    <w:rsid w:val="00E234F2"/>
    <w:rsid w:val="00E23505"/>
    <w:rsid w:val="00E23F25"/>
    <w:rsid w:val="00E246B7"/>
    <w:rsid w:val="00E24A67"/>
    <w:rsid w:val="00E24C54"/>
    <w:rsid w:val="00E24EA2"/>
    <w:rsid w:val="00E25121"/>
    <w:rsid w:val="00E25476"/>
    <w:rsid w:val="00E25493"/>
    <w:rsid w:val="00E257FF"/>
    <w:rsid w:val="00E259A9"/>
    <w:rsid w:val="00E264A6"/>
    <w:rsid w:val="00E2651A"/>
    <w:rsid w:val="00E26700"/>
    <w:rsid w:val="00E26E2D"/>
    <w:rsid w:val="00E304DB"/>
    <w:rsid w:val="00E30BA4"/>
    <w:rsid w:val="00E30D9C"/>
    <w:rsid w:val="00E30F4E"/>
    <w:rsid w:val="00E31E47"/>
    <w:rsid w:val="00E31EC8"/>
    <w:rsid w:val="00E32C42"/>
    <w:rsid w:val="00E330AC"/>
    <w:rsid w:val="00E334CD"/>
    <w:rsid w:val="00E33BB5"/>
    <w:rsid w:val="00E34155"/>
    <w:rsid w:val="00E3422E"/>
    <w:rsid w:val="00E35655"/>
    <w:rsid w:val="00E35733"/>
    <w:rsid w:val="00E35A98"/>
    <w:rsid w:val="00E36066"/>
    <w:rsid w:val="00E36533"/>
    <w:rsid w:val="00E36D0B"/>
    <w:rsid w:val="00E37227"/>
    <w:rsid w:val="00E379B7"/>
    <w:rsid w:val="00E37B05"/>
    <w:rsid w:val="00E4033C"/>
    <w:rsid w:val="00E4069D"/>
    <w:rsid w:val="00E40883"/>
    <w:rsid w:val="00E40E81"/>
    <w:rsid w:val="00E41D08"/>
    <w:rsid w:val="00E43D4F"/>
    <w:rsid w:val="00E43D9E"/>
    <w:rsid w:val="00E43DDE"/>
    <w:rsid w:val="00E4454B"/>
    <w:rsid w:val="00E44630"/>
    <w:rsid w:val="00E44DB5"/>
    <w:rsid w:val="00E452EB"/>
    <w:rsid w:val="00E4531D"/>
    <w:rsid w:val="00E4556C"/>
    <w:rsid w:val="00E456BB"/>
    <w:rsid w:val="00E45CE4"/>
    <w:rsid w:val="00E45E09"/>
    <w:rsid w:val="00E45FA2"/>
    <w:rsid w:val="00E46063"/>
    <w:rsid w:val="00E461C6"/>
    <w:rsid w:val="00E463F6"/>
    <w:rsid w:val="00E47546"/>
    <w:rsid w:val="00E47E4B"/>
    <w:rsid w:val="00E50157"/>
    <w:rsid w:val="00E50665"/>
    <w:rsid w:val="00E50BB2"/>
    <w:rsid w:val="00E520B5"/>
    <w:rsid w:val="00E52CFE"/>
    <w:rsid w:val="00E530E8"/>
    <w:rsid w:val="00E53256"/>
    <w:rsid w:val="00E53260"/>
    <w:rsid w:val="00E5331A"/>
    <w:rsid w:val="00E5344B"/>
    <w:rsid w:val="00E5389F"/>
    <w:rsid w:val="00E539EA"/>
    <w:rsid w:val="00E53C54"/>
    <w:rsid w:val="00E5533B"/>
    <w:rsid w:val="00E55BB8"/>
    <w:rsid w:val="00E561A8"/>
    <w:rsid w:val="00E5654F"/>
    <w:rsid w:val="00E570AE"/>
    <w:rsid w:val="00E574D7"/>
    <w:rsid w:val="00E577A4"/>
    <w:rsid w:val="00E60662"/>
    <w:rsid w:val="00E60B0A"/>
    <w:rsid w:val="00E60CBE"/>
    <w:rsid w:val="00E61046"/>
    <w:rsid w:val="00E6124A"/>
    <w:rsid w:val="00E61583"/>
    <w:rsid w:val="00E61D50"/>
    <w:rsid w:val="00E61E90"/>
    <w:rsid w:val="00E62239"/>
    <w:rsid w:val="00E626F0"/>
    <w:rsid w:val="00E62AFD"/>
    <w:rsid w:val="00E62D51"/>
    <w:rsid w:val="00E62DD1"/>
    <w:rsid w:val="00E62E21"/>
    <w:rsid w:val="00E637DA"/>
    <w:rsid w:val="00E63D8A"/>
    <w:rsid w:val="00E63FDE"/>
    <w:rsid w:val="00E645EE"/>
    <w:rsid w:val="00E655A9"/>
    <w:rsid w:val="00E657B8"/>
    <w:rsid w:val="00E66622"/>
    <w:rsid w:val="00E66884"/>
    <w:rsid w:val="00E66CE2"/>
    <w:rsid w:val="00E66FCF"/>
    <w:rsid w:val="00E674A9"/>
    <w:rsid w:val="00E67930"/>
    <w:rsid w:val="00E701BE"/>
    <w:rsid w:val="00E707A2"/>
    <w:rsid w:val="00E70C63"/>
    <w:rsid w:val="00E71EC7"/>
    <w:rsid w:val="00E7200D"/>
    <w:rsid w:val="00E721CA"/>
    <w:rsid w:val="00E7255E"/>
    <w:rsid w:val="00E72EEB"/>
    <w:rsid w:val="00E73349"/>
    <w:rsid w:val="00E735F2"/>
    <w:rsid w:val="00E737EE"/>
    <w:rsid w:val="00E73D5F"/>
    <w:rsid w:val="00E74156"/>
    <w:rsid w:val="00E741F8"/>
    <w:rsid w:val="00E74536"/>
    <w:rsid w:val="00E75FCD"/>
    <w:rsid w:val="00E7606E"/>
    <w:rsid w:val="00E763D2"/>
    <w:rsid w:val="00E763DC"/>
    <w:rsid w:val="00E7646F"/>
    <w:rsid w:val="00E770DD"/>
    <w:rsid w:val="00E7725A"/>
    <w:rsid w:val="00E772F1"/>
    <w:rsid w:val="00E774FF"/>
    <w:rsid w:val="00E8079B"/>
    <w:rsid w:val="00E80F5A"/>
    <w:rsid w:val="00E81D8E"/>
    <w:rsid w:val="00E8238E"/>
    <w:rsid w:val="00E82917"/>
    <w:rsid w:val="00E82E1B"/>
    <w:rsid w:val="00E8302E"/>
    <w:rsid w:val="00E830F6"/>
    <w:rsid w:val="00E833DC"/>
    <w:rsid w:val="00E835BD"/>
    <w:rsid w:val="00E835EA"/>
    <w:rsid w:val="00E83C36"/>
    <w:rsid w:val="00E83EE3"/>
    <w:rsid w:val="00E83F5C"/>
    <w:rsid w:val="00E844B0"/>
    <w:rsid w:val="00E846E8"/>
    <w:rsid w:val="00E84A72"/>
    <w:rsid w:val="00E8515A"/>
    <w:rsid w:val="00E8570D"/>
    <w:rsid w:val="00E85B01"/>
    <w:rsid w:val="00E85B24"/>
    <w:rsid w:val="00E85E95"/>
    <w:rsid w:val="00E867CE"/>
    <w:rsid w:val="00E868C2"/>
    <w:rsid w:val="00E869B0"/>
    <w:rsid w:val="00E86E9F"/>
    <w:rsid w:val="00E87196"/>
    <w:rsid w:val="00E875FA"/>
    <w:rsid w:val="00E87DCD"/>
    <w:rsid w:val="00E9047C"/>
    <w:rsid w:val="00E9086F"/>
    <w:rsid w:val="00E90AB0"/>
    <w:rsid w:val="00E90ACF"/>
    <w:rsid w:val="00E922C5"/>
    <w:rsid w:val="00E92919"/>
    <w:rsid w:val="00E92BEB"/>
    <w:rsid w:val="00E9316F"/>
    <w:rsid w:val="00E9348E"/>
    <w:rsid w:val="00E935F7"/>
    <w:rsid w:val="00E93C98"/>
    <w:rsid w:val="00E93E0A"/>
    <w:rsid w:val="00E93EC6"/>
    <w:rsid w:val="00E94687"/>
    <w:rsid w:val="00E94812"/>
    <w:rsid w:val="00E94951"/>
    <w:rsid w:val="00E94D11"/>
    <w:rsid w:val="00E9573F"/>
    <w:rsid w:val="00E95865"/>
    <w:rsid w:val="00E959F9"/>
    <w:rsid w:val="00E95DAC"/>
    <w:rsid w:val="00E95E7F"/>
    <w:rsid w:val="00E9626C"/>
    <w:rsid w:val="00E965FC"/>
    <w:rsid w:val="00E9696A"/>
    <w:rsid w:val="00E97D91"/>
    <w:rsid w:val="00EA039C"/>
    <w:rsid w:val="00EA0B96"/>
    <w:rsid w:val="00EA1AA2"/>
    <w:rsid w:val="00EA2B95"/>
    <w:rsid w:val="00EA3380"/>
    <w:rsid w:val="00EA3831"/>
    <w:rsid w:val="00EA40E8"/>
    <w:rsid w:val="00EA4D43"/>
    <w:rsid w:val="00EA4EC2"/>
    <w:rsid w:val="00EA5994"/>
    <w:rsid w:val="00EA5999"/>
    <w:rsid w:val="00EA607B"/>
    <w:rsid w:val="00EA61C1"/>
    <w:rsid w:val="00EA62BA"/>
    <w:rsid w:val="00EA6F43"/>
    <w:rsid w:val="00EA7265"/>
    <w:rsid w:val="00EA7757"/>
    <w:rsid w:val="00EB0900"/>
    <w:rsid w:val="00EB0A39"/>
    <w:rsid w:val="00EB0A84"/>
    <w:rsid w:val="00EB0EE2"/>
    <w:rsid w:val="00EB1322"/>
    <w:rsid w:val="00EB1A7B"/>
    <w:rsid w:val="00EB1F44"/>
    <w:rsid w:val="00EB30A2"/>
    <w:rsid w:val="00EB3175"/>
    <w:rsid w:val="00EB344E"/>
    <w:rsid w:val="00EB3B5F"/>
    <w:rsid w:val="00EB430F"/>
    <w:rsid w:val="00EB46A6"/>
    <w:rsid w:val="00EB4AB2"/>
    <w:rsid w:val="00EB54A1"/>
    <w:rsid w:val="00EB55F9"/>
    <w:rsid w:val="00EB5BA0"/>
    <w:rsid w:val="00EB5D00"/>
    <w:rsid w:val="00EB66F9"/>
    <w:rsid w:val="00EB6E7F"/>
    <w:rsid w:val="00EB6FB0"/>
    <w:rsid w:val="00EB6FDE"/>
    <w:rsid w:val="00EB74CC"/>
    <w:rsid w:val="00EB7B90"/>
    <w:rsid w:val="00EB7D88"/>
    <w:rsid w:val="00EB7DA2"/>
    <w:rsid w:val="00EB7FBD"/>
    <w:rsid w:val="00EC022F"/>
    <w:rsid w:val="00EC0275"/>
    <w:rsid w:val="00EC0A1F"/>
    <w:rsid w:val="00EC0BE0"/>
    <w:rsid w:val="00EC0D45"/>
    <w:rsid w:val="00EC0D6C"/>
    <w:rsid w:val="00EC1EDC"/>
    <w:rsid w:val="00EC1FDB"/>
    <w:rsid w:val="00EC29C9"/>
    <w:rsid w:val="00EC2A27"/>
    <w:rsid w:val="00EC2DFF"/>
    <w:rsid w:val="00EC32FF"/>
    <w:rsid w:val="00EC3987"/>
    <w:rsid w:val="00EC3E4B"/>
    <w:rsid w:val="00EC436D"/>
    <w:rsid w:val="00EC44F0"/>
    <w:rsid w:val="00EC4C3A"/>
    <w:rsid w:val="00EC4D8C"/>
    <w:rsid w:val="00EC5598"/>
    <w:rsid w:val="00EC58F5"/>
    <w:rsid w:val="00EC6474"/>
    <w:rsid w:val="00EC6E3B"/>
    <w:rsid w:val="00EC6EEB"/>
    <w:rsid w:val="00EC705D"/>
    <w:rsid w:val="00EC7D83"/>
    <w:rsid w:val="00ED0F81"/>
    <w:rsid w:val="00ED1070"/>
    <w:rsid w:val="00ED10B6"/>
    <w:rsid w:val="00ED13A8"/>
    <w:rsid w:val="00ED1BF0"/>
    <w:rsid w:val="00ED1C60"/>
    <w:rsid w:val="00ED2038"/>
    <w:rsid w:val="00ED22D6"/>
    <w:rsid w:val="00ED286F"/>
    <w:rsid w:val="00ED287C"/>
    <w:rsid w:val="00ED2B1D"/>
    <w:rsid w:val="00ED2C3D"/>
    <w:rsid w:val="00ED2E0A"/>
    <w:rsid w:val="00ED304E"/>
    <w:rsid w:val="00ED3868"/>
    <w:rsid w:val="00ED3BAB"/>
    <w:rsid w:val="00ED419E"/>
    <w:rsid w:val="00ED48B8"/>
    <w:rsid w:val="00ED496C"/>
    <w:rsid w:val="00ED52A1"/>
    <w:rsid w:val="00ED537D"/>
    <w:rsid w:val="00ED541F"/>
    <w:rsid w:val="00ED625C"/>
    <w:rsid w:val="00ED6302"/>
    <w:rsid w:val="00ED6AD8"/>
    <w:rsid w:val="00ED6EB4"/>
    <w:rsid w:val="00ED7C0C"/>
    <w:rsid w:val="00ED7CF1"/>
    <w:rsid w:val="00ED7E42"/>
    <w:rsid w:val="00EE02C2"/>
    <w:rsid w:val="00EE059E"/>
    <w:rsid w:val="00EE06A9"/>
    <w:rsid w:val="00EE090F"/>
    <w:rsid w:val="00EE0EF5"/>
    <w:rsid w:val="00EE1239"/>
    <w:rsid w:val="00EE17ED"/>
    <w:rsid w:val="00EE1991"/>
    <w:rsid w:val="00EE1A32"/>
    <w:rsid w:val="00EE1DBC"/>
    <w:rsid w:val="00EE2555"/>
    <w:rsid w:val="00EE2C27"/>
    <w:rsid w:val="00EE2CC7"/>
    <w:rsid w:val="00EE2F27"/>
    <w:rsid w:val="00EE3232"/>
    <w:rsid w:val="00EE3648"/>
    <w:rsid w:val="00EE3AC0"/>
    <w:rsid w:val="00EE4134"/>
    <w:rsid w:val="00EE466A"/>
    <w:rsid w:val="00EE46F0"/>
    <w:rsid w:val="00EE4830"/>
    <w:rsid w:val="00EE49EC"/>
    <w:rsid w:val="00EE51E1"/>
    <w:rsid w:val="00EE532B"/>
    <w:rsid w:val="00EE5625"/>
    <w:rsid w:val="00EE57D2"/>
    <w:rsid w:val="00EE59BA"/>
    <w:rsid w:val="00EE5B6A"/>
    <w:rsid w:val="00EE5DB4"/>
    <w:rsid w:val="00EE60C2"/>
    <w:rsid w:val="00EE621D"/>
    <w:rsid w:val="00EE6443"/>
    <w:rsid w:val="00EE6760"/>
    <w:rsid w:val="00EE6AB7"/>
    <w:rsid w:val="00EE6DE0"/>
    <w:rsid w:val="00EE6EA0"/>
    <w:rsid w:val="00EE72BB"/>
    <w:rsid w:val="00EE77C9"/>
    <w:rsid w:val="00EF06BD"/>
    <w:rsid w:val="00EF18E9"/>
    <w:rsid w:val="00EF29AA"/>
    <w:rsid w:val="00EF3364"/>
    <w:rsid w:val="00EF34ED"/>
    <w:rsid w:val="00EF3B10"/>
    <w:rsid w:val="00EF41A6"/>
    <w:rsid w:val="00EF53A8"/>
    <w:rsid w:val="00EF5487"/>
    <w:rsid w:val="00EF561A"/>
    <w:rsid w:val="00EF5C1E"/>
    <w:rsid w:val="00EF5D49"/>
    <w:rsid w:val="00EF6AC2"/>
    <w:rsid w:val="00EF6AF9"/>
    <w:rsid w:val="00EF705F"/>
    <w:rsid w:val="00EF7BBD"/>
    <w:rsid w:val="00EF7BF6"/>
    <w:rsid w:val="00EF7F8F"/>
    <w:rsid w:val="00EF7FD2"/>
    <w:rsid w:val="00F001B3"/>
    <w:rsid w:val="00F00564"/>
    <w:rsid w:val="00F012C7"/>
    <w:rsid w:val="00F01338"/>
    <w:rsid w:val="00F01568"/>
    <w:rsid w:val="00F01844"/>
    <w:rsid w:val="00F02161"/>
    <w:rsid w:val="00F02767"/>
    <w:rsid w:val="00F02ED6"/>
    <w:rsid w:val="00F030F5"/>
    <w:rsid w:val="00F03233"/>
    <w:rsid w:val="00F03415"/>
    <w:rsid w:val="00F03D79"/>
    <w:rsid w:val="00F03E33"/>
    <w:rsid w:val="00F0412D"/>
    <w:rsid w:val="00F0418E"/>
    <w:rsid w:val="00F0477A"/>
    <w:rsid w:val="00F04829"/>
    <w:rsid w:val="00F048CE"/>
    <w:rsid w:val="00F04EA8"/>
    <w:rsid w:val="00F053DF"/>
    <w:rsid w:val="00F05458"/>
    <w:rsid w:val="00F05BED"/>
    <w:rsid w:val="00F06563"/>
    <w:rsid w:val="00F0688F"/>
    <w:rsid w:val="00F06A24"/>
    <w:rsid w:val="00F06DA1"/>
    <w:rsid w:val="00F06E0B"/>
    <w:rsid w:val="00F06F3D"/>
    <w:rsid w:val="00F07064"/>
    <w:rsid w:val="00F0713E"/>
    <w:rsid w:val="00F0716F"/>
    <w:rsid w:val="00F105C7"/>
    <w:rsid w:val="00F10977"/>
    <w:rsid w:val="00F109F5"/>
    <w:rsid w:val="00F10CA0"/>
    <w:rsid w:val="00F117DD"/>
    <w:rsid w:val="00F11D56"/>
    <w:rsid w:val="00F11FB1"/>
    <w:rsid w:val="00F123A8"/>
    <w:rsid w:val="00F12B8E"/>
    <w:rsid w:val="00F12FD0"/>
    <w:rsid w:val="00F13084"/>
    <w:rsid w:val="00F1429C"/>
    <w:rsid w:val="00F142D4"/>
    <w:rsid w:val="00F1469B"/>
    <w:rsid w:val="00F1494E"/>
    <w:rsid w:val="00F14B9A"/>
    <w:rsid w:val="00F14C23"/>
    <w:rsid w:val="00F1539B"/>
    <w:rsid w:val="00F15427"/>
    <w:rsid w:val="00F158FF"/>
    <w:rsid w:val="00F15E42"/>
    <w:rsid w:val="00F15FB9"/>
    <w:rsid w:val="00F160BB"/>
    <w:rsid w:val="00F1611F"/>
    <w:rsid w:val="00F169D5"/>
    <w:rsid w:val="00F16B61"/>
    <w:rsid w:val="00F16EBA"/>
    <w:rsid w:val="00F1787C"/>
    <w:rsid w:val="00F17B9C"/>
    <w:rsid w:val="00F20343"/>
    <w:rsid w:val="00F207E6"/>
    <w:rsid w:val="00F209AB"/>
    <w:rsid w:val="00F20A20"/>
    <w:rsid w:val="00F21C32"/>
    <w:rsid w:val="00F21EA8"/>
    <w:rsid w:val="00F2203A"/>
    <w:rsid w:val="00F224C6"/>
    <w:rsid w:val="00F227D5"/>
    <w:rsid w:val="00F22C62"/>
    <w:rsid w:val="00F22EC0"/>
    <w:rsid w:val="00F2317F"/>
    <w:rsid w:val="00F231EC"/>
    <w:rsid w:val="00F23AE7"/>
    <w:rsid w:val="00F2431B"/>
    <w:rsid w:val="00F24F88"/>
    <w:rsid w:val="00F24FB5"/>
    <w:rsid w:val="00F2558C"/>
    <w:rsid w:val="00F257E0"/>
    <w:rsid w:val="00F25C25"/>
    <w:rsid w:val="00F26954"/>
    <w:rsid w:val="00F26DE6"/>
    <w:rsid w:val="00F26F6F"/>
    <w:rsid w:val="00F270A6"/>
    <w:rsid w:val="00F2793E"/>
    <w:rsid w:val="00F300B8"/>
    <w:rsid w:val="00F300CC"/>
    <w:rsid w:val="00F30274"/>
    <w:rsid w:val="00F3031F"/>
    <w:rsid w:val="00F305C9"/>
    <w:rsid w:val="00F307A2"/>
    <w:rsid w:val="00F31446"/>
    <w:rsid w:val="00F318E0"/>
    <w:rsid w:val="00F33293"/>
    <w:rsid w:val="00F33681"/>
    <w:rsid w:val="00F33F28"/>
    <w:rsid w:val="00F349B7"/>
    <w:rsid w:val="00F35084"/>
    <w:rsid w:val="00F3510D"/>
    <w:rsid w:val="00F35764"/>
    <w:rsid w:val="00F35814"/>
    <w:rsid w:val="00F35EF7"/>
    <w:rsid w:val="00F36134"/>
    <w:rsid w:val="00F36EEE"/>
    <w:rsid w:val="00F37752"/>
    <w:rsid w:val="00F378E4"/>
    <w:rsid w:val="00F37C24"/>
    <w:rsid w:val="00F40456"/>
    <w:rsid w:val="00F40A9D"/>
    <w:rsid w:val="00F40D28"/>
    <w:rsid w:val="00F41257"/>
    <w:rsid w:val="00F412D1"/>
    <w:rsid w:val="00F41C5B"/>
    <w:rsid w:val="00F42F08"/>
    <w:rsid w:val="00F43062"/>
    <w:rsid w:val="00F43387"/>
    <w:rsid w:val="00F4354F"/>
    <w:rsid w:val="00F43678"/>
    <w:rsid w:val="00F43E0B"/>
    <w:rsid w:val="00F451B8"/>
    <w:rsid w:val="00F452EA"/>
    <w:rsid w:val="00F45C4D"/>
    <w:rsid w:val="00F45E8E"/>
    <w:rsid w:val="00F46F46"/>
    <w:rsid w:val="00F47009"/>
    <w:rsid w:val="00F4728F"/>
    <w:rsid w:val="00F473B2"/>
    <w:rsid w:val="00F50EAF"/>
    <w:rsid w:val="00F50F09"/>
    <w:rsid w:val="00F50FA9"/>
    <w:rsid w:val="00F51E2D"/>
    <w:rsid w:val="00F524A2"/>
    <w:rsid w:val="00F526F6"/>
    <w:rsid w:val="00F529E5"/>
    <w:rsid w:val="00F53A83"/>
    <w:rsid w:val="00F54537"/>
    <w:rsid w:val="00F54625"/>
    <w:rsid w:val="00F54CF5"/>
    <w:rsid w:val="00F54E29"/>
    <w:rsid w:val="00F551E9"/>
    <w:rsid w:val="00F55572"/>
    <w:rsid w:val="00F55DC3"/>
    <w:rsid w:val="00F55E63"/>
    <w:rsid w:val="00F56113"/>
    <w:rsid w:val="00F5611B"/>
    <w:rsid w:val="00F56267"/>
    <w:rsid w:val="00F56C34"/>
    <w:rsid w:val="00F57887"/>
    <w:rsid w:val="00F57B53"/>
    <w:rsid w:val="00F57E4F"/>
    <w:rsid w:val="00F60BF1"/>
    <w:rsid w:val="00F60F9A"/>
    <w:rsid w:val="00F61FBE"/>
    <w:rsid w:val="00F62034"/>
    <w:rsid w:val="00F62151"/>
    <w:rsid w:val="00F625E0"/>
    <w:rsid w:val="00F627E2"/>
    <w:rsid w:val="00F632BE"/>
    <w:rsid w:val="00F63370"/>
    <w:rsid w:val="00F640FC"/>
    <w:rsid w:val="00F6509C"/>
    <w:rsid w:val="00F65271"/>
    <w:rsid w:val="00F654F2"/>
    <w:rsid w:val="00F658E4"/>
    <w:rsid w:val="00F663FE"/>
    <w:rsid w:val="00F66BAF"/>
    <w:rsid w:val="00F67446"/>
    <w:rsid w:val="00F7002F"/>
    <w:rsid w:val="00F707E6"/>
    <w:rsid w:val="00F70855"/>
    <w:rsid w:val="00F70969"/>
    <w:rsid w:val="00F709F8"/>
    <w:rsid w:val="00F70BA8"/>
    <w:rsid w:val="00F70DDD"/>
    <w:rsid w:val="00F71BFD"/>
    <w:rsid w:val="00F71DDD"/>
    <w:rsid w:val="00F7205F"/>
    <w:rsid w:val="00F723EF"/>
    <w:rsid w:val="00F72642"/>
    <w:rsid w:val="00F726A7"/>
    <w:rsid w:val="00F72733"/>
    <w:rsid w:val="00F729AE"/>
    <w:rsid w:val="00F73260"/>
    <w:rsid w:val="00F73A6A"/>
    <w:rsid w:val="00F73F31"/>
    <w:rsid w:val="00F7445D"/>
    <w:rsid w:val="00F7480C"/>
    <w:rsid w:val="00F74C80"/>
    <w:rsid w:val="00F74D90"/>
    <w:rsid w:val="00F75674"/>
    <w:rsid w:val="00F75B7D"/>
    <w:rsid w:val="00F75DFF"/>
    <w:rsid w:val="00F7615D"/>
    <w:rsid w:val="00F7708C"/>
    <w:rsid w:val="00F773F9"/>
    <w:rsid w:val="00F776E0"/>
    <w:rsid w:val="00F77A48"/>
    <w:rsid w:val="00F77F5B"/>
    <w:rsid w:val="00F800C9"/>
    <w:rsid w:val="00F806CE"/>
    <w:rsid w:val="00F80C9F"/>
    <w:rsid w:val="00F80D42"/>
    <w:rsid w:val="00F80EA7"/>
    <w:rsid w:val="00F8142E"/>
    <w:rsid w:val="00F82293"/>
    <w:rsid w:val="00F8250F"/>
    <w:rsid w:val="00F83AA1"/>
    <w:rsid w:val="00F83CE6"/>
    <w:rsid w:val="00F842D8"/>
    <w:rsid w:val="00F844B8"/>
    <w:rsid w:val="00F848EA"/>
    <w:rsid w:val="00F86432"/>
    <w:rsid w:val="00F866E9"/>
    <w:rsid w:val="00F868DC"/>
    <w:rsid w:val="00F875BA"/>
    <w:rsid w:val="00F876C1"/>
    <w:rsid w:val="00F87B54"/>
    <w:rsid w:val="00F87CC9"/>
    <w:rsid w:val="00F9059F"/>
    <w:rsid w:val="00F90783"/>
    <w:rsid w:val="00F90D40"/>
    <w:rsid w:val="00F90D94"/>
    <w:rsid w:val="00F90FA3"/>
    <w:rsid w:val="00F9114A"/>
    <w:rsid w:val="00F91302"/>
    <w:rsid w:val="00F91827"/>
    <w:rsid w:val="00F91B62"/>
    <w:rsid w:val="00F92092"/>
    <w:rsid w:val="00F92BDC"/>
    <w:rsid w:val="00F92D72"/>
    <w:rsid w:val="00F93328"/>
    <w:rsid w:val="00F93693"/>
    <w:rsid w:val="00F93D9C"/>
    <w:rsid w:val="00F940D0"/>
    <w:rsid w:val="00F9415C"/>
    <w:rsid w:val="00F94565"/>
    <w:rsid w:val="00F94BB2"/>
    <w:rsid w:val="00F960D7"/>
    <w:rsid w:val="00F96141"/>
    <w:rsid w:val="00F96394"/>
    <w:rsid w:val="00F9692B"/>
    <w:rsid w:val="00F9731F"/>
    <w:rsid w:val="00F97719"/>
    <w:rsid w:val="00F97B3E"/>
    <w:rsid w:val="00F97DE9"/>
    <w:rsid w:val="00FA01D5"/>
    <w:rsid w:val="00FA0BFD"/>
    <w:rsid w:val="00FA117B"/>
    <w:rsid w:val="00FA1190"/>
    <w:rsid w:val="00FA22F8"/>
    <w:rsid w:val="00FA2499"/>
    <w:rsid w:val="00FA26A3"/>
    <w:rsid w:val="00FA27DD"/>
    <w:rsid w:val="00FA2E9C"/>
    <w:rsid w:val="00FA32CB"/>
    <w:rsid w:val="00FA38A8"/>
    <w:rsid w:val="00FA43BA"/>
    <w:rsid w:val="00FA44A1"/>
    <w:rsid w:val="00FA45C2"/>
    <w:rsid w:val="00FA4CDE"/>
    <w:rsid w:val="00FA5272"/>
    <w:rsid w:val="00FA539A"/>
    <w:rsid w:val="00FA5540"/>
    <w:rsid w:val="00FA6078"/>
    <w:rsid w:val="00FA68D3"/>
    <w:rsid w:val="00FA69B6"/>
    <w:rsid w:val="00FA69D9"/>
    <w:rsid w:val="00FA725C"/>
    <w:rsid w:val="00FA7E9D"/>
    <w:rsid w:val="00FB07CC"/>
    <w:rsid w:val="00FB097E"/>
    <w:rsid w:val="00FB10CB"/>
    <w:rsid w:val="00FB113D"/>
    <w:rsid w:val="00FB21CB"/>
    <w:rsid w:val="00FB22E6"/>
    <w:rsid w:val="00FB27C8"/>
    <w:rsid w:val="00FB3064"/>
    <w:rsid w:val="00FB441E"/>
    <w:rsid w:val="00FB51D7"/>
    <w:rsid w:val="00FB5577"/>
    <w:rsid w:val="00FB59BE"/>
    <w:rsid w:val="00FB5E7C"/>
    <w:rsid w:val="00FB6038"/>
    <w:rsid w:val="00FB7594"/>
    <w:rsid w:val="00FB764C"/>
    <w:rsid w:val="00FB7FE6"/>
    <w:rsid w:val="00FC01E8"/>
    <w:rsid w:val="00FC0578"/>
    <w:rsid w:val="00FC151A"/>
    <w:rsid w:val="00FC161B"/>
    <w:rsid w:val="00FC1D95"/>
    <w:rsid w:val="00FC21B3"/>
    <w:rsid w:val="00FC2378"/>
    <w:rsid w:val="00FC2AB1"/>
    <w:rsid w:val="00FC3BFD"/>
    <w:rsid w:val="00FC479E"/>
    <w:rsid w:val="00FC496A"/>
    <w:rsid w:val="00FC4DF9"/>
    <w:rsid w:val="00FC4E23"/>
    <w:rsid w:val="00FC4FD2"/>
    <w:rsid w:val="00FC5050"/>
    <w:rsid w:val="00FC525A"/>
    <w:rsid w:val="00FC5CE4"/>
    <w:rsid w:val="00FC5FB9"/>
    <w:rsid w:val="00FC6544"/>
    <w:rsid w:val="00FC6B4C"/>
    <w:rsid w:val="00FC6C52"/>
    <w:rsid w:val="00FC732D"/>
    <w:rsid w:val="00FD0129"/>
    <w:rsid w:val="00FD03CA"/>
    <w:rsid w:val="00FD0464"/>
    <w:rsid w:val="00FD0694"/>
    <w:rsid w:val="00FD08AE"/>
    <w:rsid w:val="00FD0AAE"/>
    <w:rsid w:val="00FD0C79"/>
    <w:rsid w:val="00FD1577"/>
    <w:rsid w:val="00FD1970"/>
    <w:rsid w:val="00FD2371"/>
    <w:rsid w:val="00FD3564"/>
    <w:rsid w:val="00FD386D"/>
    <w:rsid w:val="00FD4178"/>
    <w:rsid w:val="00FD53AC"/>
    <w:rsid w:val="00FD56B0"/>
    <w:rsid w:val="00FD61E4"/>
    <w:rsid w:val="00FD63AF"/>
    <w:rsid w:val="00FD65D9"/>
    <w:rsid w:val="00FD7052"/>
    <w:rsid w:val="00FD7859"/>
    <w:rsid w:val="00FD79C2"/>
    <w:rsid w:val="00FD7F14"/>
    <w:rsid w:val="00FE0682"/>
    <w:rsid w:val="00FE0708"/>
    <w:rsid w:val="00FE0A2C"/>
    <w:rsid w:val="00FE1857"/>
    <w:rsid w:val="00FE19CF"/>
    <w:rsid w:val="00FE2029"/>
    <w:rsid w:val="00FE2C7B"/>
    <w:rsid w:val="00FE35B6"/>
    <w:rsid w:val="00FE3EDB"/>
    <w:rsid w:val="00FE3F0C"/>
    <w:rsid w:val="00FE462A"/>
    <w:rsid w:val="00FE4914"/>
    <w:rsid w:val="00FE49D4"/>
    <w:rsid w:val="00FE4D9A"/>
    <w:rsid w:val="00FE4F98"/>
    <w:rsid w:val="00FE5596"/>
    <w:rsid w:val="00FE58EA"/>
    <w:rsid w:val="00FE5B3B"/>
    <w:rsid w:val="00FE5E13"/>
    <w:rsid w:val="00FE6790"/>
    <w:rsid w:val="00FE7039"/>
    <w:rsid w:val="00FE7469"/>
    <w:rsid w:val="00FE7BFF"/>
    <w:rsid w:val="00FE7D59"/>
    <w:rsid w:val="00FE7FF9"/>
    <w:rsid w:val="00FF05B1"/>
    <w:rsid w:val="00FF0C7B"/>
    <w:rsid w:val="00FF163C"/>
    <w:rsid w:val="00FF213D"/>
    <w:rsid w:val="00FF2F70"/>
    <w:rsid w:val="00FF2FEF"/>
    <w:rsid w:val="00FF41B9"/>
    <w:rsid w:val="00FF5329"/>
    <w:rsid w:val="00FF54F1"/>
    <w:rsid w:val="00FF6577"/>
    <w:rsid w:val="00FF6C4A"/>
    <w:rsid w:val="00FF6D36"/>
    <w:rsid w:val="00FF72DF"/>
    <w:rsid w:val="00FF7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address"/>
  <w:smartTagType w:namespaceuri="urn:schemas-microsoft-com:office:smarttags" w:name="date"/>
  <w:smartTagType w:namespaceuri="urn:schemas-microsoft-com:office:smarttags" w:name="Street"/>
  <w:smartTagType w:namespaceuri="urn:schemas-microsoft-com:office:smarttags" w:name="State"/>
  <w:shapeDefaults>
    <o:shapedefaults v:ext="edit" spidmax="2050">
      <o:colormru v:ext="edit" colors="#dd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038"/>
    <w:rPr>
      <w:rFonts w:ascii="Arial" w:hAnsi="Arial"/>
      <w:sz w:val="22"/>
      <w:lang w:val="en-GB"/>
    </w:rPr>
  </w:style>
  <w:style w:type="paragraph" w:styleId="Heading1">
    <w:name w:val="heading 1"/>
    <w:basedOn w:val="Normal"/>
    <w:next w:val="Normal"/>
    <w:qFormat/>
    <w:rsid w:val="00DB5D5F"/>
    <w:pPr>
      <w:keepNext/>
      <w:outlineLvl w:val="0"/>
    </w:pPr>
    <w:rPr>
      <w:rFonts w:cs="Arial"/>
      <w:b/>
      <w:bCs/>
      <w:kern w:val="32"/>
      <w:sz w:val="40"/>
      <w:szCs w:val="32"/>
      <w:lang w:val="en-NZ"/>
    </w:rPr>
  </w:style>
  <w:style w:type="paragraph" w:styleId="Heading2">
    <w:name w:val="heading 2"/>
    <w:basedOn w:val="Heading1"/>
    <w:next w:val="Normal"/>
    <w:qFormat/>
    <w:rsid w:val="00DB5D5F"/>
    <w:pPr>
      <w:outlineLvl w:val="1"/>
    </w:pPr>
    <w:rPr>
      <w:bCs w:val="0"/>
      <w:iCs/>
      <w:sz w:val="28"/>
      <w:szCs w:val="28"/>
    </w:rPr>
  </w:style>
  <w:style w:type="paragraph" w:styleId="Heading3">
    <w:name w:val="heading 3"/>
    <w:basedOn w:val="Normal"/>
    <w:next w:val="Normal"/>
    <w:qFormat/>
    <w:rsid w:val="004F3869"/>
    <w:pPr>
      <w:keepNext/>
      <w:outlineLvl w:val="2"/>
    </w:pPr>
    <w:rPr>
      <w:rFonts w:cs="Arial"/>
      <w:b/>
      <w:bCs/>
      <w:szCs w:val="26"/>
    </w:rPr>
  </w:style>
  <w:style w:type="paragraph" w:styleId="Heading4">
    <w:name w:val="heading 4"/>
    <w:basedOn w:val="Normal"/>
    <w:next w:val="Normal"/>
    <w:qFormat/>
    <w:rsid w:val="002921AE"/>
    <w:pPr>
      <w:keepNext/>
      <w:spacing w:before="240" w:after="60"/>
      <w:outlineLvl w:val="3"/>
    </w:pPr>
    <w:rPr>
      <w:b/>
      <w:bCs/>
      <w:sz w:val="28"/>
      <w:szCs w:val="28"/>
    </w:rPr>
  </w:style>
  <w:style w:type="paragraph" w:styleId="Heading5">
    <w:name w:val="heading 5"/>
    <w:basedOn w:val="Normal"/>
    <w:next w:val="Normal"/>
    <w:qFormat/>
    <w:rsid w:val="00630E62"/>
    <w:pPr>
      <w:spacing w:before="240" w:after="60"/>
      <w:outlineLvl w:val="4"/>
    </w:pPr>
    <w:rPr>
      <w:b/>
      <w:bCs/>
      <w:i/>
      <w:iCs/>
      <w:sz w:val="26"/>
      <w:szCs w:val="26"/>
    </w:rPr>
  </w:style>
  <w:style w:type="paragraph" w:styleId="Heading6">
    <w:name w:val="heading 6"/>
    <w:basedOn w:val="Normal"/>
    <w:next w:val="Normal"/>
    <w:qFormat/>
    <w:rsid w:val="00625052"/>
    <w:pPr>
      <w:spacing w:before="240" w:after="60"/>
      <w:outlineLvl w:val="5"/>
    </w:pPr>
    <w:rPr>
      <w:rFonts w:ascii="Times New Roman" w:hAnsi="Times New Roman"/>
      <w:b/>
      <w:bCs/>
      <w:szCs w:val="22"/>
    </w:rPr>
  </w:style>
  <w:style w:type="paragraph" w:styleId="Heading9">
    <w:name w:val="heading 9"/>
    <w:basedOn w:val="Normal"/>
    <w:next w:val="Normal"/>
    <w:qFormat/>
    <w:rsid w:val="00630E62"/>
    <w:pPr>
      <w:spacing w:before="240" w:after="60"/>
      <w:outlineLvl w:val="8"/>
    </w:pPr>
    <w:rPr>
      <w:rFonts w:cs="Arial"/>
      <w:szCs w:val="22"/>
    </w:rPr>
  </w:style>
  <w:style w:type="character" w:default="1" w:styleId="DefaultParagraphFont">
    <w:name w:val="Default Paragraph Font"/>
    <w:aliases w:val=" Char Char1 Char Char Char Char Char Char"/>
    <w:link w:val="CharChar1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b/>
      <w:sz w:val="24"/>
    </w:rPr>
  </w:style>
  <w:style w:type="table" w:styleId="TableGrid">
    <w:name w:val="Table Grid"/>
    <w:basedOn w:val="TableNormal"/>
    <w:rsid w:val="00AA6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C4703A"/>
  </w:style>
  <w:style w:type="character" w:styleId="FootnoteReference">
    <w:name w:val="footnote reference"/>
    <w:basedOn w:val="DefaultParagraphFont"/>
    <w:semiHidden/>
    <w:rsid w:val="00C4703A"/>
    <w:rPr>
      <w:vertAlign w:val="superscript"/>
    </w:rPr>
  </w:style>
  <w:style w:type="character" w:styleId="Hyperlink">
    <w:name w:val="Hyperlink"/>
    <w:basedOn w:val="DefaultParagraphFont"/>
    <w:rsid w:val="00BF4D9D"/>
    <w:rPr>
      <w:color w:val="0000FF"/>
      <w:u w:val="single"/>
    </w:rPr>
  </w:style>
  <w:style w:type="paragraph" w:customStyle="1" w:styleId="StyleSourceArialMori9ptBlackJustifiedLeft0cmBe">
    <w:name w:val="Style Source + Arial Mäori 9 pt Black Justified Left:  0 cm Be..."/>
    <w:basedOn w:val="Normal"/>
    <w:rsid w:val="00BA6B69"/>
    <w:pPr>
      <w:spacing w:line="360" w:lineRule="auto"/>
    </w:pPr>
    <w:rPr>
      <w:rFonts w:ascii="Arial Mäori" w:hAnsi="Arial Mäori"/>
      <w:i/>
      <w:iCs/>
      <w:color w:val="000000"/>
      <w:sz w:val="18"/>
      <w:lang w:eastAsia="en-GB"/>
    </w:rPr>
  </w:style>
  <w:style w:type="character" w:customStyle="1" w:styleId="MainTableFigHeadChar">
    <w:name w:val="Main TableFig Head Char"/>
    <w:basedOn w:val="DefaultParagraphFont"/>
    <w:rsid w:val="002921AE"/>
    <w:rPr>
      <w:rFonts w:ascii="Arial Maori" w:hAnsi="Arial Maori"/>
      <w:b/>
      <w:sz w:val="18"/>
      <w:szCs w:val="18"/>
    </w:rPr>
  </w:style>
  <w:style w:type="paragraph" w:customStyle="1" w:styleId="MainTableFigHeadChar1">
    <w:name w:val="Main TableFig Head Char1"/>
    <w:basedOn w:val="Heading4"/>
    <w:link w:val="MainTableFigHeadChar1Char"/>
    <w:rsid w:val="002921AE"/>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2921AE"/>
    <w:pPr>
      <w:spacing w:before="40" w:after="40"/>
    </w:pPr>
    <w:rPr>
      <w:rFonts w:ascii="Arial Maori" w:hAnsi="Arial Maori"/>
      <w:b/>
      <w:color w:val="999999"/>
      <w:sz w:val="16"/>
      <w:szCs w:val="18"/>
      <w:lang w:eastAsia="en-GB"/>
    </w:rPr>
  </w:style>
  <w:style w:type="character" w:customStyle="1" w:styleId="MainTableFigHeadChar1Char">
    <w:name w:val="Main TableFig Head Char1 Char"/>
    <w:basedOn w:val="DefaultParagraphFont"/>
    <w:link w:val="MainTableFigHeadChar1"/>
    <w:rsid w:val="002921AE"/>
    <w:rPr>
      <w:rFonts w:ascii="Arial Maori" w:hAnsi="Arial Maori"/>
      <w:bCs/>
      <w:color w:val="999999"/>
      <w:sz w:val="16"/>
      <w:szCs w:val="28"/>
      <w:lang w:val="en-GB" w:eastAsia="en-GB" w:bidi="ar-SA"/>
    </w:rPr>
  </w:style>
  <w:style w:type="paragraph" w:customStyle="1" w:styleId="ReportBody">
    <w:name w:val="Report Body"/>
    <w:basedOn w:val="Normal"/>
    <w:rsid w:val="003A5990"/>
    <w:pPr>
      <w:numPr>
        <w:numId w:val="1"/>
      </w:numPr>
      <w:spacing w:after="240" w:line="260" w:lineRule="exact"/>
      <w:jc w:val="both"/>
    </w:pPr>
    <w:rPr>
      <w:kern w:val="22"/>
      <w:szCs w:val="22"/>
      <w:lang w:val="en-NZ"/>
    </w:rPr>
  </w:style>
  <w:style w:type="numbering" w:customStyle="1" w:styleId="ReportNumber">
    <w:name w:val="Report Number"/>
    <w:basedOn w:val="NoList"/>
    <w:rsid w:val="003A5990"/>
    <w:pPr>
      <w:numPr>
        <w:numId w:val="1"/>
      </w:numPr>
    </w:pPr>
  </w:style>
  <w:style w:type="paragraph" w:styleId="TOC2">
    <w:name w:val="toc 2"/>
    <w:basedOn w:val="Normal"/>
    <w:next w:val="Normal"/>
    <w:autoRedefine/>
    <w:semiHidden/>
    <w:rsid w:val="00C410A6"/>
    <w:pPr>
      <w:tabs>
        <w:tab w:val="left" w:pos="600"/>
        <w:tab w:val="left" w:pos="8640"/>
      </w:tabs>
      <w:ind w:left="600"/>
    </w:pPr>
    <w:rPr>
      <w:noProof/>
    </w:rPr>
  </w:style>
  <w:style w:type="paragraph" w:styleId="TOC1">
    <w:name w:val="toc 1"/>
    <w:basedOn w:val="Normal"/>
    <w:next w:val="Normal"/>
    <w:autoRedefine/>
    <w:semiHidden/>
    <w:rsid w:val="00864505"/>
    <w:pPr>
      <w:tabs>
        <w:tab w:val="left" w:pos="8640"/>
      </w:tabs>
    </w:pPr>
  </w:style>
  <w:style w:type="paragraph" w:styleId="TOC4">
    <w:name w:val="toc 4"/>
    <w:basedOn w:val="Normal"/>
    <w:next w:val="Normal"/>
    <w:autoRedefine/>
    <w:semiHidden/>
    <w:rsid w:val="00DB5D5F"/>
    <w:pPr>
      <w:ind w:left="720"/>
    </w:pPr>
    <w:rPr>
      <w:sz w:val="24"/>
      <w:szCs w:val="24"/>
      <w:lang w:val="en-US"/>
    </w:rPr>
  </w:style>
  <w:style w:type="paragraph" w:styleId="TOC3">
    <w:name w:val="toc 3"/>
    <w:basedOn w:val="Normal"/>
    <w:next w:val="Normal"/>
    <w:autoRedefine/>
    <w:semiHidden/>
    <w:rsid w:val="00DE1C53"/>
    <w:pPr>
      <w:numPr>
        <w:numId w:val="2"/>
      </w:numPr>
      <w:tabs>
        <w:tab w:val="left" w:pos="600"/>
        <w:tab w:val="right" w:pos="757"/>
        <w:tab w:val="left" w:pos="960"/>
        <w:tab w:val="left" w:pos="8640"/>
      </w:tabs>
      <w:ind w:left="1157"/>
    </w:pPr>
  </w:style>
  <w:style w:type="paragraph" w:styleId="TOC5">
    <w:name w:val="toc 5"/>
    <w:basedOn w:val="Normal"/>
    <w:next w:val="Normal"/>
    <w:autoRedefine/>
    <w:semiHidden/>
    <w:rsid w:val="00DB5D5F"/>
    <w:pPr>
      <w:ind w:left="960"/>
    </w:pPr>
    <w:rPr>
      <w:sz w:val="24"/>
      <w:szCs w:val="24"/>
      <w:lang w:val="en-US"/>
    </w:rPr>
  </w:style>
  <w:style w:type="paragraph" w:styleId="TOC6">
    <w:name w:val="toc 6"/>
    <w:basedOn w:val="Normal"/>
    <w:next w:val="Normal"/>
    <w:autoRedefine/>
    <w:semiHidden/>
    <w:rsid w:val="00DB5D5F"/>
    <w:pPr>
      <w:ind w:left="1200"/>
    </w:pPr>
    <w:rPr>
      <w:sz w:val="24"/>
      <w:szCs w:val="24"/>
      <w:lang w:val="en-US"/>
    </w:rPr>
  </w:style>
  <w:style w:type="paragraph" w:styleId="TOC7">
    <w:name w:val="toc 7"/>
    <w:basedOn w:val="Normal"/>
    <w:next w:val="Normal"/>
    <w:autoRedefine/>
    <w:semiHidden/>
    <w:rsid w:val="00DB5D5F"/>
    <w:pPr>
      <w:ind w:left="1440"/>
    </w:pPr>
    <w:rPr>
      <w:sz w:val="24"/>
      <w:szCs w:val="24"/>
      <w:lang w:val="en-US"/>
    </w:rPr>
  </w:style>
  <w:style w:type="paragraph" w:styleId="TOC8">
    <w:name w:val="toc 8"/>
    <w:basedOn w:val="Normal"/>
    <w:next w:val="Normal"/>
    <w:autoRedefine/>
    <w:semiHidden/>
    <w:rsid w:val="00DB5D5F"/>
    <w:pPr>
      <w:ind w:left="1680"/>
    </w:pPr>
    <w:rPr>
      <w:sz w:val="24"/>
      <w:szCs w:val="24"/>
      <w:lang w:val="en-US"/>
    </w:rPr>
  </w:style>
  <w:style w:type="paragraph" w:styleId="TOC9">
    <w:name w:val="toc 9"/>
    <w:basedOn w:val="Normal"/>
    <w:next w:val="Normal"/>
    <w:autoRedefine/>
    <w:semiHidden/>
    <w:rsid w:val="00DB5D5F"/>
    <w:pPr>
      <w:ind w:left="1920"/>
    </w:pPr>
    <w:rPr>
      <w:sz w:val="24"/>
      <w:szCs w:val="24"/>
      <w:lang w:val="en-US"/>
    </w:rPr>
  </w:style>
  <w:style w:type="character" w:styleId="FollowedHyperlink">
    <w:name w:val="FollowedHyperlink"/>
    <w:basedOn w:val="DefaultParagraphFont"/>
    <w:rsid w:val="00F91827"/>
    <w:rPr>
      <w:color w:val="800080"/>
      <w:u w:val="single"/>
    </w:rPr>
  </w:style>
  <w:style w:type="paragraph" w:styleId="Caption">
    <w:name w:val="caption"/>
    <w:basedOn w:val="Normal"/>
    <w:next w:val="Normal"/>
    <w:qFormat/>
    <w:rsid w:val="004A73DE"/>
    <w:pPr>
      <w:spacing w:before="120" w:after="120"/>
    </w:pPr>
    <w:rPr>
      <w:b/>
      <w:bCs/>
      <w:sz w:val="20"/>
    </w:rPr>
  </w:style>
  <w:style w:type="character" w:styleId="CommentReference">
    <w:name w:val="annotation reference"/>
    <w:basedOn w:val="DefaultParagraphFont"/>
    <w:semiHidden/>
    <w:rsid w:val="00CC3DDF"/>
    <w:rPr>
      <w:sz w:val="16"/>
      <w:szCs w:val="16"/>
    </w:rPr>
  </w:style>
  <w:style w:type="paragraph" w:styleId="CommentText">
    <w:name w:val="annotation text"/>
    <w:basedOn w:val="Normal"/>
    <w:semiHidden/>
    <w:rsid w:val="00CC3DDF"/>
    <w:rPr>
      <w:sz w:val="20"/>
    </w:rPr>
  </w:style>
  <w:style w:type="paragraph" w:styleId="CommentSubject">
    <w:name w:val="annotation subject"/>
    <w:basedOn w:val="CommentText"/>
    <w:next w:val="CommentText"/>
    <w:semiHidden/>
    <w:rsid w:val="00CC3DDF"/>
    <w:rPr>
      <w:b/>
      <w:bCs/>
    </w:rPr>
  </w:style>
  <w:style w:type="paragraph" w:styleId="BalloonText">
    <w:name w:val="Balloon Text"/>
    <w:basedOn w:val="Normal"/>
    <w:semiHidden/>
    <w:rsid w:val="00CC3DDF"/>
    <w:rPr>
      <w:rFonts w:ascii="Tahoma" w:hAnsi="Tahoma" w:cs="Tahoma"/>
      <w:sz w:val="16"/>
      <w:szCs w:val="16"/>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C947F3"/>
    <w:rPr>
      <w:rFonts w:cs="Arial"/>
      <w:b/>
      <w:bCs/>
      <w:lang w:val="en-NZ"/>
    </w:rPr>
  </w:style>
  <w:style w:type="paragraph" w:styleId="NormalWeb">
    <w:name w:val="Normal (Web)"/>
    <w:basedOn w:val="Normal"/>
    <w:rsid w:val="00FB07CC"/>
    <w:pPr>
      <w:spacing w:before="100" w:beforeAutospacing="1" w:after="100" w:afterAutospacing="1"/>
    </w:pPr>
    <w:rPr>
      <w:rFonts w:ascii="Times New Roman" w:hAnsi="Times New Roman"/>
      <w:sz w:val="24"/>
      <w:szCs w:val="24"/>
      <w:lang w:val="en-US"/>
    </w:rPr>
  </w:style>
  <w:style w:type="numbering" w:customStyle="1" w:styleId="BodyNumber">
    <w:name w:val="Body Number"/>
    <w:basedOn w:val="NoList"/>
    <w:rsid w:val="00096A21"/>
    <w:pPr>
      <w:numPr>
        <w:numId w:val="11"/>
      </w:numPr>
    </w:pPr>
  </w:style>
  <w:style w:type="paragraph" w:customStyle="1" w:styleId="BodyText">
    <w:name w:val="Body  Text"/>
    <w:basedOn w:val="Normal"/>
    <w:link w:val="BodyTextChar0"/>
    <w:rsid w:val="00096A21"/>
    <w:pPr>
      <w:numPr>
        <w:numId w:val="11"/>
      </w:numPr>
      <w:spacing w:after="240" w:line="260" w:lineRule="exact"/>
      <w:jc w:val="both"/>
    </w:pPr>
    <w:rPr>
      <w:kern w:val="22"/>
      <w:szCs w:val="22"/>
      <w:lang w:val="en-NZ"/>
    </w:rPr>
  </w:style>
  <w:style w:type="character" w:customStyle="1" w:styleId="BodyTextChar0">
    <w:name w:val="Body  Text Char"/>
    <w:basedOn w:val="DefaultParagraphFont"/>
    <w:link w:val="BodyText"/>
    <w:rsid w:val="00096A21"/>
    <w:rPr>
      <w:rFonts w:ascii="Arial" w:hAnsi="Arial"/>
      <w:kern w:val="22"/>
      <w:sz w:val="22"/>
      <w:szCs w:val="22"/>
      <w:lang w:val="en-NZ" w:eastAsia="en-US" w:bidi="ar-SA"/>
    </w:rPr>
  </w:style>
  <w:style w:type="paragraph" w:customStyle="1" w:styleId="Default">
    <w:name w:val="Default"/>
    <w:rsid w:val="008619DD"/>
    <w:pPr>
      <w:autoSpaceDE w:val="0"/>
      <w:autoSpaceDN w:val="0"/>
      <w:adjustRightInd w:val="0"/>
    </w:pPr>
    <w:rPr>
      <w:rFonts w:ascii="Arial" w:hAnsi="Arial" w:cs="Arial"/>
      <w:color w:val="000000"/>
      <w:sz w:val="24"/>
      <w:szCs w:val="24"/>
    </w:rPr>
  </w:style>
  <w:style w:type="paragraph" w:customStyle="1" w:styleId="CharChar1CharCharCharChar">
    <w:name w:val=" Char Char1 Char Char Char Char"/>
    <w:basedOn w:val="Normal"/>
    <w:link w:val="DefaultParagraphFont"/>
    <w:rsid w:val="00AB26AF"/>
    <w:pPr>
      <w:spacing w:before="360" w:after="240" w:line="280" w:lineRule="atLeast"/>
      <w:jc w:val="both"/>
    </w:pPr>
    <w:rPr>
      <w:rFonts w:ascii="Verdana" w:hAnsi="Verdana"/>
      <w:b/>
      <w:caps/>
      <w:sz w:val="28"/>
      <w:szCs w:val="28"/>
      <w:lang w:val="en-US"/>
    </w:rPr>
  </w:style>
  <w:style w:type="paragraph" w:customStyle="1" w:styleId="CharChar5CharCharChar">
    <w:name w:val=" Char Char5 Char Char Char"/>
    <w:basedOn w:val="Normal"/>
    <w:semiHidden/>
    <w:rsid w:val="00926742"/>
    <w:pPr>
      <w:spacing w:after="160" w:line="240" w:lineRule="exact"/>
    </w:pPr>
    <w:rPr>
      <w:rFonts w:ascii="Verdana" w:hAnsi="Verdana"/>
      <w:sz w:val="20"/>
      <w:szCs w:val="24"/>
      <w:lang w:val="en-US"/>
    </w:rPr>
  </w:style>
  <w:style w:type="paragraph" w:customStyle="1" w:styleId="CharChar2CharCharCharCharCharCharCharCharChar">
    <w:name w:val=" Char Char2 Char Char Char Char Char Char Char Char Char"/>
    <w:basedOn w:val="Normal"/>
    <w:rsid w:val="00630E62"/>
    <w:pPr>
      <w:spacing w:after="160" w:line="240" w:lineRule="exact"/>
    </w:pPr>
    <w:rPr>
      <w:rFonts w:ascii="Verdana" w:hAnsi="Verdana"/>
      <w:sz w:val="20"/>
      <w:lang w:val="en-US"/>
    </w:rPr>
  </w:style>
  <w:style w:type="paragraph" w:styleId="List2">
    <w:name w:val="List 2"/>
    <w:basedOn w:val="Normal"/>
    <w:rsid w:val="00630E62"/>
    <w:pPr>
      <w:ind w:left="566" w:hanging="283"/>
    </w:pPr>
  </w:style>
  <w:style w:type="paragraph" w:styleId="ListBullet2">
    <w:name w:val="List Bullet 2"/>
    <w:basedOn w:val="Normal"/>
    <w:autoRedefine/>
    <w:rsid w:val="00630E62"/>
    <w:pPr>
      <w:tabs>
        <w:tab w:val="num" w:pos="643"/>
      </w:tabs>
      <w:ind w:left="643" w:hanging="360"/>
    </w:pPr>
  </w:style>
  <w:style w:type="paragraph" w:styleId="BodyTextIndent">
    <w:name w:val="Body Text Indent"/>
    <w:basedOn w:val="Normal"/>
    <w:rsid w:val="00630E62"/>
    <w:pPr>
      <w:spacing w:after="120"/>
      <w:ind w:left="283"/>
    </w:pPr>
  </w:style>
  <w:style w:type="paragraph" w:customStyle="1" w:styleId="CharChar">
    <w:name w:val=" Char Char"/>
    <w:basedOn w:val="Normal"/>
    <w:rsid w:val="00CA3702"/>
    <w:pPr>
      <w:spacing w:after="160" w:line="240" w:lineRule="exact"/>
    </w:pPr>
    <w:rPr>
      <w:rFonts w:ascii="Tahoma" w:hAnsi="Tahoma"/>
      <w:sz w:val="20"/>
      <w:lang w:val="en-US"/>
    </w:rPr>
  </w:style>
  <w:style w:type="paragraph" w:customStyle="1" w:styleId="csresource">
    <w:name w:val="csresource"/>
    <w:basedOn w:val="Normal"/>
    <w:rsid w:val="00625052"/>
    <w:pPr>
      <w:spacing w:before="60"/>
    </w:pPr>
    <w:rPr>
      <w:rFonts w:ascii="Arial Mäori" w:hAnsi="Arial Mäori"/>
      <w:sz w:val="20"/>
      <w:lang w:val="en-NZ"/>
    </w:rPr>
  </w:style>
  <w:style w:type="paragraph" w:customStyle="1" w:styleId="CharChar2">
    <w:name w:val=" Char Char2"/>
    <w:basedOn w:val="Normal"/>
    <w:rsid w:val="00B054E2"/>
    <w:pPr>
      <w:spacing w:before="360" w:after="240" w:line="280" w:lineRule="atLeast"/>
      <w:jc w:val="both"/>
    </w:pPr>
    <w:rPr>
      <w:rFonts w:ascii="Verdana" w:hAnsi="Verdana"/>
      <w:b/>
      <w:caps/>
      <w:sz w:val="28"/>
      <w:szCs w:val="28"/>
      <w:lang w:val="en-US"/>
    </w:rPr>
  </w:style>
  <w:style w:type="paragraph" w:customStyle="1" w:styleId="CharCharCharCharCharChar1CharChar">
    <w:name w:val="Char Char Char Char Char Char1 Char Char"/>
    <w:basedOn w:val="Normal"/>
    <w:rsid w:val="00D16CD9"/>
    <w:pPr>
      <w:spacing w:before="360" w:after="240" w:line="280" w:lineRule="atLeast"/>
      <w:jc w:val="both"/>
    </w:pPr>
    <w:rPr>
      <w:rFonts w:ascii="Verdana" w:hAnsi="Verdana"/>
      <w:b/>
      <w:caps/>
      <w:sz w:val="28"/>
      <w:szCs w:val="28"/>
      <w:lang w:val="en-US"/>
    </w:rPr>
  </w:style>
  <w:style w:type="paragraph" w:customStyle="1" w:styleId="CharChar3CharCharCharCharCharChar">
    <w:name w:val=" Char Char3 Char Char Char Char Char Char"/>
    <w:basedOn w:val="Normal"/>
    <w:rsid w:val="00D16CD9"/>
    <w:pPr>
      <w:spacing w:after="160" w:line="240" w:lineRule="exact"/>
    </w:pPr>
    <w:rPr>
      <w:rFonts w:ascii="Tahoma" w:hAnsi="Tahoma"/>
      <w:sz w:val="20"/>
      <w:lang w:val="en-US"/>
    </w:rPr>
  </w:style>
  <w:style w:type="numbering" w:customStyle="1" w:styleId="BodyList">
    <w:name w:val="Body List"/>
    <w:basedOn w:val="NoList"/>
    <w:rsid w:val="00FC3BFD"/>
    <w:pPr>
      <w:numPr>
        <w:numId w:val="78"/>
      </w:numPr>
    </w:p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FC3BFD"/>
    <w:rPr>
      <w:rFonts w:ascii="Arial" w:hAnsi="Arial" w:cs="Arial"/>
      <w:b/>
      <w:bCs/>
      <w:sz w:val="22"/>
      <w:lang w:val="en-NZ" w:eastAsia="en-US" w:bidi="ar-SA"/>
    </w:rPr>
  </w:style>
  <w:style w:type="paragraph" w:customStyle="1" w:styleId="CharChar1">
    <w:name w:val=" Char Char1"/>
    <w:basedOn w:val="Normal"/>
    <w:rsid w:val="00FC3BFD"/>
    <w:pPr>
      <w:spacing w:after="160" w:line="240" w:lineRule="exact"/>
    </w:pPr>
    <w:rPr>
      <w:rFonts w:ascii="Tahoma" w:hAnsi="Tahoma"/>
      <w:sz w:val="20"/>
      <w:lang w:val="en-US"/>
    </w:rPr>
  </w:style>
  <w:style w:type="paragraph" w:customStyle="1" w:styleId="CharChar1Char">
    <w:name w:val=" Char Char1 Char"/>
    <w:basedOn w:val="Normal"/>
    <w:rsid w:val="00FC3BFD"/>
    <w:pPr>
      <w:spacing w:after="160" w:line="240" w:lineRule="exact"/>
    </w:pPr>
    <w:rPr>
      <w:rFonts w:ascii="Tahoma" w:hAnsi="Tahoma"/>
      <w:sz w:val="20"/>
      <w:lang w:val="en-US"/>
    </w:rPr>
  </w:style>
  <w:style w:type="paragraph" w:customStyle="1" w:styleId="CharChar2Char">
    <w:name w:val=" Char Char2 Char"/>
    <w:basedOn w:val="Normal"/>
    <w:rsid w:val="007B3E55"/>
    <w:pPr>
      <w:spacing w:before="360" w:after="240" w:line="280" w:lineRule="atLeast"/>
      <w:jc w:val="both"/>
    </w:pPr>
    <w:rPr>
      <w:rFonts w:ascii="Verdana" w:hAnsi="Verdana"/>
      <w:b/>
      <w:caps/>
      <w:sz w:val="28"/>
      <w:szCs w:val="28"/>
      <w:lang w:val="en-US"/>
    </w:rPr>
  </w:style>
  <w:style w:type="paragraph" w:customStyle="1" w:styleId="CharChar1CharCharChar">
    <w:name w:val=" Char Char1 Char Char Char"/>
    <w:basedOn w:val="Normal"/>
    <w:rsid w:val="007B3E55"/>
    <w:pPr>
      <w:spacing w:before="360" w:after="240" w:line="280" w:lineRule="atLeast"/>
      <w:jc w:val="both"/>
    </w:pPr>
    <w:rPr>
      <w:rFonts w:ascii="Verdana" w:hAnsi="Verdana"/>
      <w:b/>
      <w:caps/>
      <w:sz w:val="28"/>
      <w:szCs w:val="28"/>
      <w:lang w:val="en-US"/>
    </w:rPr>
  </w:style>
  <w:style w:type="paragraph" w:styleId="ListBullet">
    <w:name w:val="List Bullet"/>
    <w:basedOn w:val="Normal"/>
    <w:rsid w:val="007B3E55"/>
    <w:pPr>
      <w:numPr>
        <w:numId w:val="86"/>
      </w:numPr>
    </w:pPr>
    <w:rPr>
      <w:rFonts w:ascii="Times New Roman" w:hAnsi="Times New Roman"/>
      <w:sz w:val="24"/>
      <w:szCs w:val="24"/>
      <w:lang w:val="en-NZ"/>
    </w:rPr>
  </w:style>
  <w:style w:type="character" w:customStyle="1" w:styleId="FootnoteTextChar">
    <w:name w:val="Footnote Text Char"/>
    <w:link w:val="FootnoteText"/>
    <w:semiHidden/>
    <w:rsid w:val="007B3E55"/>
    <w:rPr>
      <w:rFonts w:ascii="Arial" w:hAnsi="Arial"/>
      <w:sz w:val="22"/>
      <w:lang w:val="en-GB" w:eastAsia="en-US" w:bidi="ar-SA"/>
    </w:rPr>
  </w:style>
  <w:style w:type="character" w:customStyle="1" w:styleId="gwt-inlinelabeltextv">
    <w:name w:val="gwt-inlinelabel textv"/>
    <w:basedOn w:val="DefaultParagraphFont"/>
    <w:rsid w:val="00843F8F"/>
  </w:style>
</w:styles>
</file>

<file path=word/webSettings.xml><?xml version="1.0" encoding="utf-8"?>
<w:webSettings xmlns:r="http://schemas.openxmlformats.org/officeDocument/2006/relationships" xmlns:w="http://schemas.openxmlformats.org/wordprocessingml/2006/main">
  <w:divs>
    <w:div w:id="102262236">
      <w:bodyDiv w:val="1"/>
      <w:marLeft w:val="0"/>
      <w:marRight w:val="0"/>
      <w:marTop w:val="0"/>
      <w:marBottom w:val="0"/>
      <w:divBdr>
        <w:top w:val="none" w:sz="0" w:space="0" w:color="auto"/>
        <w:left w:val="none" w:sz="0" w:space="0" w:color="auto"/>
        <w:bottom w:val="none" w:sz="0" w:space="0" w:color="auto"/>
        <w:right w:val="none" w:sz="0" w:space="0" w:color="auto"/>
      </w:divBdr>
    </w:div>
    <w:div w:id="139154858">
      <w:bodyDiv w:val="1"/>
      <w:marLeft w:val="0"/>
      <w:marRight w:val="0"/>
      <w:marTop w:val="0"/>
      <w:marBottom w:val="0"/>
      <w:divBdr>
        <w:top w:val="none" w:sz="0" w:space="0" w:color="auto"/>
        <w:left w:val="none" w:sz="0" w:space="0" w:color="auto"/>
        <w:bottom w:val="none" w:sz="0" w:space="0" w:color="auto"/>
        <w:right w:val="none" w:sz="0" w:space="0" w:color="auto"/>
      </w:divBdr>
    </w:div>
    <w:div w:id="146016954">
      <w:bodyDiv w:val="1"/>
      <w:marLeft w:val="0"/>
      <w:marRight w:val="0"/>
      <w:marTop w:val="0"/>
      <w:marBottom w:val="0"/>
      <w:divBdr>
        <w:top w:val="none" w:sz="0" w:space="0" w:color="auto"/>
        <w:left w:val="none" w:sz="0" w:space="0" w:color="auto"/>
        <w:bottom w:val="none" w:sz="0" w:space="0" w:color="auto"/>
        <w:right w:val="none" w:sz="0" w:space="0" w:color="auto"/>
      </w:divBdr>
    </w:div>
    <w:div w:id="178469149">
      <w:bodyDiv w:val="1"/>
      <w:marLeft w:val="0"/>
      <w:marRight w:val="0"/>
      <w:marTop w:val="0"/>
      <w:marBottom w:val="0"/>
      <w:divBdr>
        <w:top w:val="none" w:sz="0" w:space="0" w:color="auto"/>
        <w:left w:val="none" w:sz="0" w:space="0" w:color="auto"/>
        <w:bottom w:val="none" w:sz="0" w:space="0" w:color="auto"/>
        <w:right w:val="none" w:sz="0" w:space="0" w:color="auto"/>
      </w:divBdr>
    </w:div>
    <w:div w:id="195895645">
      <w:bodyDiv w:val="1"/>
      <w:marLeft w:val="0"/>
      <w:marRight w:val="0"/>
      <w:marTop w:val="0"/>
      <w:marBottom w:val="0"/>
      <w:divBdr>
        <w:top w:val="none" w:sz="0" w:space="0" w:color="auto"/>
        <w:left w:val="none" w:sz="0" w:space="0" w:color="auto"/>
        <w:bottom w:val="none" w:sz="0" w:space="0" w:color="auto"/>
        <w:right w:val="none" w:sz="0" w:space="0" w:color="auto"/>
      </w:divBdr>
    </w:div>
    <w:div w:id="245379505">
      <w:bodyDiv w:val="1"/>
      <w:marLeft w:val="0"/>
      <w:marRight w:val="0"/>
      <w:marTop w:val="0"/>
      <w:marBottom w:val="0"/>
      <w:divBdr>
        <w:top w:val="none" w:sz="0" w:space="0" w:color="auto"/>
        <w:left w:val="none" w:sz="0" w:space="0" w:color="auto"/>
        <w:bottom w:val="none" w:sz="0" w:space="0" w:color="auto"/>
        <w:right w:val="none" w:sz="0" w:space="0" w:color="auto"/>
      </w:divBdr>
    </w:div>
    <w:div w:id="427384577">
      <w:bodyDiv w:val="1"/>
      <w:marLeft w:val="0"/>
      <w:marRight w:val="0"/>
      <w:marTop w:val="0"/>
      <w:marBottom w:val="0"/>
      <w:divBdr>
        <w:top w:val="none" w:sz="0" w:space="0" w:color="auto"/>
        <w:left w:val="none" w:sz="0" w:space="0" w:color="auto"/>
        <w:bottom w:val="none" w:sz="0" w:space="0" w:color="auto"/>
        <w:right w:val="none" w:sz="0" w:space="0" w:color="auto"/>
      </w:divBdr>
    </w:div>
    <w:div w:id="481387938">
      <w:bodyDiv w:val="1"/>
      <w:marLeft w:val="0"/>
      <w:marRight w:val="0"/>
      <w:marTop w:val="0"/>
      <w:marBottom w:val="0"/>
      <w:divBdr>
        <w:top w:val="none" w:sz="0" w:space="0" w:color="auto"/>
        <w:left w:val="none" w:sz="0" w:space="0" w:color="auto"/>
        <w:bottom w:val="none" w:sz="0" w:space="0" w:color="auto"/>
        <w:right w:val="none" w:sz="0" w:space="0" w:color="auto"/>
      </w:divBdr>
    </w:div>
    <w:div w:id="619185254">
      <w:bodyDiv w:val="1"/>
      <w:marLeft w:val="0"/>
      <w:marRight w:val="0"/>
      <w:marTop w:val="0"/>
      <w:marBottom w:val="0"/>
      <w:divBdr>
        <w:top w:val="none" w:sz="0" w:space="0" w:color="auto"/>
        <w:left w:val="none" w:sz="0" w:space="0" w:color="auto"/>
        <w:bottom w:val="none" w:sz="0" w:space="0" w:color="auto"/>
        <w:right w:val="none" w:sz="0" w:space="0" w:color="auto"/>
      </w:divBdr>
    </w:div>
    <w:div w:id="843933229">
      <w:bodyDiv w:val="1"/>
      <w:marLeft w:val="0"/>
      <w:marRight w:val="0"/>
      <w:marTop w:val="0"/>
      <w:marBottom w:val="0"/>
      <w:divBdr>
        <w:top w:val="none" w:sz="0" w:space="0" w:color="auto"/>
        <w:left w:val="none" w:sz="0" w:space="0" w:color="auto"/>
        <w:bottom w:val="none" w:sz="0" w:space="0" w:color="auto"/>
        <w:right w:val="none" w:sz="0" w:space="0" w:color="auto"/>
      </w:divBdr>
    </w:div>
    <w:div w:id="858738995">
      <w:bodyDiv w:val="1"/>
      <w:marLeft w:val="0"/>
      <w:marRight w:val="0"/>
      <w:marTop w:val="0"/>
      <w:marBottom w:val="0"/>
      <w:divBdr>
        <w:top w:val="none" w:sz="0" w:space="0" w:color="auto"/>
        <w:left w:val="none" w:sz="0" w:space="0" w:color="auto"/>
        <w:bottom w:val="none" w:sz="0" w:space="0" w:color="auto"/>
        <w:right w:val="none" w:sz="0" w:space="0" w:color="auto"/>
      </w:divBdr>
    </w:div>
    <w:div w:id="888878323">
      <w:bodyDiv w:val="1"/>
      <w:marLeft w:val="0"/>
      <w:marRight w:val="0"/>
      <w:marTop w:val="0"/>
      <w:marBottom w:val="0"/>
      <w:divBdr>
        <w:top w:val="none" w:sz="0" w:space="0" w:color="auto"/>
        <w:left w:val="none" w:sz="0" w:space="0" w:color="auto"/>
        <w:bottom w:val="none" w:sz="0" w:space="0" w:color="auto"/>
        <w:right w:val="none" w:sz="0" w:space="0" w:color="auto"/>
      </w:divBdr>
    </w:div>
    <w:div w:id="958142903">
      <w:bodyDiv w:val="1"/>
      <w:marLeft w:val="0"/>
      <w:marRight w:val="0"/>
      <w:marTop w:val="0"/>
      <w:marBottom w:val="0"/>
      <w:divBdr>
        <w:top w:val="none" w:sz="0" w:space="0" w:color="auto"/>
        <w:left w:val="none" w:sz="0" w:space="0" w:color="auto"/>
        <w:bottom w:val="none" w:sz="0" w:space="0" w:color="auto"/>
        <w:right w:val="none" w:sz="0" w:space="0" w:color="auto"/>
      </w:divBdr>
    </w:div>
    <w:div w:id="1011299069">
      <w:bodyDiv w:val="1"/>
      <w:marLeft w:val="0"/>
      <w:marRight w:val="0"/>
      <w:marTop w:val="0"/>
      <w:marBottom w:val="0"/>
      <w:divBdr>
        <w:top w:val="none" w:sz="0" w:space="0" w:color="auto"/>
        <w:left w:val="none" w:sz="0" w:space="0" w:color="auto"/>
        <w:bottom w:val="none" w:sz="0" w:space="0" w:color="auto"/>
        <w:right w:val="none" w:sz="0" w:space="0" w:color="auto"/>
      </w:divBdr>
    </w:div>
    <w:div w:id="1021513528">
      <w:bodyDiv w:val="1"/>
      <w:marLeft w:val="0"/>
      <w:marRight w:val="0"/>
      <w:marTop w:val="0"/>
      <w:marBottom w:val="0"/>
      <w:divBdr>
        <w:top w:val="none" w:sz="0" w:space="0" w:color="auto"/>
        <w:left w:val="none" w:sz="0" w:space="0" w:color="auto"/>
        <w:bottom w:val="none" w:sz="0" w:space="0" w:color="auto"/>
        <w:right w:val="none" w:sz="0" w:space="0" w:color="auto"/>
      </w:divBdr>
    </w:div>
    <w:div w:id="1227762362">
      <w:bodyDiv w:val="1"/>
      <w:marLeft w:val="0"/>
      <w:marRight w:val="0"/>
      <w:marTop w:val="0"/>
      <w:marBottom w:val="0"/>
      <w:divBdr>
        <w:top w:val="none" w:sz="0" w:space="0" w:color="auto"/>
        <w:left w:val="none" w:sz="0" w:space="0" w:color="auto"/>
        <w:bottom w:val="none" w:sz="0" w:space="0" w:color="auto"/>
        <w:right w:val="none" w:sz="0" w:space="0" w:color="auto"/>
      </w:divBdr>
    </w:div>
    <w:div w:id="1355158689">
      <w:bodyDiv w:val="1"/>
      <w:marLeft w:val="0"/>
      <w:marRight w:val="0"/>
      <w:marTop w:val="0"/>
      <w:marBottom w:val="0"/>
      <w:divBdr>
        <w:top w:val="none" w:sz="0" w:space="0" w:color="auto"/>
        <w:left w:val="none" w:sz="0" w:space="0" w:color="auto"/>
        <w:bottom w:val="none" w:sz="0" w:space="0" w:color="auto"/>
        <w:right w:val="none" w:sz="0" w:space="0" w:color="auto"/>
      </w:divBdr>
    </w:div>
    <w:div w:id="1455438313">
      <w:bodyDiv w:val="1"/>
      <w:marLeft w:val="0"/>
      <w:marRight w:val="0"/>
      <w:marTop w:val="0"/>
      <w:marBottom w:val="0"/>
      <w:divBdr>
        <w:top w:val="none" w:sz="0" w:space="0" w:color="auto"/>
        <w:left w:val="none" w:sz="0" w:space="0" w:color="auto"/>
        <w:bottom w:val="none" w:sz="0" w:space="0" w:color="auto"/>
        <w:right w:val="none" w:sz="0" w:space="0" w:color="auto"/>
      </w:divBdr>
    </w:div>
    <w:div w:id="1627656266">
      <w:bodyDiv w:val="1"/>
      <w:marLeft w:val="0"/>
      <w:marRight w:val="0"/>
      <w:marTop w:val="0"/>
      <w:marBottom w:val="0"/>
      <w:divBdr>
        <w:top w:val="none" w:sz="0" w:space="0" w:color="auto"/>
        <w:left w:val="none" w:sz="0" w:space="0" w:color="auto"/>
        <w:bottom w:val="none" w:sz="0" w:space="0" w:color="auto"/>
        <w:right w:val="none" w:sz="0" w:space="0" w:color="auto"/>
      </w:divBdr>
    </w:div>
    <w:div w:id="1655377327">
      <w:bodyDiv w:val="1"/>
      <w:marLeft w:val="0"/>
      <w:marRight w:val="0"/>
      <w:marTop w:val="0"/>
      <w:marBottom w:val="0"/>
      <w:divBdr>
        <w:top w:val="none" w:sz="0" w:space="0" w:color="auto"/>
        <w:left w:val="none" w:sz="0" w:space="0" w:color="auto"/>
        <w:bottom w:val="none" w:sz="0" w:space="0" w:color="auto"/>
        <w:right w:val="none" w:sz="0" w:space="0" w:color="auto"/>
      </w:divBdr>
    </w:div>
    <w:div w:id="199062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89.emf"/><Relationship Id="rId21" Type="http://schemas.openxmlformats.org/officeDocument/2006/relationships/image" Target="media/image11.emf"/><Relationship Id="rId42" Type="http://schemas.openxmlformats.org/officeDocument/2006/relationships/image" Target="media/image27.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footer" Target="footer3.xml"/><Relationship Id="rId84" Type="http://schemas.openxmlformats.org/officeDocument/2006/relationships/header" Target="header10.xml"/><Relationship Id="rId89" Type="http://schemas.openxmlformats.org/officeDocument/2006/relationships/footer" Target="footer5.xml"/><Relationship Id="rId112" Type="http://schemas.openxmlformats.org/officeDocument/2006/relationships/hyperlink" Target="http://www.lisproject.org/key-figures/key-figures.htm" TargetMode="External"/><Relationship Id="rId133" Type="http://schemas.openxmlformats.org/officeDocument/2006/relationships/header" Target="header17.xml"/><Relationship Id="rId16" Type="http://schemas.openxmlformats.org/officeDocument/2006/relationships/image" Target="media/image6.emf"/><Relationship Id="rId107" Type="http://schemas.openxmlformats.org/officeDocument/2006/relationships/image" Target="media/image83.emf"/><Relationship Id="rId11"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2.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78.emf"/><Relationship Id="rId123" Type="http://schemas.openxmlformats.org/officeDocument/2006/relationships/image" Target="media/image94.emf"/><Relationship Id="rId128" Type="http://schemas.openxmlformats.org/officeDocument/2006/relationships/image" Target="media/image98.emf"/><Relationship Id="rId5" Type="http://schemas.openxmlformats.org/officeDocument/2006/relationships/footnotes" Target="footnotes.xml"/><Relationship Id="rId90" Type="http://schemas.openxmlformats.org/officeDocument/2006/relationships/image" Target="media/image67.emf"/><Relationship Id="rId95" Type="http://schemas.openxmlformats.org/officeDocument/2006/relationships/image" Target="media/image7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2.xml"/><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wmf"/><Relationship Id="rId69" Type="http://schemas.openxmlformats.org/officeDocument/2006/relationships/footer" Target="footer4.xml"/><Relationship Id="rId77" Type="http://schemas.openxmlformats.org/officeDocument/2006/relationships/image" Target="media/image57.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hyperlink" Target="http://www.poverty.org.uk" TargetMode="External"/><Relationship Id="rId118" Type="http://schemas.openxmlformats.org/officeDocument/2006/relationships/image" Target="media/image90.emf"/><Relationship Id="rId126" Type="http://schemas.openxmlformats.org/officeDocument/2006/relationships/image" Target="media/image96.emf"/><Relationship Id="rId134" Type="http://schemas.openxmlformats.org/officeDocument/2006/relationships/header" Target="header18.xml"/><Relationship Id="rId8" Type="http://schemas.openxmlformats.org/officeDocument/2006/relationships/header" Target="header2.xml"/><Relationship Id="rId51" Type="http://schemas.openxmlformats.org/officeDocument/2006/relationships/image" Target="media/image35.emf"/><Relationship Id="rId72" Type="http://schemas.openxmlformats.org/officeDocument/2006/relationships/image" Target="media/image53.emf"/><Relationship Id="rId80" Type="http://schemas.openxmlformats.org/officeDocument/2006/relationships/image" Target="media/image60.emf"/><Relationship Id="rId85" Type="http://schemas.openxmlformats.org/officeDocument/2006/relationships/image" Target="media/image64.emf"/><Relationship Id="rId93" Type="http://schemas.openxmlformats.org/officeDocument/2006/relationships/image" Target="media/image70.emf"/><Relationship Id="rId98" Type="http://schemas.openxmlformats.org/officeDocument/2006/relationships/image" Target="media/image74.emf"/><Relationship Id="rId121" Type="http://schemas.openxmlformats.org/officeDocument/2006/relationships/image" Target="media/image92.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header" Target="header8.xml"/><Relationship Id="rId103" Type="http://schemas.openxmlformats.org/officeDocument/2006/relationships/image" Target="media/image79.emf"/><Relationship Id="rId108" Type="http://schemas.openxmlformats.org/officeDocument/2006/relationships/header" Target="header13.xml"/><Relationship Id="rId116" Type="http://schemas.openxmlformats.org/officeDocument/2006/relationships/image" Target="media/image88.emf"/><Relationship Id="rId124" Type="http://schemas.openxmlformats.org/officeDocument/2006/relationships/image" Target="media/image95.emf"/><Relationship Id="rId129" Type="http://schemas.openxmlformats.org/officeDocument/2006/relationships/image" Target="media/image99.emf"/><Relationship Id="rId13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1.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header" Target="header11.xml"/><Relationship Id="rId91" Type="http://schemas.openxmlformats.org/officeDocument/2006/relationships/image" Target="media/image68.emf"/><Relationship Id="rId96" Type="http://schemas.openxmlformats.org/officeDocument/2006/relationships/header" Target="header12.xml"/><Relationship Id="rId111" Type="http://schemas.openxmlformats.org/officeDocument/2006/relationships/hyperlink" Target="http://www.lisproject.org/key-figures/key-figures.htm" TargetMode="External"/><Relationship Id="rId132"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2.emf"/><Relationship Id="rId114" Type="http://schemas.openxmlformats.org/officeDocument/2006/relationships/image" Target="media/image86.emf"/><Relationship Id="rId119" Type="http://schemas.openxmlformats.org/officeDocument/2006/relationships/image" Target="media/image91.emf"/><Relationship Id="rId127" Type="http://schemas.openxmlformats.org/officeDocument/2006/relationships/image" Target="media/image97.emf"/><Relationship Id="rId10" Type="http://schemas.openxmlformats.org/officeDocument/2006/relationships/hyperlink" Target="mailto:bryan.perry001@msd.govt.nz" TargetMode="External"/><Relationship Id="rId31" Type="http://schemas.openxmlformats.org/officeDocument/2006/relationships/image" Target="media/image19.emf"/><Relationship Id="rId44" Type="http://schemas.openxmlformats.org/officeDocument/2006/relationships/header" Target="header7.xml"/><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header" Target="header9.xml"/><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5.emf"/><Relationship Id="rId94" Type="http://schemas.openxmlformats.org/officeDocument/2006/relationships/image" Target="media/image71.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3.emf"/><Relationship Id="rId130" Type="http://schemas.openxmlformats.org/officeDocument/2006/relationships/image" Target="media/image100.emf"/><Relationship Id="rId135"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yperlink" Target="http://www.msd.govt.nz" TargetMode="Externa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4.emf"/><Relationship Id="rId109" Type="http://schemas.openxmlformats.org/officeDocument/2006/relationships/image" Target="media/image84.emf"/><Relationship Id="rId34" Type="http://schemas.openxmlformats.org/officeDocument/2006/relationships/footer" Target="footer1.xml"/><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6.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header" Target="header14.xml"/><Relationship Id="rId125" Type="http://schemas.openxmlformats.org/officeDocument/2006/relationships/header" Target="header15.xml"/><Relationship Id="rId7" Type="http://schemas.openxmlformats.org/officeDocument/2006/relationships/header" Target="header1.xml"/><Relationship Id="rId71" Type="http://schemas.openxmlformats.org/officeDocument/2006/relationships/image" Target="media/image52.emf"/><Relationship Id="rId92" Type="http://schemas.openxmlformats.org/officeDocument/2006/relationships/image" Target="media/image69.em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header" Target="header4.xml"/><Relationship Id="rId40" Type="http://schemas.openxmlformats.org/officeDocument/2006/relationships/image" Target="media/image25.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6.emf"/><Relationship Id="rId110" Type="http://schemas.openxmlformats.org/officeDocument/2006/relationships/image" Target="media/image85.emf"/><Relationship Id="rId115" Type="http://schemas.openxmlformats.org/officeDocument/2006/relationships/image" Target="media/image87.emf"/><Relationship Id="rId131" Type="http://schemas.openxmlformats.org/officeDocument/2006/relationships/image" Target="media/image101.emf"/><Relationship Id="rId136" Type="http://schemas.openxmlformats.org/officeDocument/2006/relationships/fontTable" Target="fontTable.xml"/><Relationship Id="rId61" Type="http://schemas.openxmlformats.org/officeDocument/2006/relationships/image" Target="media/image45.emf"/><Relationship Id="rId82" Type="http://schemas.openxmlformats.org/officeDocument/2006/relationships/image" Target="media/image62.emf"/><Relationship Id="rId19"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www.msd.govt.nz/work-areas/social-research/living-standards/index.html" TargetMode="External"/><Relationship Id="rId2" Type="http://schemas.openxmlformats.org/officeDocument/2006/relationships/hyperlink" Target="http://www.msd.govt.nz/about-msd-and-our-work/publications-resources/monitoring/living-standards/index.html" TargetMode="External"/><Relationship Id="rId1" Type="http://schemas.openxmlformats.org/officeDocument/2006/relationships/hyperlink" Target="http://www.stats.govt.nz/hes" TargetMode="External"/><Relationship Id="rId5" Type="http://schemas.openxmlformats.org/officeDocument/2006/relationships/hyperlink" Target="http://www.msd.govt.nz/work-areas/social-research/living-standards/index.html" TargetMode="External"/><Relationship Id="rId4" Type="http://schemas.openxmlformats.org/officeDocument/2006/relationships/hyperlink" Target="http://www.stats.govt.nz/browse_for_stats/people_and_communities/Households/household-economic-survey-info-releases.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198</Pages>
  <Words>64408</Words>
  <Characters>367128</Characters>
  <Application>Microsoft Office Word</Application>
  <DocSecurity>0</DocSecurity>
  <Lines>3059</Lines>
  <Paragraphs>861</Paragraphs>
  <ScaleCrop>false</ScaleCrop>
  <HeadingPairs>
    <vt:vector size="2" baseType="variant">
      <vt:variant>
        <vt:lpstr>Title</vt:lpstr>
      </vt:variant>
      <vt:variant>
        <vt:i4>1</vt:i4>
      </vt:variant>
    </vt:vector>
  </HeadingPairs>
  <TitlesOfParts>
    <vt:vector size="1" baseType="lpstr">
      <vt:lpstr> </vt:lpstr>
    </vt:vector>
  </TitlesOfParts>
  <Company>Department of Social Welfare</Company>
  <LinksUpToDate>false</LinksUpToDate>
  <CharactersWithSpaces>430675</CharactersWithSpaces>
  <SharedDoc>false</SharedDoc>
  <HLinks>
    <vt:vector size="60" baseType="variant">
      <vt:variant>
        <vt:i4>7602231</vt:i4>
      </vt:variant>
      <vt:variant>
        <vt:i4>12</vt:i4>
      </vt:variant>
      <vt:variant>
        <vt:i4>0</vt:i4>
      </vt:variant>
      <vt:variant>
        <vt:i4>5</vt:i4>
      </vt:variant>
      <vt:variant>
        <vt:lpwstr>http://www.poverty.org.uk/</vt:lpwstr>
      </vt:variant>
      <vt:variant>
        <vt:lpwstr/>
      </vt:variant>
      <vt:variant>
        <vt:i4>4784215</vt:i4>
      </vt:variant>
      <vt:variant>
        <vt:i4>9</vt:i4>
      </vt:variant>
      <vt:variant>
        <vt:i4>0</vt:i4>
      </vt:variant>
      <vt:variant>
        <vt:i4>5</vt:i4>
      </vt:variant>
      <vt:variant>
        <vt:lpwstr>http://www.lisproject.org/key-figures/key-figures.htm</vt:lpwstr>
      </vt:variant>
      <vt:variant>
        <vt:lpwstr/>
      </vt:variant>
      <vt:variant>
        <vt:i4>4784215</vt:i4>
      </vt:variant>
      <vt:variant>
        <vt:i4>6</vt:i4>
      </vt:variant>
      <vt:variant>
        <vt:i4>0</vt:i4>
      </vt:variant>
      <vt:variant>
        <vt:i4>5</vt:i4>
      </vt:variant>
      <vt:variant>
        <vt:lpwstr>http://www.lisproject.org/key-figures/key-figures.htm</vt:lpwstr>
      </vt:variant>
      <vt:variant>
        <vt:lpwstr/>
      </vt:variant>
      <vt:variant>
        <vt:i4>3407959</vt:i4>
      </vt:variant>
      <vt:variant>
        <vt:i4>3</vt:i4>
      </vt:variant>
      <vt:variant>
        <vt:i4>0</vt:i4>
      </vt:variant>
      <vt:variant>
        <vt:i4>5</vt:i4>
      </vt:variant>
      <vt:variant>
        <vt:lpwstr>mailto:bryan.perry001@msd.govt.nz</vt:lpwstr>
      </vt:variant>
      <vt:variant>
        <vt:lpwstr/>
      </vt:variant>
      <vt:variant>
        <vt:i4>6750328</vt:i4>
      </vt:variant>
      <vt:variant>
        <vt:i4>0</vt:i4>
      </vt:variant>
      <vt:variant>
        <vt:i4>0</vt:i4>
      </vt:variant>
      <vt:variant>
        <vt:i4>5</vt:i4>
      </vt:variant>
      <vt:variant>
        <vt:lpwstr>http://www.msd.govt.nz/</vt:lpwstr>
      </vt:variant>
      <vt:variant>
        <vt:lpwstr/>
      </vt:variant>
      <vt:variant>
        <vt:i4>5570650</vt:i4>
      </vt:variant>
      <vt:variant>
        <vt:i4>12</vt:i4>
      </vt:variant>
      <vt:variant>
        <vt:i4>0</vt:i4>
      </vt:variant>
      <vt:variant>
        <vt:i4>5</vt:i4>
      </vt:variant>
      <vt:variant>
        <vt:lpwstr>http://www.msd.govt.nz/work-areas/social-research/living-standards/index.html</vt:lpwstr>
      </vt:variant>
      <vt:variant>
        <vt:lpwstr/>
      </vt:variant>
      <vt:variant>
        <vt:i4>5308430</vt:i4>
      </vt:variant>
      <vt:variant>
        <vt:i4>9</vt:i4>
      </vt:variant>
      <vt:variant>
        <vt:i4>0</vt:i4>
      </vt:variant>
      <vt:variant>
        <vt:i4>5</vt:i4>
      </vt:variant>
      <vt:variant>
        <vt:lpwstr>http://www.stats.govt.nz/browse_for_stats/people_and_communities/Households/household-economic-survey-info-releases.aspx</vt:lpwstr>
      </vt:variant>
      <vt:variant>
        <vt:lpwstr/>
      </vt:variant>
      <vt:variant>
        <vt:i4>5570650</vt:i4>
      </vt:variant>
      <vt:variant>
        <vt:i4>6</vt:i4>
      </vt:variant>
      <vt:variant>
        <vt:i4>0</vt:i4>
      </vt:variant>
      <vt:variant>
        <vt:i4>5</vt:i4>
      </vt:variant>
      <vt:variant>
        <vt:lpwstr>http://www.msd.govt.nz/work-areas/social-research/living-standards/index.html</vt:lpwstr>
      </vt:variant>
      <vt:variant>
        <vt:lpwstr/>
      </vt:variant>
      <vt:variant>
        <vt:i4>7602289</vt:i4>
      </vt:variant>
      <vt:variant>
        <vt:i4>3</vt:i4>
      </vt:variant>
      <vt:variant>
        <vt:i4>0</vt:i4>
      </vt:variant>
      <vt:variant>
        <vt:i4>5</vt:i4>
      </vt:variant>
      <vt:variant>
        <vt:lpwstr>http://www.msd.govt.nz/about-msd-and-our-work/publications-resources/monitoring/living-standards/index.html</vt:lpwstr>
      </vt:variant>
      <vt:variant>
        <vt:lpwstr/>
      </vt:variant>
      <vt:variant>
        <vt:i4>1310785</vt:i4>
      </vt:variant>
      <vt:variant>
        <vt:i4>0</vt:i4>
      </vt:variant>
      <vt:variant>
        <vt:i4>0</vt:i4>
      </vt:variant>
      <vt:variant>
        <vt:i4>5</vt:i4>
      </vt:variant>
      <vt:variant>
        <vt:lpwstr>http://www.stats.govt.nz/hes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DSW</dc:creator>
  <cp:keywords/>
  <dc:description/>
  <cp:lastModifiedBy>BH</cp:lastModifiedBy>
  <cp:revision>2</cp:revision>
  <cp:lastPrinted>2012-08-19T22:12:00Z</cp:lastPrinted>
  <dcterms:created xsi:type="dcterms:W3CDTF">2012-08-23T06:53:00Z</dcterms:created>
  <dcterms:modified xsi:type="dcterms:W3CDTF">2012-08-23T06:53:00Z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A3677442</vt:lpwstr>
  </property>
  <property fmtid="{D5CDD505-2E9C-101B-9397-08002B2CF9AE}" pid="3" name="Objective-Comment">
    <vt:lpwstr/>
  </property>
  <property fmtid="{D5CDD505-2E9C-101B-9397-08002B2CF9AE}" pid="4" name="Objective-CreationStamp">
    <vt:filetime>2008-08-10T00:00:00Z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2008-08-10T00:00:00Z</vt:filetime>
  </property>
  <property fmtid="{D5CDD505-2E9C-101B-9397-08002B2CF9AE}" pid="8" name="Objective-ModificationStamp">
    <vt:filetime>2008-08-10T00:00:00Z</vt:filetime>
  </property>
  <property fmtid="{D5CDD505-2E9C-101B-9397-08002B2CF9AE}" pid="9" name="Objective-Owner">
    <vt:lpwstr>Bryan Perry</vt:lpwstr>
  </property>
  <property fmtid="{D5CDD505-2E9C-101B-9397-08002B2CF9AE}" pid="10" name="Objective-Path">
    <vt:lpwstr>Bryan Perry:Special Folder - Bryan Perry:Bryan Perry:bp - WEB_Incomes_2008:Final release docs incl FINALS:</vt:lpwstr>
  </property>
  <property fmtid="{D5CDD505-2E9C-101B-9397-08002B2CF9AE}" pid="11" name="Objective-Parent">
    <vt:lpwstr>Final release docs incl FINALS</vt:lpwstr>
  </property>
  <property fmtid="{D5CDD505-2E9C-101B-9397-08002B2CF9AE}" pid="12" name="Objective-State">
    <vt:lpwstr>Published</vt:lpwstr>
  </property>
  <property fmtid="{D5CDD505-2E9C-101B-9397-08002B2CF9AE}" pid="13" name="Objective-Title">
    <vt:lpwstr>z_WEB_Incomes_2008_revised_FINAL_7Aug08</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Document Status [system]">
    <vt:lpwstr/>
  </property>
</Properties>
</file>